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7226A" w14:textId="3A257E0F" w:rsidR="002343A2" w:rsidRPr="00DB786E" w:rsidRDefault="002343A2" w:rsidP="00670DD2">
      <w:pPr>
        <w:pStyle w:val="Tableofcontents"/>
        <w:rPr>
          <w:rFonts w:ascii="Segoe UI" w:hAnsi="Segoe UI" w:cs="Segoe UI"/>
          <w:sz w:val="22"/>
          <w:szCs w:val="22"/>
        </w:rPr>
      </w:pPr>
      <w:r w:rsidRPr="00DB786E">
        <w:rPr>
          <w:rFonts w:ascii="Segoe UI" w:hAnsi="Segoe UI" w:cs="Segoe UI"/>
          <w:sz w:val="22"/>
          <w:szCs w:val="22"/>
        </w:rPr>
        <w:t xml:space="preserve">Management response to the </w:t>
      </w:r>
      <w:r w:rsidR="002C19B2" w:rsidRPr="00DB786E">
        <w:rPr>
          <w:rFonts w:ascii="Segoe UI" w:hAnsi="Segoe UI" w:cs="Segoe UI"/>
          <w:sz w:val="22"/>
          <w:szCs w:val="22"/>
        </w:rPr>
        <w:t>Independent Evaluation of</w:t>
      </w:r>
      <w:r w:rsidR="00060151">
        <w:rPr>
          <w:rFonts w:ascii="Segoe UI" w:hAnsi="Segoe UI" w:cs="Segoe UI"/>
          <w:sz w:val="22"/>
          <w:szCs w:val="22"/>
        </w:rPr>
        <w:t>:</w:t>
      </w:r>
      <w:r w:rsidR="002C19B2" w:rsidRPr="00DB786E">
        <w:rPr>
          <w:rFonts w:ascii="Segoe UI" w:hAnsi="Segoe UI" w:cs="Segoe UI"/>
          <w:sz w:val="22"/>
          <w:szCs w:val="22"/>
        </w:rPr>
        <w:t xml:space="preserve"> </w:t>
      </w:r>
      <w:r w:rsidR="00060151" w:rsidRPr="00060151">
        <w:rPr>
          <w:rFonts w:ascii="Segoe UI" w:hAnsi="Segoe UI" w:cs="Segoe UI"/>
          <w:sz w:val="22"/>
          <w:szCs w:val="22"/>
        </w:rPr>
        <w:t>Global Initiative towards post-Covid-19 resurgence of the MSME sector</w:t>
      </w:r>
      <w:r w:rsidR="00060151">
        <w:rPr>
          <w:rFonts w:ascii="Segoe UI" w:hAnsi="Segoe UI" w:cs="Segoe UI"/>
          <w:sz w:val="22"/>
          <w:szCs w:val="22"/>
        </w:rPr>
        <w:t xml:space="preserve"> (DA project 2023W)</w:t>
      </w:r>
    </w:p>
    <w:p w14:paraId="242137C5" w14:textId="77777777" w:rsidR="00670DD2" w:rsidRDefault="00670DD2" w:rsidP="00D60307">
      <w:pPr>
        <w:pStyle w:val="Heading5"/>
        <w:rPr>
          <w:rFonts w:ascii="Segoe UI" w:hAnsi="Segoe UI" w:cs="Segoe UI"/>
          <w:sz w:val="22"/>
          <w:szCs w:val="24"/>
        </w:rPr>
      </w:pPr>
    </w:p>
    <w:p w14:paraId="00803093" w14:textId="5A9869D7" w:rsidR="002343A2" w:rsidRPr="00DB786E" w:rsidRDefault="002343A2" w:rsidP="00D60307">
      <w:pPr>
        <w:pStyle w:val="Heading5"/>
        <w:rPr>
          <w:rFonts w:ascii="Segoe UI" w:hAnsi="Segoe UI" w:cs="Segoe UI"/>
          <w:sz w:val="22"/>
          <w:szCs w:val="24"/>
        </w:rPr>
      </w:pPr>
      <w:r w:rsidRPr="00DB786E">
        <w:rPr>
          <w:rFonts w:ascii="Segoe UI" w:hAnsi="Segoe UI" w:cs="Segoe UI"/>
          <w:sz w:val="22"/>
          <w:szCs w:val="24"/>
        </w:rPr>
        <w:t>Overall response to the evaluation</w:t>
      </w:r>
    </w:p>
    <w:p w14:paraId="50D438BD" w14:textId="5A7CF7D7" w:rsidR="002343A2" w:rsidRPr="00DB786E" w:rsidRDefault="002343A2" w:rsidP="00D60307">
      <w:pPr>
        <w:rPr>
          <w:rFonts w:ascii="Segoe UI" w:hAnsi="Segoe UI" w:cs="Segoe UI"/>
          <w:sz w:val="22"/>
          <w:szCs w:val="22"/>
        </w:rPr>
      </w:pPr>
      <w:r w:rsidRPr="00DB786E">
        <w:rPr>
          <w:rFonts w:ascii="Segoe UI" w:hAnsi="Segoe UI" w:cs="Segoe UI"/>
          <w:sz w:val="22"/>
          <w:szCs w:val="22"/>
        </w:rPr>
        <w:t xml:space="preserve">In this section, </w:t>
      </w:r>
      <w:r w:rsidR="00AA6021">
        <w:rPr>
          <w:rFonts w:ascii="Segoe UI" w:hAnsi="Segoe UI" w:cs="Segoe UI"/>
          <w:sz w:val="22"/>
          <w:szCs w:val="22"/>
        </w:rPr>
        <w:t xml:space="preserve">Project </w:t>
      </w:r>
      <w:r w:rsidRPr="00DB786E">
        <w:rPr>
          <w:rFonts w:ascii="Segoe UI" w:hAnsi="Segoe UI" w:cs="Segoe UI"/>
          <w:sz w:val="22"/>
          <w:szCs w:val="22"/>
        </w:rPr>
        <w:t>Management presents its overall views on the evaluation, the report and its conclusions.</w:t>
      </w:r>
    </w:p>
    <w:p w14:paraId="7891937C" w14:textId="77777777" w:rsidR="002343A2" w:rsidRPr="00DB786E" w:rsidRDefault="002343A2" w:rsidP="00D60307">
      <w:pPr>
        <w:rPr>
          <w:rFonts w:ascii="Segoe UI" w:hAnsi="Segoe UI" w:cs="Segoe UI"/>
          <w:sz w:val="22"/>
          <w:szCs w:val="22"/>
          <w:lang w:eastAsia="en-US"/>
        </w:rPr>
      </w:pPr>
    </w:p>
    <w:p w14:paraId="03D3E5C6" w14:textId="77777777" w:rsidR="002343A2" w:rsidRPr="00DB786E" w:rsidRDefault="002343A2" w:rsidP="00D60307">
      <w:pPr>
        <w:pStyle w:val="Heading5"/>
        <w:rPr>
          <w:rFonts w:ascii="Segoe UI" w:hAnsi="Segoe UI" w:cs="Segoe UI"/>
          <w:sz w:val="22"/>
          <w:szCs w:val="24"/>
          <w:lang w:eastAsia="en-US"/>
        </w:rPr>
      </w:pPr>
      <w:r w:rsidRPr="00DB786E">
        <w:rPr>
          <w:rFonts w:ascii="Segoe UI" w:hAnsi="Segoe UI" w:cs="Segoe UI"/>
          <w:sz w:val="22"/>
          <w:szCs w:val="24"/>
          <w:lang w:eastAsia="en-US"/>
        </w:rPr>
        <w:t>Response by recommendation</w:t>
      </w:r>
    </w:p>
    <w:p w14:paraId="73229BCB" w14:textId="6F3BEF92" w:rsidR="002343A2" w:rsidRPr="00DB786E" w:rsidRDefault="002343A2" w:rsidP="00D60307">
      <w:pPr>
        <w:rPr>
          <w:rFonts w:ascii="Segoe UI" w:hAnsi="Segoe UI" w:cs="Segoe UI"/>
          <w:sz w:val="22"/>
          <w:szCs w:val="22"/>
          <w:lang w:eastAsia="en-US"/>
        </w:rPr>
      </w:pPr>
      <w:r w:rsidRPr="00DB786E">
        <w:rPr>
          <w:rFonts w:ascii="Segoe UI" w:hAnsi="Segoe UI" w:cs="Segoe UI"/>
          <w:sz w:val="22"/>
          <w:szCs w:val="22"/>
          <w:lang w:eastAsia="en-US"/>
        </w:rPr>
        <w:t xml:space="preserve">In this section, </w:t>
      </w:r>
      <w:r w:rsidR="00AA6021">
        <w:rPr>
          <w:rFonts w:ascii="Segoe UI" w:hAnsi="Segoe UI" w:cs="Segoe UI"/>
          <w:sz w:val="22"/>
          <w:szCs w:val="22"/>
          <w:lang w:eastAsia="en-US"/>
        </w:rPr>
        <w:t xml:space="preserve">Project </w:t>
      </w:r>
      <w:r w:rsidRPr="00DB786E">
        <w:rPr>
          <w:rFonts w:ascii="Segoe UI" w:hAnsi="Segoe UI" w:cs="Segoe UI"/>
          <w:sz w:val="22"/>
          <w:szCs w:val="22"/>
          <w:lang w:eastAsia="en-US"/>
        </w:rPr>
        <w:t>Management should address each recommendation</w:t>
      </w:r>
      <w:r w:rsidR="00627396" w:rsidRPr="00DB786E">
        <w:rPr>
          <w:rFonts w:ascii="Segoe UI" w:hAnsi="Segoe UI" w:cs="Segoe UI"/>
          <w:sz w:val="22"/>
          <w:szCs w:val="22"/>
          <w:lang w:eastAsia="en-US"/>
        </w:rPr>
        <w:t xml:space="preserve"> that is addressed to UNCTAD</w:t>
      </w:r>
      <w:r w:rsidRPr="00DB786E">
        <w:rPr>
          <w:rFonts w:ascii="Segoe UI" w:hAnsi="Segoe UI" w:cs="Segoe UI"/>
          <w:sz w:val="22"/>
          <w:szCs w:val="22"/>
          <w:lang w:eastAsia="en-US"/>
        </w:rPr>
        <w:t xml:space="preserve">, discussing them in the order presented in the evaluation report. This should be done in the format of the Management Response matrix below (see Box 1) and include: </w:t>
      </w:r>
    </w:p>
    <w:p w14:paraId="11BFA3CC"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 xml:space="preserve">The recommendation number and text copied from the evaluation report; </w:t>
      </w:r>
    </w:p>
    <w:p w14:paraId="7FFB960F"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Indication of whether the recommendation is accepted fully, partially, or rejected;</w:t>
      </w:r>
    </w:p>
    <w:p w14:paraId="71B8AC31"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Description of the actions to be taken, with comments as required on the conditions to be met during implementation, or on reasons leading to a partial acceptance or rejection of a recommendation;</w:t>
      </w:r>
    </w:p>
    <w:p w14:paraId="54B2BF9F" w14:textId="1B206141"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The responsible party for implementing the action/s;</w:t>
      </w:r>
    </w:p>
    <w:p w14:paraId="686E1F49"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The time-frame for implementation and/or an implementation schedule, if required;</w:t>
      </w:r>
    </w:p>
    <w:p w14:paraId="63B31C44" w14:textId="3E9CB48F" w:rsidR="002343A2" w:rsidRPr="00DB786E" w:rsidRDefault="002343A2" w:rsidP="00D60307">
      <w:pPr>
        <w:pStyle w:val="Indentletter"/>
        <w:rPr>
          <w:rFonts w:ascii="Segoe UI" w:hAnsi="Segoe UI" w:cs="Segoe UI"/>
          <w:sz w:val="22"/>
          <w:szCs w:val="22"/>
        </w:rPr>
      </w:pPr>
      <w:r w:rsidRPr="00DB786E">
        <w:rPr>
          <w:rFonts w:ascii="Segoe UI" w:hAnsi="Segoe UI" w:cs="Segoe UI"/>
          <w:sz w:val="22"/>
          <w:szCs w:val="22"/>
        </w:rPr>
        <w:t xml:space="preserve">Indication if </w:t>
      </w:r>
      <w:r w:rsidR="00E03BF8" w:rsidRPr="00DB786E">
        <w:rPr>
          <w:rFonts w:ascii="Segoe UI" w:hAnsi="Segoe UI" w:cs="Segoe UI"/>
          <w:sz w:val="22"/>
          <w:szCs w:val="22"/>
        </w:rPr>
        <w:t>and what resources are</w:t>
      </w:r>
      <w:r w:rsidRPr="00DB786E">
        <w:rPr>
          <w:rFonts w:ascii="Segoe UI" w:hAnsi="Segoe UI" w:cs="Segoe UI"/>
          <w:sz w:val="22"/>
          <w:szCs w:val="22"/>
        </w:rPr>
        <w:t xml:space="preserve"> required for implementing the recommendation.</w:t>
      </w:r>
    </w:p>
    <w:p w14:paraId="02AE282D" w14:textId="77777777" w:rsidR="00B17FD6" w:rsidRPr="00CD1972" w:rsidRDefault="00B17FD6" w:rsidP="00D60307">
      <w:pPr>
        <w:rPr>
          <w:lang w:eastAsia="en-US"/>
        </w:rPr>
        <w:sectPr w:rsidR="00B17FD6" w:rsidRPr="00CD1972" w:rsidSect="00CD1972">
          <w:footerReference w:type="default" r:id="rId7"/>
          <w:type w:val="continuous"/>
          <w:pgSz w:w="11906" w:h="16838"/>
          <w:pgMar w:top="1440" w:right="1080" w:bottom="1440" w:left="1080" w:header="708" w:footer="708" w:gutter="0"/>
          <w:cols w:space="708"/>
          <w:docGrid w:linePitch="360"/>
        </w:sectPr>
      </w:pPr>
    </w:p>
    <w:p w14:paraId="4AA7465A" w14:textId="77777777" w:rsidR="002343A2" w:rsidRPr="00E03BF8" w:rsidRDefault="002343A2" w:rsidP="00E03BF8">
      <w:pPr>
        <w:pStyle w:val="Boxnumber"/>
      </w:pPr>
      <w:r w:rsidRPr="00E03BF8">
        <w:lastRenderedPageBreak/>
        <w:t>Management response matrix</w:t>
      </w:r>
      <w:r w:rsidRPr="00D05AAD">
        <w:rPr>
          <w:rStyle w:val="FootnoteReference"/>
        </w:rPr>
        <w:footnoteReference w:id="1"/>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1908"/>
        <w:gridCol w:w="3552"/>
        <w:gridCol w:w="1644"/>
        <w:gridCol w:w="1793"/>
        <w:gridCol w:w="1290"/>
      </w:tblGrid>
      <w:tr w:rsidR="002343A2" w:rsidRPr="00DD69ED" w14:paraId="5FF4E58E" w14:textId="77777777" w:rsidTr="00EF4DBB">
        <w:tc>
          <w:tcPr>
            <w:tcW w:w="12565" w:type="dxa"/>
            <w:gridSpan w:val="5"/>
            <w:shd w:val="clear" w:color="auto" w:fill="D9D9D9"/>
          </w:tcPr>
          <w:p w14:paraId="0E42B6C0" w14:textId="5F3012EA" w:rsidR="002343A2" w:rsidRPr="00DD69ED" w:rsidRDefault="002343A2" w:rsidP="008156B1">
            <w:pPr>
              <w:pStyle w:val="Tableheadingcolumncentred"/>
              <w:rPr>
                <w:lang w:eastAsia="en-US"/>
              </w:rPr>
            </w:pPr>
            <w:r w:rsidRPr="00DD69ED">
              <w:t xml:space="preserve">Management response to the </w:t>
            </w:r>
            <w:r w:rsidR="00CD1972" w:rsidRPr="00DD69ED">
              <w:t xml:space="preserve">Independent Evaluation of </w:t>
            </w:r>
            <w:r w:rsidR="00060151" w:rsidRPr="00DD69ED">
              <w:rPr>
                <w:lang w:val="en-GB"/>
              </w:rPr>
              <w:t>Global Initiative towards post-Covid-19 resurgence of the MSME sector (DA project 2023W)</w:t>
            </w:r>
          </w:p>
        </w:tc>
        <w:tc>
          <w:tcPr>
            <w:tcW w:w="1313" w:type="dxa"/>
            <w:shd w:val="clear" w:color="auto" w:fill="D9D9D9"/>
          </w:tcPr>
          <w:p w14:paraId="3069A53D" w14:textId="77777777" w:rsidR="002343A2" w:rsidRPr="00DD69ED" w:rsidRDefault="002343A2" w:rsidP="00D60307">
            <w:pPr>
              <w:pStyle w:val="Tableheadingcolumncentred"/>
            </w:pPr>
            <w:r w:rsidRPr="00DD69ED">
              <w:t>Date</w:t>
            </w:r>
          </w:p>
        </w:tc>
      </w:tr>
      <w:tr w:rsidR="00B63557" w:rsidRPr="00DD69ED" w14:paraId="624C49DE" w14:textId="77777777" w:rsidTr="00060151">
        <w:tc>
          <w:tcPr>
            <w:tcW w:w="3964" w:type="dxa"/>
            <w:vMerge w:val="restart"/>
            <w:shd w:val="clear" w:color="auto" w:fill="D9D9D9"/>
          </w:tcPr>
          <w:p w14:paraId="511774F7" w14:textId="77777777" w:rsidR="002343A2" w:rsidRPr="00DD69ED" w:rsidRDefault="002343A2" w:rsidP="00D60307">
            <w:pPr>
              <w:pStyle w:val="Tableheadingcolumncentred"/>
              <w:rPr>
                <w:lang w:eastAsia="en-US"/>
              </w:rPr>
            </w:pPr>
            <w:r w:rsidRPr="00DD69ED">
              <w:t>Evaluation Recommendation (a)</w:t>
            </w:r>
          </w:p>
        </w:tc>
        <w:tc>
          <w:tcPr>
            <w:tcW w:w="1985" w:type="dxa"/>
            <w:vMerge w:val="restart"/>
            <w:shd w:val="clear" w:color="auto" w:fill="D9D9D9"/>
          </w:tcPr>
          <w:p w14:paraId="0BEF15A7" w14:textId="77777777" w:rsidR="002343A2" w:rsidRPr="00DD69ED" w:rsidRDefault="002343A2" w:rsidP="00D60307">
            <w:pPr>
              <w:pStyle w:val="Tableheadingcolumncentred"/>
            </w:pPr>
            <w:r w:rsidRPr="00DD69ED">
              <w:t>Management response (b)</w:t>
            </w:r>
          </w:p>
          <w:p w14:paraId="1854A92B" w14:textId="77777777" w:rsidR="002343A2" w:rsidRPr="00DD69ED" w:rsidRDefault="002343A2" w:rsidP="00D60307">
            <w:pPr>
              <w:pStyle w:val="Tableheadingcolumncentred"/>
              <w:rPr>
                <w:color w:val="FF0000"/>
              </w:rPr>
            </w:pPr>
            <w:r w:rsidRPr="00DD69ED">
              <w:rPr>
                <w:color w:val="008000"/>
              </w:rPr>
              <w:t>Accepted</w:t>
            </w:r>
            <w:r w:rsidRPr="00DD69ED">
              <w:t xml:space="preserve">, partially accepted or </w:t>
            </w:r>
            <w:r w:rsidRPr="00DD69ED">
              <w:rPr>
                <w:color w:val="FF0000"/>
              </w:rPr>
              <w:t xml:space="preserve">rejected </w:t>
            </w:r>
          </w:p>
          <w:p w14:paraId="6E1E6D0D" w14:textId="1B0439FA" w:rsidR="00894D16" w:rsidRPr="00DD69ED" w:rsidRDefault="00894D16" w:rsidP="00D60307">
            <w:pPr>
              <w:pStyle w:val="Tableheadingcolumncentred"/>
            </w:pPr>
          </w:p>
        </w:tc>
        <w:tc>
          <w:tcPr>
            <w:tcW w:w="7929" w:type="dxa"/>
            <w:gridSpan w:val="4"/>
            <w:shd w:val="clear" w:color="auto" w:fill="D9D9D9"/>
          </w:tcPr>
          <w:p w14:paraId="204A6D35" w14:textId="77777777" w:rsidR="002343A2" w:rsidRPr="00DD69ED" w:rsidRDefault="002343A2" w:rsidP="00D60307">
            <w:pPr>
              <w:pStyle w:val="Tableheadingcolumncentred"/>
              <w:rPr>
                <w:lang w:eastAsia="en-US"/>
              </w:rPr>
            </w:pPr>
            <w:r w:rsidRPr="00DD69ED">
              <w:t>Management plan</w:t>
            </w:r>
          </w:p>
        </w:tc>
      </w:tr>
      <w:tr w:rsidR="00BB2A92" w:rsidRPr="00DD69ED" w14:paraId="41A9604A" w14:textId="77777777" w:rsidTr="00060151">
        <w:tc>
          <w:tcPr>
            <w:tcW w:w="3964" w:type="dxa"/>
            <w:vMerge/>
            <w:shd w:val="clear" w:color="auto" w:fill="D9D9D9"/>
          </w:tcPr>
          <w:p w14:paraId="23BAABA8" w14:textId="77777777" w:rsidR="002343A2" w:rsidRPr="00DD69ED" w:rsidRDefault="002343A2" w:rsidP="00D60307">
            <w:pPr>
              <w:rPr>
                <w:lang w:eastAsia="en-US"/>
              </w:rPr>
            </w:pPr>
          </w:p>
        </w:tc>
        <w:tc>
          <w:tcPr>
            <w:tcW w:w="1985" w:type="dxa"/>
            <w:vMerge/>
            <w:shd w:val="clear" w:color="auto" w:fill="D9D9D9"/>
          </w:tcPr>
          <w:p w14:paraId="4B5815FC" w14:textId="77777777" w:rsidR="002343A2" w:rsidRPr="00DD69ED" w:rsidRDefault="002343A2" w:rsidP="00D60307">
            <w:pPr>
              <w:rPr>
                <w:lang w:eastAsia="en-US"/>
              </w:rPr>
            </w:pPr>
          </w:p>
        </w:tc>
        <w:tc>
          <w:tcPr>
            <w:tcW w:w="3778" w:type="dxa"/>
            <w:shd w:val="clear" w:color="auto" w:fill="D9D9D9"/>
          </w:tcPr>
          <w:p w14:paraId="0D50491B" w14:textId="77777777" w:rsidR="002343A2" w:rsidRPr="00DD69ED" w:rsidRDefault="002343A2" w:rsidP="00D60307">
            <w:pPr>
              <w:pStyle w:val="Tableheadingcolumncentred"/>
            </w:pPr>
            <w:r w:rsidRPr="00DD69ED">
              <w:t>Actions to be taken, and/or comments about partial acceptance or rejection (c)</w:t>
            </w:r>
          </w:p>
        </w:tc>
        <w:tc>
          <w:tcPr>
            <w:tcW w:w="1521" w:type="dxa"/>
            <w:shd w:val="clear" w:color="auto" w:fill="D9D9D9"/>
          </w:tcPr>
          <w:p w14:paraId="5C113B24" w14:textId="77777777" w:rsidR="002343A2" w:rsidRPr="00DD69ED" w:rsidRDefault="002343A2" w:rsidP="00D60307">
            <w:pPr>
              <w:pStyle w:val="Tableheadingcolumncentred"/>
            </w:pPr>
            <w:r w:rsidRPr="00DD69ED">
              <w:t>Responsible unit (d)</w:t>
            </w:r>
          </w:p>
        </w:tc>
        <w:tc>
          <w:tcPr>
            <w:tcW w:w="1317" w:type="dxa"/>
            <w:shd w:val="clear" w:color="auto" w:fill="D9D9D9"/>
          </w:tcPr>
          <w:p w14:paraId="1C16C5F9" w14:textId="77777777" w:rsidR="002343A2" w:rsidRPr="00DD69ED" w:rsidRDefault="002343A2" w:rsidP="00D60307">
            <w:pPr>
              <w:pStyle w:val="Tableheadingcolumncentred"/>
            </w:pPr>
            <w:r w:rsidRPr="00DD69ED">
              <w:t>Timeframe (e)</w:t>
            </w:r>
          </w:p>
        </w:tc>
        <w:tc>
          <w:tcPr>
            <w:tcW w:w="1313" w:type="dxa"/>
            <w:shd w:val="clear" w:color="auto" w:fill="D9D9D9"/>
          </w:tcPr>
          <w:p w14:paraId="30B59888" w14:textId="2A8F3C91" w:rsidR="002343A2" w:rsidRPr="00DD69ED" w:rsidRDefault="00E03BF8" w:rsidP="00D60307">
            <w:pPr>
              <w:pStyle w:val="Tableheadingcolumncentred"/>
            </w:pPr>
            <w:r w:rsidRPr="00DD69ED">
              <w:t xml:space="preserve">Resources </w:t>
            </w:r>
            <w:r w:rsidR="003C33DD" w:rsidRPr="00DD69ED">
              <w:t>required</w:t>
            </w:r>
            <w:r w:rsidR="002343A2" w:rsidRPr="00DD69ED">
              <w:t xml:space="preserve"> </w:t>
            </w:r>
            <w:r w:rsidR="002343A2" w:rsidRPr="00DD69ED">
              <w:br/>
              <w:t>(Y or N) (f)</w:t>
            </w:r>
          </w:p>
        </w:tc>
      </w:tr>
      <w:tr w:rsidR="00D045ED" w:rsidRPr="00DD69ED" w14:paraId="5404EE28" w14:textId="77777777" w:rsidTr="00060151">
        <w:tc>
          <w:tcPr>
            <w:tcW w:w="3964" w:type="dxa"/>
          </w:tcPr>
          <w:p w14:paraId="04EBB222" w14:textId="434E64D7" w:rsidR="00F87646" w:rsidRPr="00DD69ED" w:rsidRDefault="00E61724" w:rsidP="00E61724">
            <w:pPr>
              <w:pStyle w:val="Copy"/>
              <w:rPr>
                <w:rFonts w:ascii="Segoe UI" w:hAnsi="Segoe UI" w:cs="Segoe UI"/>
                <w:b/>
                <w:bCs/>
                <w:iCs/>
                <w:lang w:val="en-US"/>
              </w:rPr>
            </w:pPr>
            <w:r w:rsidRPr="00DD69ED">
              <w:rPr>
                <w:rFonts w:ascii="Segoe UI" w:hAnsi="Segoe UI" w:cs="Segoe UI"/>
                <w:b/>
                <w:bCs/>
                <w:iCs/>
                <w:lang w:val="en-US"/>
              </w:rPr>
              <w:t>Recommendation</w:t>
            </w:r>
            <w:r w:rsidR="00F4226C" w:rsidRPr="00DD69ED">
              <w:rPr>
                <w:rFonts w:ascii="Segoe UI" w:hAnsi="Segoe UI" w:cs="Segoe UI"/>
                <w:b/>
                <w:bCs/>
                <w:iCs/>
                <w:lang w:val="en-US"/>
              </w:rPr>
              <w:t xml:space="preserve"> 1:</w:t>
            </w:r>
          </w:p>
          <w:p w14:paraId="3F864330" w14:textId="77777777" w:rsidR="002343A2" w:rsidRPr="00DD69ED" w:rsidRDefault="00060151" w:rsidP="00FE411B">
            <w:pPr>
              <w:pStyle w:val="Numberedpara"/>
              <w:numPr>
                <w:ilvl w:val="0"/>
                <w:numId w:val="0"/>
              </w:numPr>
              <w:spacing w:before="0" w:after="240"/>
              <w:rPr>
                <w:rFonts w:cs="Segoe UI"/>
                <w:i/>
                <w:iCs/>
                <w:szCs w:val="21"/>
              </w:rPr>
            </w:pPr>
            <w:r w:rsidRPr="00DD69ED">
              <w:rPr>
                <w:rFonts w:cs="Segoe UI"/>
                <w:i/>
                <w:iCs/>
                <w:szCs w:val="21"/>
              </w:rPr>
              <w:t>(</w:t>
            </w:r>
            <w:proofErr w:type="spellStart"/>
            <w:r w:rsidRPr="00DD69ED">
              <w:rPr>
                <w:rFonts w:cs="Segoe UI"/>
                <w:i/>
                <w:iCs/>
                <w:szCs w:val="21"/>
              </w:rPr>
              <w:t>i</w:t>
            </w:r>
            <w:proofErr w:type="spellEnd"/>
            <w:r w:rsidRPr="00DD69ED">
              <w:rPr>
                <w:rFonts w:cs="Segoe UI"/>
                <w:i/>
                <w:iCs/>
                <w:szCs w:val="21"/>
              </w:rPr>
              <w:t>) UNCTAD should further leverage the experience gained through the project to map out how components of the Entrepreneurship Policy Framework relate to and can be best positioned to support MSMEs in their recovery from different types of crises and (ii) DESA and the Regional Commissions should add their analysis of how their work can contribute towards the objective.</w:t>
            </w:r>
          </w:p>
          <w:p w14:paraId="2F077088" w14:textId="5CF2A026" w:rsidR="00060151" w:rsidRPr="00DD69ED" w:rsidRDefault="00060151" w:rsidP="00FE411B">
            <w:pPr>
              <w:pStyle w:val="Numberedpara"/>
              <w:numPr>
                <w:ilvl w:val="0"/>
                <w:numId w:val="0"/>
              </w:numPr>
              <w:spacing w:before="0" w:after="240"/>
              <w:rPr>
                <w:rFonts w:cs="Segoe UI"/>
                <w:szCs w:val="21"/>
              </w:rPr>
            </w:pPr>
            <w:r w:rsidRPr="00DD69ED">
              <w:rPr>
                <w:rFonts w:cs="Segoe UI"/>
                <w:szCs w:val="21"/>
              </w:rPr>
              <w:t xml:space="preserve">UNCTAD, DESA and the Regional Commissions could build on the </w:t>
            </w:r>
            <w:r w:rsidRPr="00DD69ED">
              <w:rPr>
                <w:rFonts w:cs="Segoe UI"/>
                <w:szCs w:val="21"/>
              </w:rPr>
              <w:lastRenderedPageBreak/>
              <w:t xml:space="preserve">project to map their areas of intervention in support of the MSME sector, as well as capacities and knowledge on the implementation of the EPF components, including in a crisis context, and opportunities for broadening the uptake of EPF components at the regional level based on national needs. UNCTAD, DESA and the Regional Commissions could further consider identifying areas of joint interventions that would trigger complementarities and synergies between the agencies. This could involve collaborating on the development of capacities of all national and sub-national actors, i.e. Governments, MSMEs, other  partners (e.g. Chamber of Commerce, Business Incubators, etc.) in line with United Nations Sustainable Development Cooperation Frameworks (SDCF) in respective countries; strengthening or contributing to facilitate access to finance for the MSMEs (including seed money, grants, access to credit, etc.); improving the coordination of MSMEs related policies across ministries; increasing interventions at the local level, such as by supporting NGOs or MSMEs outside of the main </w:t>
            </w:r>
            <w:r w:rsidRPr="00DD69ED">
              <w:rPr>
                <w:rFonts w:cs="Segoe UI"/>
                <w:szCs w:val="21"/>
              </w:rPr>
              <w:lastRenderedPageBreak/>
              <w:t>cities. The application of a human rights-based approach, gender responsiveness and inclusion of other vulnerable groups (LNOB) should be ensured.</w:t>
            </w:r>
          </w:p>
        </w:tc>
        <w:tc>
          <w:tcPr>
            <w:tcW w:w="1985" w:type="dxa"/>
          </w:tcPr>
          <w:p w14:paraId="4B74E5C6" w14:textId="04367C3A" w:rsidR="002343A2" w:rsidRPr="00DD69ED" w:rsidRDefault="00EC693A" w:rsidP="004D732E">
            <w:pPr>
              <w:pStyle w:val="Tableheadingcolumn"/>
              <w:rPr>
                <w:rFonts w:ascii="Segoe UI" w:hAnsi="Segoe UI" w:cs="Segoe UI"/>
                <w:sz w:val="22"/>
                <w:szCs w:val="28"/>
                <w:lang w:eastAsia="en-US"/>
              </w:rPr>
            </w:pPr>
            <w:r w:rsidRPr="00DD69ED">
              <w:rPr>
                <w:rFonts w:ascii="Segoe UI" w:hAnsi="Segoe UI" w:cs="Segoe UI"/>
                <w:sz w:val="22"/>
                <w:szCs w:val="28"/>
                <w:lang w:eastAsia="en-US"/>
              </w:rPr>
              <w:lastRenderedPageBreak/>
              <w:t>Accepted</w:t>
            </w:r>
          </w:p>
        </w:tc>
        <w:tc>
          <w:tcPr>
            <w:tcW w:w="3778" w:type="dxa"/>
          </w:tcPr>
          <w:p w14:paraId="403C8402" w14:textId="78581D1B" w:rsidR="00BB2A92" w:rsidRPr="00DD69ED" w:rsidRDefault="00181016" w:rsidP="00DD69ED">
            <w:pPr>
              <w:pStyle w:val="Tableboxleft"/>
              <w:numPr>
                <w:ilvl w:val="0"/>
                <w:numId w:val="8"/>
              </w:numPr>
              <w:rPr>
                <w:rFonts w:ascii="Segoe UI" w:hAnsi="Segoe UI" w:cs="Segoe UI"/>
                <w:sz w:val="22"/>
                <w:szCs w:val="28"/>
                <w:lang w:eastAsia="en-US"/>
              </w:rPr>
            </w:pPr>
            <w:r w:rsidRPr="00DD69ED">
              <w:rPr>
                <w:rFonts w:ascii="Segoe UI" w:hAnsi="Segoe UI" w:cs="Segoe UI"/>
                <w:sz w:val="22"/>
                <w:szCs w:val="28"/>
                <w:lang w:eastAsia="en-US"/>
              </w:rPr>
              <w:t xml:space="preserve">ESCWA will use the EPF to support MSMEs by mapping and positioning EPF components to address their needs during crises, with an initial analysis to be completed by Q4 2024 and reviewed </w:t>
            </w:r>
            <w:r w:rsidR="00BB2A92" w:rsidRPr="00DD69ED">
              <w:rPr>
                <w:rFonts w:ascii="Segoe UI" w:hAnsi="Segoe UI" w:cs="Segoe UI"/>
                <w:sz w:val="22"/>
                <w:szCs w:val="28"/>
                <w:lang w:eastAsia="en-US"/>
              </w:rPr>
              <w:t>every four years</w:t>
            </w:r>
            <w:r w:rsidRPr="00DD69ED">
              <w:rPr>
                <w:rFonts w:ascii="Segoe UI" w:hAnsi="Segoe UI" w:cs="Segoe UI"/>
                <w:sz w:val="22"/>
                <w:szCs w:val="28"/>
                <w:lang w:eastAsia="en-US"/>
              </w:rPr>
              <w:t xml:space="preserve">. </w:t>
            </w:r>
          </w:p>
          <w:p w14:paraId="66FE0051" w14:textId="600B0582" w:rsidR="00181016" w:rsidRPr="00DD69ED" w:rsidRDefault="00181016" w:rsidP="00DD69ED">
            <w:pPr>
              <w:pStyle w:val="Tableboxleft"/>
              <w:numPr>
                <w:ilvl w:val="0"/>
                <w:numId w:val="8"/>
              </w:numPr>
              <w:rPr>
                <w:rFonts w:ascii="Segoe UI" w:hAnsi="Segoe UI" w:cs="Segoe UI"/>
                <w:sz w:val="22"/>
                <w:szCs w:val="28"/>
                <w:lang w:eastAsia="en-US"/>
              </w:rPr>
            </w:pPr>
            <w:r w:rsidRPr="00DD69ED">
              <w:rPr>
                <w:rFonts w:ascii="Segoe UI" w:hAnsi="Segoe UI" w:cs="Segoe UI"/>
                <w:sz w:val="22"/>
                <w:szCs w:val="28"/>
                <w:lang w:eastAsia="en-US"/>
              </w:rPr>
              <w:t xml:space="preserve">Collaborating with </w:t>
            </w:r>
            <w:r w:rsidR="00BB2A92" w:rsidRPr="00DD69ED">
              <w:rPr>
                <w:rFonts w:ascii="Segoe UI" w:hAnsi="Segoe UI" w:cs="Segoe UI"/>
                <w:sz w:val="22"/>
                <w:szCs w:val="28"/>
                <w:lang w:eastAsia="en-US"/>
              </w:rPr>
              <w:t>UN entities</w:t>
            </w:r>
            <w:r w:rsidRPr="00DD69ED">
              <w:rPr>
                <w:rFonts w:ascii="Segoe UI" w:hAnsi="Segoe UI" w:cs="Segoe UI"/>
                <w:sz w:val="22"/>
                <w:szCs w:val="28"/>
                <w:lang w:eastAsia="en-US"/>
              </w:rPr>
              <w:t xml:space="preserve">, ESCWA will identify joint interventions to enhance capacity </w:t>
            </w:r>
            <w:r w:rsidRPr="00DD69ED">
              <w:rPr>
                <w:rFonts w:ascii="Segoe UI" w:hAnsi="Segoe UI" w:cs="Segoe UI"/>
                <w:sz w:val="22"/>
                <w:szCs w:val="28"/>
                <w:lang w:eastAsia="en-US"/>
              </w:rPr>
              <w:lastRenderedPageBreak/>
              <w:t>development for national and sub-national actors, facilitate access to finance, improve policy coordination, and increase local-level interventions, ensuring sustainability and broadening EPF uptake regionally.</w:t>
            </w:r>
          </w:p>
          <w:p w14:paraId="395F0462" w14:textId="77777777" w:rsidR="00181016" w:rsidRPr="00DD69ED" w:rsidRDefault="00181016" w:rsidP="00181016">
            <w:pPr>
              <w:pStyle w:val="Tableboxleft"/>
              <w:rPr>
                <w:rFonts w:ascii="Segoe UI" w:hAnsi="Segoe UI" w:cs="Segoe UI"/>
                <w:sz w:val="22"/>
                <w:szCs w:val="28"/>
                <w:lang w:eastAsia="en-US"/>
              </w:rPr>
            </w:pPr>
          </w:p>
          <w:p w14:paraId="0D37FF18" w14:textId="77777777" w:rsidR="00181016" w:rsidRPr="00DD69ED" w:rsidRDefault="00181016" w:rsidP="00181016">
            <w:pPr>
              <w:pStyle w:val="Tableboxleft"/>
              <w:rPr>
                <w:rFonts w:ascii="Segoe UI" w:hAnsi="Segoe UI" w:cs="Segoe UI"/>
                <w:sz w:val="22"/>
                <w:szCs w:val="28"/>
                <w:lang w:eastAsia="en-US"/>
              </w:rPr>
            </w:pPr>
          </w:p>
          <w:p w14:paraId="3841E6E1" w14:textId="77777777" w:rsidR="00181016" w:rsidRPr="00DD69ED" w:rsidRDefault="00181016" w:rsidP="00181016">
            <w:pPr>
              <w:pStyle w:val="Tableboxleft"/>
              <w:rPr>
                <w:rFonts w:ascii="Segoe UI" w:hAnsi="Segoe UI" w:cs="Segoe UI"/>
                <w:sz w:val="22"/>
                <w:szCs w:val="28"/>
                <w:lang w:eastAsia="en-US"/>
              </w:rPr>
            </w:pPr>
          </w:p>
          <w:p w14:paraId="53431131" w14:textId="77777777" w:rsidR="00181016" w:rsidRPr="00DD69ED" w:rsidRDefault="00181016" w:rsidP="00181016">
            <w:pPr>
              <w:pStyle w:val="Tableboxleft"/>
              <w:rPr>
                <w:rFonts w:ascii="Segoe UI" w:hAnsi="Segoe UI" w:cs="Segoe UI"/>
                <w:sz w:val="22"/>
                <w:szCs w:val="28"/>
                <w:lang w:eastAsia="en-US"/>
              </w:rPr>
            </w:pPr>
          </w:p>
          <w:p w14:paraId="4EF75B44" w14:textId="77777777" w:rsidR="00181016" w:rsidRPr="00DD69ED" w:rsidRDefault="00181016" w:rsidP="00181016">
            <w:pPr>
              <w:pStyle w:val="Tableboxleft"/>
              <w:rPr>
                <w:rFonts w:ascii="Segoe UI" w:hAnsi="Segoe UI" w:cs="Segoe UI"/>
                <w:sz w:val="22"/>
                <w:szCs w:val="28"/>
                <w:lang w:eastAsia="en-US"/>
              </w:rPr>
            </w:pPr>
          </w:p>
          <w:p w14:paraId="5E9FCAFF" w14:textId="40A72332" w:rsidR="002343A2" w:rsidRPr="00DD69ED" w:rsidRDefault="002343A2" w:rsidP="00D60307">
            <w:pPr>
              <w:pStyle w:val="Tableboxleft"/>
              <w:rPr>
                <w:rFonts w:ascii="Segoe UI" w:hAnsi="Segoe UI" w:cs="Segoe UI"/>
                <w:sz w:val="22"/>
                <w:szCs w:val="28"/>
                <w:lang w:eastAsia="en-US"/>
              </w:rPr>
            </w:pPr>
          </w:p>
        </w:tc>
        <w:tc>
          <w:tcPr>
            <w:tcW w:w="1521" w:type="dxa"/>
          </w:tcPr>
          <w:p w14:paraId="333B9252" w14:textId="558B22DC" w:rsidR="002343A2" w:rsidRPr="00DD69ED" w:rsidRDefault="002D3AB1"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lastRenderedPageBreak/>
              <w:t>ESCWA Technology Centre</w:t>
            </w:r>
          </w:p>
        </w:tc>
        <w:tc>
          <w:tcPr>
            <w:tcW w:w="1317" w:type="dxa"/>
          </w:tcPr>
          <w:p w14:paraId="7ED12000" w14:textId="66F81C87" w:rsidR="002343A2" w:rsidRPr="00DD69ED" w:rsidRDefault="00BB2A92" w:rsidP="00DD69ED">
            <w:pPr>
              <w:pStyle w:val="Tableboxleft"/>
              <w:numPr>
                <w:ilvl w:val="0"/>
                <w:numId w:val="9"/>
              </w:numPr>
              <w:rPr>
                <w:rFonts w:ascii="Segoe UI" w:hAnsi="Segoe UI" w:cs="Segoe UI"/>
                <w:sz w:val="22"/>
                <w:szCs w:val="28"/>
                <w:lang w:eastAsia="en-US"/>
              </w:rPr>
            </w:pPr>
            <w:r w:rsidRPr="00DD69ED">
              <w:rPr>
                <w:rFonts w:ascii="Segoe UI" w:hAnsi="Segoe UI" w:cs="Segoe UI"/>
                <w:sz w:val="22"/>
                <w:szCs w:val="28"/>
                <w:lang w:eastAsia="en-US"/>
              </w:rPr>
              <w:t>April 2025</w:t>
            </w:r>
          </w:p>
          <w:p w14:paraId="0F692D08" w14:textId="75935A94" w:rsidR="00BB2A92" w:rsidRPr="00DD69ED" w:rsidRDefault="00BB2A92" w:rsidP="00DD69ED">
            <w:pPr>
              <w:pStyle w:val="Tableboxleft"/>
              <w:numPr>
                <w:ilvl w:val="0"/>
                <w:numId w:val="9"/>
              </w:numPr>
              <w:rPr>
                <w:rFonts w:ascii="Segoe UI" w:hAnsi="Segoe UI" w:cs="Segoe UI"/>
                <w:sz w:val="22"/>
                <w:szCs w:val="28"/>
                <w:lang w:eastAsia="en-US"/>
              </w:rPr>
            </w:pPr>
            <w:r w:rsidRPr="00DD69ED">
              <w:rPr>
                <w:rFonts w:ascii="Segoe UI" w:hAnsi="Segoe UI" w:cs="Segoe UI"/>
                <w:sz w:val="22"/>
                <w:szCs w:val="28"/>
                <w:lang w:eastAsia="en-US"/>
              </w:rPr>
              <w:t>Ongoing</w:t>
            </w:r>
          </w:p>
        </w:tc>
        <w:tc>
          <w:tcPr>
            <w:tcW w:w="1313" w:type="dxa"/>
          </w:tcPr>
          <w:p w14:paraId="50F14C32" w14:textId="76CC7025" w:rsidR="002343A2" w:rsidRPr="00DD69ED" w:rsidRDefault="003B6F83"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N</w:t>
            </w:r>
          </w:p>
        </w:tc>
      </w:tr>
      <w:tr w:rsidR="00F4226C" w:rsidRPr="00DD69ED" w14:paraId="4298B6C0" w14:textId="77777777" w:rsidTr="00060151">
        <w:tc>
          <w:tcPr>
            <w:tcW w:w="3964" w:type="dxa"/>
          </w:tcPr>
          <w:p w14:paraId="3CB9195D" w14:textId="77777777" w:rsidR="00F4226C" w:rsidRPr="00DD69ED" w:rsidRDefault="00F4226C" w:rsidP="00E61724">
            <w:pPr>
              <w:pStyle w:val="Copy"/>
              <w:rPr>
                <w:rFonts w:ascii="Segoe UI" w:hAnsi="Segoe UI" w:cs="Segoe UI"/>
                <w:b/>
                <w:bCs/>
                <w:iCs/>
                <w:lang w:val="en-US"/>
              </w:rPr>
            </w:pPr>
            <w:r w:rsidRPr="00DD69ED">
              <w:rPr>
                <w:rFonts w:ascii="Segoe UI" w:hAnsi="Segoe UI" w:cs="Segoe UI"/>
                <w:b/>
                <w:bCs/>
                <w:iCs/>
                <w:lang w:val="en-US"/>
              </w:rPr>
              <w:lastRenderedPageBreak/>
              <w:t>Recommendation 2:</w:t>
            </w:r>
          </w:p>
          <w:p w14:paraId="11023500" w14:textId="77777777" w:rsidR="00060151" w:rsidRPr="00DD69ED" w:rsidRDefault="00060151" w:rsidP="00E61724">
            <w:pPr>
              <w:pStyle w:val="Copy"/>
              <w:rPr>
                <w:rFonts w:ascii="Segoe UI" w:hAnsi="Segoe UI" w:cs="Segoe UI"/>
                <w:i/>
                <w:lang w:val="en-US"/>
              </w:rPr>
            </w:pPr>
            <w:r w:rsidRPr="00DD69ED">
              <w:rPr>
                <w:rFonts w:ascii="Segoe UI" w:hAnsi="Segoe UI" w:cs="Segoe UI"/>
                <w:i/>
                <w:lang w:val="en-US"/>
              </w:rPr>
              <w:t xml:space="preserve">UNCTAD should continue building on the momentum generated by the project to continue fostering knowledge exchanges and promoting the Entrepreneurship Policy Framework. </w:t>
            </w:r>
          </w:p>
          <w:p w14:paraId="0EA8C865" w14:textId="41213C0C" w:rsidR="00060151" w:rsidRPr="00DD69ED" w:rsidRDefault="00060151" w:rsidP="00E61724">
            <w:pPr>
              <w:pStyle w:val="Copy"/>
              <w:rPr>
                <w:rFonts w:ascii="Segoe UI" w:hAnsi="Segoe UI" w:cs="Segoe UI"/>
                <w:iCs/>
                <w:lang w:val="en-US"/>
              </w:rPr>
            </w:pPr>
            <w:r w:rsidRPr="00DD69ED">
              <w:rPr>
                <w:rFonts w:ascii="Segoe UI" w:hAnsi="Segoe UI" w:cs="Segoe UI"/>
                <w:iCs/>
                <w:lang w:val="en-US"/>
              </w:rPr>
              <w:t>UNCTAD, DESA and the R</w:t>
            </w:r>
            <w:r w:rsidR="007B42DB" w:rsidRPr="00DD69ED">
              <w:rPr>
                <w:rFonts w:ascii="Segoe UI" w:hAnsi="Segoe UI" w:cs="Segoe UI"/>
                <w:iCs/>
                <w:lang w:val="en-US"/>
              </w:rPr>
              <w:t>egional Commission</w:t>
            </w:r>
            <w:r w:rsidRPr="00DD69ED">
              <w:rPr>
                <w:rFonts w:ascii="Segoe UI" w:hAnsi="Segoe UI" w:cs="Segoe UI"/>
                <w:iCs/>
                <w:lang w:val="en-US"/>
              </w:rPr>
              <w:t xml:space="preserve">s should identify means to more meaningfully continue to share good practices and lessons learned on the demand-driven support they provide to the MSME sector, including on areas such as green/circular economy; innovation policies and ecosystems; MSME formalization and strengthening MSME capacities for the empowerment and leadership of women, youth and groups in vulnerable situations. UNCTAD and the </w:t>
            </w:r>
            <w:bookmarkStart w:id="0" w:name="_Hlk166513946"/>
            <w:r w:rsidRPr="00DD69ED">
              <w:rPr>
                <w:rFonts w:ascii="Segoe UI" w:hAnsi="Segoe UI" w:cs="Segoe UI"/>
                <w:iCs/>
                <w:lang w:val="en-US"/>
              </w:rPr>
              <w:t>R</w:t>
            </w:r>
            <w:r w:rsidR="007B42DB" w:rsidRPr="00DD69ED">
              <w:rPr>
                <w:rFonts w:ascii="Segoe UI" w:hAnsi="Segoe UI" w:cs="Segoe UI"/>
                <w:iCs/>
                <w:lang w:val="en-US"/>
              </w:rPr>
              <w:t>egional Commission</w:t>
            </w:r>
            <w:r w:rsidRPr="00DD69ED">
              <w:rPr>
                <w:rFonts w:ascii="Segoe UI" w:hAnsi="Segoe UI" w:cs="Segoe UI"/>
                <w:iCs/>
                <w:lang w:val="en-US"/>
              </w:rPr>
              <w:t xml:space="preserve">s </w:t>
            </w:r>
            <w:bookmarkEnd w:id="0"/>
            <w:r w:rsidRPr="00DD69ED">
              <w:rPr>
                <w:rFonts w:ascii="Segoe UI" w:hAnsi="Segoe UI" w:cs="Segoe UI"/>
                <w:iCs/>
                <w:lang w:val="en-US"/>
              </w:rPr>
              <w:t xml:space="preserve">could also propose organizing regional </w:t>
            </w:r>
            <w:r w:rsidRPr="00DD69ED">
              <w:rPr>
                <w:rFonts w:ascii="Segoe UI" w:hAnsi="Segoe UI" w:cs="Segoe UI"/>
                <w:iCs/>
                <w:lang w:val="en-US"/>
              </w:rPr>
              <w:lastRenderedPageBreak/>
              <w:t>events and/or a global conference to promote entrepreneurship policy and further advance the goals and impact of the Surge project. Furthermore, learnings from the experiences with the Surge about external partnerships should encourage UNCTAD to promote the EPF and entrepreneurship development to other UN agencies also engaged in this area (e.g. ILO, FAO, UN Women, etc.), to development banks, or to related initiatives such as the recent Global Accelerator on Jobs and Social Protection. UNCTAD could also consider joining and supporting events that promote the achievement of SDG 8.3 as an avenue to further promote the EPF.</w:t>
            </w:r>
          </w:p>
        </w:tc>
        <w:tc>
          <w:tcPr>
            <w:tcW w:w="1985" w:type="dxa"/>
          </w:tcPr>
          <w:p w14:paraId="7C1C7D7D" w14:textId="77F4D356" w:rsidR="00F4226C" w:rsidRPr="00DD69ED" w:rsidRDefault="00EC693A" w:rsidP="004D732E">
            <w:pPr>
              <w:pStyle w:val="Tableheadingcolumn"/>
              <w:rPr>
                <w:rFonts w:ascii="Segoe UI" w:hAnsi="Segoe UI" w:cs="Segoe UI"/>
                <w:sz w:val="22"/>
                <w:szCs w:val="28"/>
                <w:lang w:eastAsia="en-US"/>
              </w:rPr>
            </w:pPr>
            <w:r w:rsidRPr="00DD69ED">
              <w:rPr>
                <w:rFonts w:ascii="Segoe UI" w:hAnsi="Segoe UI" w:cs="Segoe UI"/>
                <w:sz w:val="22"/>
                <w:szCs w:val="28"/>
                <w:lang w:eastAsia="en-US"/>
              </w:rPr>
              <w:lastRenderedPageBreak/>
              <w:t>Accepted</w:t>
            </w:r>
          </w:p>
        </w:tc>
        <w:tc>
          <w:tcPr>
            <w:tcW w:w="3778" w:type="dxa"/>
          </w:tcPr>
          <w:p w14:paraId="6C072A74" w14:textId="2FB20C2A" w:rsidR="00F4226C" w:rsidRPr="00DD69ED" w:rsidRDefault="00EC693A"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 xml:space="preserve">ESCWA hosts the annual Arab SMEs </w:t>
            </w:r>
            <w:r w:rsidR="00C16129" w:rsidRPr="00DD69ED">
              <w:rPr>
                <w:rFonts w:ascii="Segoe UI" w:hAnsi="Segoe UI" w:cs="Segoe UI"/>
                <w:sz w:val="22"/>
                <w:szCs w:val="28"/>
                <w:lang w:eastAsia="en-US"/>
              </w:rPr>
              <w:t>summit and</w:t>
            </w:r>
            <w:r w:rsidR="00120308" w:rsidRPr="00DD69ED">
              <w:rPr>
                <w:rFonts w:ascii="Segoe UI" w:hAnsi="Segoe UI" w:cs="Segoe UI"/>
                <w:sz w:val="22"/>
                <w:szCs w:val="28"/>
                <w:lang w:eastAsia="en-US"/>
              </w:rPr>
              <w:t xml:space="preserve"> </w:t>
            </w:r>
            <w:r w:rsidR="00C16129" w:rsidRPr="00DD69ED">
              <w:rPr>
                <w:rFonts w:ascii="Segoe UI" w:hAnsi="Segoe UI" w:cs="Segoe UI"/>
                <w:sz w:val="22"/>
                <w:szCs w:val="28"/>
                <w:lang w:eastAsia="en-US"/>
              </w:rPr>
              <w:t>expects</w:t>
            </w:r>
            <w:r w:rsidR="00120308" w:rsidRPr="00DD69ED">
              <w:rPr>
                <w:rFonts w:ascii="Segoe UI" w:hAnsi="Segoe UI" w:cs="Segoe UI"/>
                <w:sz w:val="22"/>
                <w:szCs w:val="28"/>
                <w:lang w:eastAsia="en-US"/>
              </w:rPr>
              <w:t xml:space="preserve"> to host another edition in 202</w:t>
            </w:r>
            <w:r w:rsidR="00C16129" w:rsidRPr="00DD69ED">
              <w:rPr>
                <w:rFonts w:ascii="Segoe UI" w:hAnsi="Segoe UI" w:cs="Segoe UI"/>
                <w:sz w:val="22"/>
                <w:szCs w:val="28"/>
                <w:lang w:eastAsia="en-US"/>
              </w:rPr>
              <w:t>4</w:t>
            </w:r>
            <w:r w:rsidR="00120308" w:rsidRPr="00DD69ED">
              <w:rPr>
                <w:rFonts w:ascii="Segoe UI" w:hAnsi="Segoe UI" w:cs="Segoe UI"/>
                <w:sz w:val="22"/>
                <w:szCs w:val="28"/>
                <w:lang w:eastAsia="en-US"/>
              </w:rPr>
              <w:t xml:space="preserve">. This event </w:t>
            </w:r>
            <w:r w:rsidRPr="00DD69ED">
              <w:rPr>
                <w:rFonts w:ascii="Segoe UI" w:hAnsi="Segoe UI" w:cs="Segoe UI"/>
                <w:sz w:val="22"/>
                <w:szCs w:val="28"/>
                <w:lang w:eastAsia="en-US"/>
              </w:rPr>
              <w:t xml:space="preserve">provides </w:t>
            </w:r>
            <w:r w:rsidR="00120308" w:rsidRPr="00DD69ED">
              <w:rPr>
                <w:rFonts w:ascii="Segoe UI" w:hAnsi="Segoe UI" w:cs="Segoe UI"/>
                <w:sz w:val="22"/>
                <w:szCs w:val="28"/>
                <w:lang w:eastAsia="en-US"/>
              </w:rPr>
              <w:t xml:space="preserve">national and regional partners with a forum to forge partnerships, develop improved MSME policy frameworks, share </w:t>
            </w:r>
            <w:r w:rsidR="00C16129" w:rsidRPr="00DD69ED">
              <w:rPr>
                <w:rFonts w:ascii="Segoe UI" w:hAnsi="Segoe UI" w:cs="Segoe UI"/>
                <w:sz w:val="22"/>
                <w:szCs w:val="28"/>
                <w:lang w:eastAsia="en-US"/>
              </w:rPr>
              <w:t>experiences,</w:t>
            </w:r>
            <w:r w:rsidR="00120308" w:rsidRPr="00DD69ED">
              <w:rPr>
                <w:rFonts w:ascii="Segoe UI" w:hAnsi="Segoe UI" w:cs="Segoe UI"/>
                <w:sz w:val="22"/>
                <w:szCs w:val="28"/>
                <w:lang w:eastAsia="en-US"/>
              </w:rPr>
              <w:t xml:space="preserve"> and promote collaboration. </w:t>
            </w:r>
            <w:r w:rsidR="002D3AB1" w:rsidRPr="00DD69ED">
              <w:rPr>
                <w:rFonts w:ascii="Segoe UI" w:hAnsi="Segoe UI" w:cs="Segoe UI"/>
                <w:sz w:val="22"/>
                <w:szCs w:val="28"/>
                <w:lang w:eastAsia="en-US"/>
              </w:rPr>
              <w:t>Through</w:t>
            </w:r>
            <w:r w:rsidR="00120308" w:rsidRPr="00DD69ED">
              <w:rPr>
                <w:rFonts w:ascii="Segoe UI" w:hAnsi="Segoe UI" w:cs="Segoe UI"/>
                <w:sz w:val="22"/>
                <w:szCs w:val="28"/>
                <w:lang w:eastAsia="en-US"/>
              </w:rPr>
              <w:t xml:space="preserve"> this event, ESCWA will continue to share good practices and lessons learned on demand-driven support for the MSME sector.</w:t>
            </w:r>
          </w:p>
        </w:tc>
        <w:tc>
          <w:tcPr>
            <w:tcW w:w="1521" w:type="dxa"/>
          </w:tcPr>
          <w:p w14:paraId="44ED3C77" w14:textId="77777777" w:rsidR="00F4226C" w:rsidRPr="00DD69ED" w:rsidRDefault="00120308"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 xml:space="preserve">ESCWA Technology </w:t>
            </w:r>
          </w:p>
          <w:p w14:paraId="69F4A2B1" w14:textId="2ECB3B58" w:rsidR="00120308" w:rsidRPr="00DD69ED" w:rsidRDefault="00120308"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Centre</w:t>
            </w:r>
          </w:p>
        </w:tc>
        <w:tc>
          <w:tcPr>
            <w:tcW w:w="1317" w:type="dxa"/>
          </w:tcPr>
          <w:p w14:paraId="6912588F" w14:textId="52A5C80F" w:rsidR="00F4226C" w:rsidRPr="00DD69ED" w:rsidRDefault="00C16129"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December 2024</w:t>
            </w:r>
          </w:p>
        </w:tc>
        <w:tc>
          <w:tcPr>
            <w:tcW w:w="1313" w:type="dxa"/>
          </w:tcPr>
          <w:p w14:paraId="7FDC543D" w14:textId="1BF739EC" w:rsidR="00F4226C" w:rsidRPr="00DD69ED" w:rsidRDefault="003B6F83"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N</w:t>
            </w:r>
          </w:p>
        </w:tc>
      </w:tr>
      <w:tr w:rsidR="00F4226C" w:rsidRPr="00DD69ED" w14:paraId="107A3DED" w14:textId="77777777" w:rsidTr="00060151">
        <w:tc>
          <w:tcPr>
            <w:tcW w:w="3964" w:type="dxa"/>
          </w:tcPr>
          <w:p w14:paraId="59A26A78" w14:textId="77777777" w:rsidR="00F4226C" w:rsidRPr="00DD69ED" w:rsidRDefault="00F4226C" w:rsidP="00E61724">
            <w:pPr>
              <w:pStyle w:val="Copy"/>
              <w:rPr>
                <w:rFonts w:ascii="Segoe UI" w:hAnsi="Segoe UI" w:cs="Segoe UI"/>
                <w:b/>
                <w:bCs/>
                <w:iCs/>
                <w:lang w:val="en-US"/>
              </w:rPr>
            </w:pPr>
            <w:r w:rsidRPr="00DD69ED">
              <w:rPr>
                <w:rFonts w:ascii="Segoe UI" w:hAnsi="Segoe UI" w:cs="Segoe UI"/>
                <w:b/>
                <w:bCs/>
                <w:iCs/>
                <w:lang w:val="en-US"/>
              </w:rPr>
              <w:t>Recommendation 3:</w:t>
            </w:r>
          </w:p>
          <w:p w14:paraId="38B898C6" w14:textId="73E4933E" w:rsidR="00060151" w:rsidRPr="00DD69ED" w:rsidRDefault="00060151" w:rsidP="00E61724">
            <w:pPr>
              <w:pStyle w:val="Copy"/>
              <w:rPr>
                <w:rFonts w:ascii="Segoe UI" w:hAnsi="Segoe UI" w:cs="Segoe UI"/>
                <w:i/>
                <w:lang w:val="en-US"/>
              </w:rPr>
            </w:pPr>
            <w:r w:rsidRPr="00DD69ED">
              <w:rPr>
                <w:rFonts w:ascii="Segoe UI" w:hAnsi="Segoe UI" w:cs="Segoe UI"/>
                <w:i/>
                <w:lang w:val="en-US"/>
              </w:rPr>
              <w:t xml:space="preserve">The DA-PMT should develop a clear framework for assessing the costs and benefits of implementing a global or inter-regional project versus regional projects. </w:t>
            </w:r>
          </w:p>
          <w:p w14:paraId="692F4041" w14:textId="51A4C223" w:rsidR="00060151" w:rsidRPr="00DD69ED" w:rsidRDefault="00060151" w:rsidP="00E61724">
            <w:pPr>
              <w:pStyle w:val="Copy"/>
              <w:rPr>
                <w:rFonts w:ascii="Segoe UI" w:hAnsi="Segoe UI" w:cs="Segoe UI"/>
                <w:iCs/>
                <w:lang w:val="en-US"/>
              </w:rPr>
            </w:pPr>
            <w:r w:rsidRPr="00DD69ED">
              <w:rPr>
                <w:rFonts w:ascii="Segoe UI" w:hAnsi="Segoe UI" w:cs="Segoe UI"/>
                <w:iCs/>
                <w:lang w:val="en-US"/>
              </w:rPr>
              <w:lastRenderedPageBreak/>
              <w:t xml:space="preserve">As a global crisis can affect regions and countries differently, global or joint projects should be developed only when there are clear benefits of joint implementation. Thus, a global or inter-regional vs. regional response would not be a priori decision, but a result of a clear assessment. A specific guideline or framework should be developed for this. Some of the assessment criteria could include the need or demand from member States for an integrated response; the range of common versus entity-specific activities and added value of complementary interventions (i.e. in terms of geographical coverage, reach of the target population, capacity, and/or coverage of multiple reinforcing technical areas, or networks and partnerships); capability to execute joint interventions (e.g. in terms of time, resources, logistics, and flexibility to pivot interventions without bureaucratic procedures); coordination costs (which increase with the number of participating UN entities); project inception </w:t>
            </w:r>
            <w:r w:rsidRPr="00DD69ED">
              <w:rPr>
                <w:rFonts w:ascii="Segoe UI" w:hAnsi="Segoe UI" w:cs="Segoe UI"/>
                <w:iCs/>
                <w:lang w:val="en-US"/>
              </w:rPr>
              <w:lastRenderedPageBreak/>
              <w:t>modalities and governance and knowledge management requirements to facilitate collaboration and knowledge sharing; scaling and sustainability plans; expected results of spreading resources versus concentrating on fewer countries; and so forth. The time taken to conduct such assessments will increase project coherence and effectiveness and facilitate the identification of the financial and human resources needed for project implementation. The network of DA Focal Points is a key existing asset for this assessment.</w:t>
            </w:r>
          </w:p>
        </w:tc>
        <w:tc>
          <w:tcPr>
            <w:tcW w:w="1985" w:type="dxa"/>
          </w:tcPr>
          <w:p w14:paraId="54C0E23E" w14:textId="77777777" w:rsidR="00F4226C" w:rsidRPr="00DD69ED" w:rsidRDefault="00F4226C" w:rsidP="004D732E">
            <w:pPr>
              <w:pStyle w:val="Tableheadingcolumn"/>
              <w:rPr>
                <w:rFonts w:ascii="Segoe UI" w:hAnsi="Segoe UI" w:cs="Segoe UI"/>
                <w:sz w:val="22"/>
                <w:szCs w:val="28"/>
                <w:lang w:eastAsia="en-US"/>
              </w:rPr>
            </w:pPr>
          </w:p>
        </w:tc>
        <w:tc>
          <w:tcPr>
            <w:tcW w:w="3778" w:type="dxa"/>
          </w:tcPr>
          <w:p w14:paraId="06B43C32" w14:textId="77777777" w:rsidR="00F4226C" w:rsidRPr="00DD69ED" w:rsidRDefault="00F4226C" w:rsidP="00D60307">
            <w:pPr>
              <w:pStyle w:val="Tableboxleft"/>
              <w:rPr>
                <w:rFonts w:ascii="Segoe UI" w:hAnsi="Segoe UI" w:cs="Segoe UI"/>
                <w:sz w:val="22"/>
                <w:szCs w:val="28"/>
                <w:lang w:eastAsia="en-US"/>
              </w:rPr>
            </w:pPr>
          </w:p>
        </w:tc>
        <w:tc>
          <w:tcPr>
            <w:tcW w:w="1521" w:type="dxa"/>
          </w:tcPr>
          <w:p w14:paraId="4B75EB35" w14:textId="77777777" w:rsidR="00F4226C" w:rsidRPr="00DD69ED" w:rsidRDefault="00F4226C" w:rsidP="00D60307">
            <w:pPr>
              <w:pStyle w:val="Tableboxleft"/>
              <w:rPr>
                <w:rFonts w:ascii="Segoe UI" w:hAnsi="Segoe UI" w:cs="Segoe UI"/>
                <w:sz w:val="22"/>
                <w:szCs w:val="28"/>
                <w:lang w:eastAsia="en-US"/>
              </w:rPr>
            </w:pPr>
          </w:p>
        </w:tc>
        <w:tc>
          <w:tcPr>
            <w:tcW w:w="1317" w:type="dxa"/>
          </w:tcPr>
          <w:p w14:paraId="05CD2E11" w14:textId="77777777" w:rsidR="00F4226C" w:rsidRPr="00DD69ED" w:rsidRDefault="00F4226C" w:rsidP="00D60307">
            <w:pPr>
              <w:pStyle w:val="Tableboxleft"/>
              <w:rPr>
                <w:rFonts w:ascii="Segoe UI" w:hAnsi="Segoe UI" w:cs="Segoe UI"/>
                <w:sz w:val="22"/>
                <w:szCs w:val="28"/>
                <w:lang w:eastAsia="en-US"/>
              </w:rPr>
            </w:pPr>
          </w:p>
        </w:tc>
        <w:tc>
          <w:tcPr>
            <w:tcW w:w="1313" w:type="dxa"/>
          </w:tcPr>
          <w:p w14:paraId="2B6D058A" w14:textId="77777777" w:rsidR="00F4226C" w:rsidRPr="00DD69ED" w:rsidRDefault="00F4226C" w:rsidP="00D60307">
            <w:pPr>
              <w:pStyle w:val="Tableboxleft"/>
              <w:rPr>
                <w:rFonts w:ascii="Segoe UI" w:hAnsi="Segoe UI" w:cs="Segoe UI"/>
                <w:sz w:val="22"/>
                <w:szCs w:val="28"/>
                <w:lang w:eastAsia="en-US"/>
              </w:rPr>
            </w:pPr>
          </w:p>
        </w:tc>
      </w:tr>
      <w:tr w:rsidR="00F4226C" w:rsidRPr="00DD69ED" w14:paraId="1819BD1D" w14:textId="77777777" w:rsidTr="00060151">
        <w:tc>
          <w:tcPr>
            <w:tcW w:w="3964" w:type="dxa"/>
          </w:tcPr>
          <w:p w14:paraId="01B8C94C" w14:textId="77777777" w:rsidR="00F4226C" w:rsidRPr="00DD69ED" w:rsidRDefault="00F4226C" w:rsidP="00E61724">
            <w:pPr>
              <w:pStyle w:val="Copy"/>
              <w:rPr>
                <w:rFonts w:ascii="Segoe UI" w:hAnsi="Segoe UI" w:cs="Segoe UI"/>
                <w:b/>
                <w:bCs/>
                <w:iCs/>
                <w:lang w:val="en-US"/>
              </w:rPr>
            </w:pPr>
            <w:r w:rsidRPr="00DD69ED">
              <w:rPr>
                <w:rFonts w:ascii="Segoe UI" w:hAnsi="Segoe UI" w:cs="Segoe UI"/>
                <w:b/>
                <w:bCs/>
                <w:iCs/>
                <w:lang w:val="en-US"/>
              </w:rPr>
              <w:lastRenderedPageBreak/>
              <w:t>Recommendation 4:</w:t>
            </w:r>
          </w:p>
          <w:p w14:paraId="321E5BC3" w14:textId="77777777" w:rsidR="00060151" w:rsidRPr="00DD69ED" w:rsidRDefault="00060151" w:rsidP="00E61724">
            <w:pPr>
              <w:pStyle w:val="Copy"/>
              <w:rPr>
                <w:rFonts w:ascii="Segoe UI" w:hAnsi="Segoe UI" w:cs="Segoe UI"/>
                <w:i/>
                <w:lang w:val="en-US"/>
              </w:rPr>
            </w:pPr>
            <w:r w:rsidRPr="00DD69ED">
              <w:rPr>
                <w:rFonts w:ascii="Segoe UI" w:hAnsi="Segoe UI" w:cs="Segoe UI"/>
                <w:i/>
                <w:lang w:val="en-US"/>
              </w:rPr>
              <w:t xml:space="preserve">Implementing UN entities should ensure that they have a comprehensive Results Framework for the entire project as well as an adequate monitoring plan, with indicators that are designed to support the ongoing monitoring. </w:t>
            </w:r>
          </w:p>
          <w:p w14:paraId="41FE38F3" w14:textId="77777777" w:rsidR="00060151" w:rsidRPr="00DD69ED" w:rsidRDefault="00060151" w:rsidP="00E61724">
            <w:pPr>
              <w:pStyle w:val="Copy"/>
              <w:rPr>
                <w:rFonts w:ascii="Segoe UI" w:hAnsi="Segoe UI" w:cs="Segoe UI"/>
                <w:iCs/>
                <w:lang w:val="en-US"/>
              </w:rPr>
            </w:pPr>
            <w:r w:rsidRPr="00DD69ED">
              <w:rPr>
                <w:rFonts w:ascii="Segoe UI" w:hAnsi="Segoe UI" w:cs="Segoe UI"/>
                <w:iCs/>
                <w:lang w:val="en-US"/>
              </w:rPr>
              <w:t xml:space="preserve">The results framework should have one objective and ideally have one </w:t>
            </w:r>
            <w:r w:rsidRPr="00DD69ED">
              <w:rPr>
                <w:rFonts w:ascii="Segoe UI" w:hAnsi="Segoe UI" w:cs="Segoe UI"/>
                <w:iCs/>
                <w:lang w:val="en-US"/>
              </w:rPr>
              <w:lastRenderedPageBreak/>
              <w:t xml:space="preserve">outcome per cluster/workstream. The objective should state the intended goal of the project, describe the overall achievement targeted by the project, involving a process of change aimed at meeting the needs of identified beneficiaries, and reflect the overall funding available to the project. Each objective should include reference to the project’s beneficiaries and its substantive focus. The objective should not attempt to explain the ways in which the project intends to achieve the objective (i.e. it should not include the word ‘through’ or describe the internal work of the UN using verbs such as ‘support’, ‘facilitate’ or ‘contribute’). The outcomes (OCs) should describe the changes that are expected to occur as a result of the completion of outputs. The OCs should be achievable within the project’s timeframe and budget, and should be specific enough to be measured by the associated indicators of achievement. The indicators of achievement (IAs) should provide measures for monitoring progress </w:t>
            </w:r>
            <w:r w:rsidRPr="00DD69ED">
              <w:rPr>
                <w:rFonts w:ascii="Segoe UI" w:hAnsi="Segoe UI" w:cs="Segoe UI"/>
                <w:iCs/>
                <w:lang w:val="en-US"/>
              </w:rPr>
              <w:lastRenderedPageBreak/>
              <w:t xml:space="preserve">towards achieving the OCs and reporting on them after completion of the project. Every indicator needs to provide clearly defined baselines, units of measurement and targets, detailing the quantity, quality and timing of expected results. The monitoring, evaluation, accountability, and learning (MEAL) system should also be designed to capture HRBA, gender and LNOB aspects. In phased interventions or during project execution, any changes in the </w:t>
            </w:r>
            <w:proofErr w:type="spellStart"/>
            <w:r w:rsidRPr="00DD69ED">
              <w:rPr>
                <w:rFonts w:ascii="Segoe UI" w:hAnsi="Segoe UI" w:cs="Segoe UI"/>
                <w:iCs/>
                <w:lang w:val="en-US"/>
              </w:rPr>
              <w:t>logframe</w:t>
            </w:r>
            <w:proofErr w:type="spellEnd"/>
            <w:r w:rsidRPr="00DD69ED">
              <w:rPr>
                <w:rFonts w:ascii="Segoe UI" w:hAnsi="Segoe UI" w:cs="Segoe UI"/>
                <w:iCs/>
                <w:lang w:val="en-US"/>
              </w:rPr>
              <w:t xml:space="preserve"> if/when pivoting activities should be clearly explained to the wider team.</w:t>
            </w:r>
          </w:p>
          <w:p w14:paraId="45958A42" w14:textId="6F307C52" w:rsidR="00060151" w:rsidRPr="00DD69ED" w:rsidRDefault="00060151" w:rsidP="00E61724">
            <w:pPr>
              <w:pStyle w:val="Copy"/>
              <w:rPr>
                <w:rFonts w:ascii="Segoe UI" w:hAnsi="Segoe UI" w:cs="Segoe UI"/>
                <w:iCs/>
                <w:lang w:val="en-US"/>
              </w:rPr>
            </w:pPr>
          </w:p>
        </w:tc>
        <w:tc>
          <w:tcPr>
            <w:tcW w:w="1985" w:type="dxa"/>
          </w:tcPr>
          <w:p w14:paraId="14E5D268" w14:textId="4730F526" w:rsidR="00F4226C" w:rsidRPr="00DD69ED" w:rsidRDefault="003B6F83" w:rsidP="004D732E">
            <w:pPr>
              <w:pStyle w:val="Tableheadingcolumn"/>
              <w:rPr>
                <w:rFonts w:ascii="Segoe UI" w:hAnsi="Segoe UI" w:cs="Segoe UI"/>
                <w:sz w:val="22"/>
                <w:szCs w:val="28"/>
                <w:lang w:eastAsia="en-US"/>
              </w:rPr>
            </w:pPr>
            <w:r w:rsidRPr="00DD69ED">
              <w:rPr>
                <w:rFonts w:ascii="Segoe UI" w:hAnsi="Segoe UI" w:cs="Segoe UI"/>
                <w:sz w:val="22"/>
                <w:szCs w:val="28"/>
                <w:lang w:eastAsia="en-US"/>
              </w:rPr>
              <w:lastRenderedPageBreak/>
              <w:t>Partially Accept</w:t>
            </w:r>
          </w:p>
        </w:tc>
        <w:tc>
          <w:tcPr>
            <w:tcW w:w="3778" w:type="dxa"/>
          </w:tcPr>
          <w:p w14:paraId="4FC59DBF" w14:textId="04011F29" w:rsidR="00F4226C" w:rsidRPr="00DD69ED" w:rsidRDefault="006C6DA6"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 xml:space="preserve">This is a Development Account project and as such has undergone several rounds of scrutiny and approval, including with regards to the indicators and targets. </w:t>
            </w:r>
            <w:r w:rsidR="003B6F83" w:rsidRPr="00DD69ED">
              <w:rPr>
                <w:rFonts w:ascii="Segoe UI" w:hAnsi="Segoe UI" w:cs="Segoe UI"/>
                <w:sz w:val="22"/>
                <w:szCs w:val="28"/>
                <w:lang w:eastAsia="en-US"/>
              </w:rPr>
              <w:t xml:space="preserve">ESCWA’s Strategic Planning, Accountability, Results, and Knowledge Division </w:t>
            </w:r>
            <w:r w:rsidRPr="00DD69ED">
              <w:rPr>
                <w:rFonts w:ascii="Segoe UI" w:hAnsi="Segoe UI" w:cs="Segoe UI"/>
                <w:sz w:val="22"/>
                <w:szCs w:val="28"/>
                <w:lang w:eastAsia="en-US"/>
              </w:rPr>
              <w:t xml:space="preserve">provides ongoing support for Results Based Management to project teams, </w:t>
            </w:r>
            <w:r w:rsidRPr="00DD69ED">
              <w:rPr>
                <w:rFonts w:ascii="Segoe UI" w:hAnsi="Segoe UI" w:cs="Segoe UI"/>
                <w:sz w:val="22"/>
                <w:szCs w:val="28"/>
                <w:lang w:eastAsia="en-US"/>
              </w:rPr>
              <w:t>including training on the development of results frameworks indicators. These are obligatorily applied to any future projects.</w:t>
            </w:r>
          </w:p>
        </w:tc>
        <w:tc>
          <w:tcPr>
            <w:tcW w:w="1521" w:type="dxa"/>
          </w:tcPr>
          <w:p w14:paraId="6B418A8A" w14:textId="3BEED2DC" w:rsidR="00F4226C" w:rsidRPr="00DD69ED" w:rsidRDefault="002D3AB1"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lastRenderedPageBreak/>
              <w:t>n/a</w:t>
            </w:r>
          </w:p>
        </w:tc>
        <w:tc>
          <w:tcPr>
            <w:tcW w:w="1317" w:type="dxa"/>
          </w:tcPr>
          <w:p w14:paraId="4C6CCE63" w14:textId="77777777" w:rsidR="00F4226C" w:rsidRPr="00DD69ED" w:rsidRDefault="00F4226C" w:rsidP="00D60307">
            <w:pPr>
              <w:pStyle w:val="Tableboxleft"/>
              <w:rPr>
                <w:rFonts w:ascii="Segoe UI" w:hAnsi="Segoe UI" w:cs="Segoe UI"/>
                <w:sz w:val="22"/>
                <w:szCs w:val="28"/>
                <w:lang w:eastAsia="en-US"/>
              </w:rPr>
            </w:pPr>
          </w:p>
        </w:tc>
        <w:tc>
          <w:tcPr>
            <w:tcW w:w="1313" w:type="dxa"/>
          </w:tcPr>
          <w:p w14:paraId="0536885B" w14:textId="77777777" w:rsidR="00F4226C" w:rsidRPr="00DD69ED" w:rsidRDefault="00F4226C" w:rsidP="00D60307">
            <w:pPr>
              <w:pStyle w:val="Tableboxleft"/>
              <w:rPr>
                <w:rFonts w:ascii="Segoe UI" w:hAnsi="Segoe UI" w:cs="Segoe UI"/>
                <w:sz w:val="22"/>
                <w:szCs w:val="28"/>
                <w:lang w:eastAsia="en-US"/>
              </w:rPr>
            </w:pPr>
          </w:p>
        </w:tc>
      </w:tr>
      <w:tr w:rsidR="00060151" w:rsidRPr="00CD1972" w14:paraId="1562827D" w14:textId="77777777" w:rsidTr="00060151">
        <w:tc>
          <w:tcPr>
            <w:tcW w:w="3964" w:type="dxa"/>
          </w:tcPr>
          <w:p w14:paraId="224B5D9F" w14:textId="2B33902A" w:rsidR="00060151" w:rsidRPr="00DD69ED" w:rsidRDefault="00060151" w:rsidP="00E61724">
            <w:pPr>
              <w:pStyle w:val="Copy"/>
              <w:rPr>
                <w:rFonts w:ascii="Segoe UI" w:hAnsi="Segoe UI" w:cs="Segoe UI"/>
                <w:b/>
                <w:bCs/>
                <w:iCs/>
                <w:lang w:val="en-US"/>
              </w:rPr>
            </w:pPr>
            <w:r w:rsidRPr="00DD69ED">
              <w:rPr>
                <w:rFonts w:ascii="Segoe UI" w:hAnsi="Segoe UI" w:cs="Segoe UI"/>
                <w:b/>
                <w:bCs/>
                <w:iCs/>
                <w:lang w:val="en-US"/>
              </w:rPr>
              <w:lastRenderedPageBreak/>
              <w:t>Recommendation 5:</w:t>
            </w:r>
          </w:p>
          <w:p w14:paraId="273E8BC4" w14:textId="77777777" w:rsidR="00060151" w:rsidRPr="00DD69ED" w:rsidRDefault="00060151" w:rsidP="00E61724">
            <w:pPr>
              <w:pStyle w:val="Copy"/>
              <w:rPr>
                <w:rFonts w:ascii="Segoe UI" w:hAnsi="Segoe UI" w:cs="Segoe UI"/>
                <w:i/>
                <w:lang w:val="en-US"/>
              </w:rPr>
            </w:pPr>
            <w:r w:rsidRPr="00DD69ED">
              <w:rPr>
                <w:rFonts w:ascii="Segoe UI" w:hAnsi="Segoe UI" w:cs="Segoe UI"/>
                <w:i/>
                <w:lang w:val="en-US"/>
              </w:rPr>
              <w:t>Implementing UN entities should ensure that sufficient resources are allocated to project coordination, technical collaboration, and partnership building.</w:t>
            </w:r>
          </w:p>
          <w:p w14:paraId="5ED270E2" w14:textId="70CA9838" w:rsidR="00060151" w:rsidRPr="00DD69ED" w:rsidRDefault="00060151" w:rsidP="00E61724">
            <w:pPr>
              <w:pStyle w:val="Copy"/>
              <w:rPr>
                <w:rFonts w:ascii="Segoe UI" w:hAnsi="Segoe UI" w:cs="Segoe UI"/>
                <w:iCs/>
                <w:lang w:val="en-US"/>
              </w:rPr>
            </w:pPr>
            <w:r w:rsidRPr="00DD69ED">
              <w:rPr>
                <w:rFonts w:ascii="Segoe UI" w:hAnsi="Segoe UI" w:cs="Segoe UI"/>
                <w:iCs/>
                <w:lang w:val="en-US"/>
              </w:rPr>
              <w:t xml:space="preserve"> The absorption capacity of implementing entities can be challenged by crisis response </w:t>
            </w:r>
            <w:r w:rsidRPr="00DD69ED">
              <w:rPr>
                <w:rFonts w:ascii="Segoe UI" w:hAnsi="Segoe UI" w:cs="Segoe UI"/>
                <w:iCs/>
                <w:lang w:val="en-US"/>
              </w:rPr>
              <w:lastRenderedPageBreak/>
              <w:t xml:space="preserve">projects which add to the planned programme of work. This is further compounded by projects that come with an extensive UN partnership and a global scope. Sufficient resources should be dedicated to global coordination and to building global partnerships with strategic stakeholders (e.g., UN </w:t>
            </w:r>
            <w:proofErr w:type="spellStart"/>
            <w:r w:rsidRPr="00DD69ED">
              <w:rPr>
                <w:rFonts w:ascii="Segoe UI" w:hAnsi="Segoe UI" w:cs="Segoe UI"/>
                <w:iCs/>
                <w:lang w:val="en-US"/>
              </w:rPr>
              <w:t>organisations</w:t>
            </w:r>
            <w:proofErr w:type="spellEnd"/>
            <w:r w:rsidRPr="00DD69ED">
              <w:rPr>
                <w:rFonts w:ascii="Segoe UI" w:hAnsi="Segoe UI" w:cs="Segoe UI"/>
                <w:iCs/>
                <w:lang w:val="en-US"/>
              </w:rPr>
              <w:t xml:space="preserve"> engaged in supporting the MSME sector; development banks). Capacities should also be directed to supporting technical collaboration and the staff implementing interventions, including towards synergy or liaison with the UNCTs. When designing the project, implementing UN entities should consider featuring coordination and partnership-building in the Theory of Change or </w:t>
            </w:r>
            <w:proofErr w:type="spellStart"/>
            <w:r w:rsidRPr="00DD69ED">
              <w:rPr>
                <w:rFonts w:ascii="Segoe UI" w:hAnsi="Segoe UI" w:cs="Segoe UI"/>
                <w:iCs/>
                <w:lang w:val="en-US"/>
              </w:rPr>
              <w:t>logframe</w:t>
            </w:r>
            <w:proofErr w:type="spellEnd"/>
            <w:r w:rsidRPr="00DD69ED">
              <w:rPr>
                <w:rFonts w:ascii="Segoe UI" w:hAnsi="Segoe UI" w:cs="Segoe UI"/>
                <w:iCs/>
                <w:lang w:val="en-US"/>
              </w:rPr>
              <w:t xml:space="preserve"> of the project. Tools to support continuous connections and knowledge exchange, and to ensure institutional memory should be part of the response package, such as a project website, SharePoint space for all team members, and a Yammer network or Teams channel. The integration of </w:t>
            </w:r>
            <w:r w:rsidRPr="00DD69ED">
              <w:rPr>
                <w:rFonts w:ascii="Segoe UI" w:hAnsi="Segoe UI" w:cs="Segoe UI"/>
                <w:iCs/>
                <w:lang w:val="en-US"/>
              </w:rPr>
              <w:lastRenderedPageBreak/>
              <w:t>cross-cutting aspects (HRBA, gender responsiveness, LNOB) also requires expertise with sufficient and dedicated time and resources. Guidance could be development to project managers on how to do this.</w:t>
            </w:r>
          </w:p>
          <w:p w14:paraId="5F01C5C0" w14:textId="77777777" w:rsidR="00060151" w:rsidRPr="00DD69ED" w:rsidRDefault="00060151" w:rsidP="00E61724">
            <w:pPr>
              <w:pStyle w:val="Copy"/>
              <w:rPr>
                <w:rFonts w:ascii="Segoe UI" w:hAnsi="Segoe UI" w:cs="Segoe UI"/>
                <w:b/>
                <w:bCs/>
                <w:iCs/>
                <w:lang w:val="en-US"/>
              </w:rPr>
            </w:pPr>
          </w:p>
        </w:tc>
        <w:tc>
          <w:tcPr>
            <w:tcW w:w="1985" w:type="dxa"/>
          </w:tcPr>
          <w:p w14:paraId="620C48DD" w14:textId="67092014" w:rsidR="00060151" w:rsidRPr="00DD69ED" w:rsidRDefault="0043154C" w:rsidP="004D732E">
            <w:pPr>
              <w:pStyle w:val="Tableheadingcolumn"/>
              <w:rPr>
                <w:rFonts w:ascii="Segoe UI" w:hAnsi="Segoe UI" w:cs="Segoe UI"/>
                <w:sz w:val="22"/>
                <w:szCs w:val="28"/>
                <w:lang w:eastAsia="en-US"/>
              </w:rPr>
            </w:pPr>
            <w:r w:rsidRPr="00DD69ED">
              <w:rPr>
                <w:rFonts w:ascii="Segoe UI" w:hAnsi="Segoe UI" w:cs="Segoe UI"/>
                <w:sz w:val="22"/>
                <w:szCs w:val="28"/>
                <w:lang w:eastAsia="en-US"/>
              </w:rPr>
              <w:lastRenderedPageBreak/>
              <w:t>Accept</w:t>
            </w:r>
          </w:p>
        </w:tc>
        <w:tc>
          <w:tcPr>
            <w:tcW w:w="3778" w:type="dxa"/>
          </w:tcPr>
          <w:p w14:paraId="0C5438A1" w14:textId="1953D2B7" w:rsidR="00060151" w:rsidRPr="00DD69ED" w:rsidRDefault="00B5475B"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 xml:space="preserve">ESCWA </w:t>
            </w:r>
            <w:r w:rsidR="002B38F7" w:rsidRPr="00DD69ED">
              <w:rPr>
                <w:rFonts w:ascii="Segoe UI" w:hAnsi="Segoe UI" w:cs="Segoe UI"/>
                <w:sz w:val="22"/>
                <w:szCs w:val="28"/>
                <w:lang w:eastAsia="en-US"/>
              </w:rPr>
              <w:t>s</w:t>
            </w:r>
            <w:r w:rsidRPr="00DD69ED">
              <w:rPr>
                <w:rFonts w:ascii="Segoe UI" w:hAnsi="Segoe UI" w:cs="Segoe UI"/>
                <w:sz w:val="22"/>
                <w:szCs w:val="28"/>
                <w:lang w:eastAsia="en-US"/>
              </w:rPr>
              <w:t xml:space="preserve">taff are provided with comprehensive training on project design and implementation that includes </w:t>
            </w:r>
            <w:r w:rsidR="002B38F7" w:rsidRPr="00DD69ED">
              <w:rPr>
                <w:rFonts w:ascii="Segoe UI" w:hAnsi="Segoe UI" w:cs="Segoe UI"/>
                <w:sz w:val="22"/>
                <w:szCs w:val="28"/>
                <w:lang w:eastAsia="en-US"/>
              </w:rPr>
              <w:t>key elements addressing partnerships and collaboration.</w:t>
            </w:r>
            <w:r w:rsidR="00DD69ED">
              <w:t xml:space="preserve"> </w:t>
            </w:r>
            <w:r w:rsidR="00DD69ED" w:rsidRPr="00DD69ED">
              <w:rPr>
                <w:rFonts w:ascii="Segoe UI" w:hAnsi="Segoe UI" w:cs="Segoe UI"/>
                <w:sz w:val="22"/>
                <w:szCs w:val="28"/>
                <w:lang w:eastAsia="en-US"/>
              </w:rPr>
              <w:t>ESCWA</w:t>
            </w:r>
            <w:r w:rsidR="00DD69ED">
              <w:rPr>
                <w:rFonts w:ascii="Segoe UI" w:hAnsi="Segoe UI" w:cs="Segoe UI"/>
                <w:sz w:val="22"/>
                <w:szCs w:val="28"/>
                <w:lang w:eastAsia="en-US"/>
              </w:rPr>
              <w:t>’s</w:t>
            </w:r>
            <w:r w:rsidR="00DD69ED" w:rsidRPr="00DD69ED">
              <w:rPr>
                <w:rFonts w:ascii="Segoe UI" w:hAnsi="Segoe UI" w:cs="Segoe UI"/>
                <w:sz w:val="22"/>
                <w:szCs w:val="28"/>
                <w:lang w:eastAsia="en-US"/>
              </w:rPr>
              <w:t xml:space="preserve"> Strategic Planning, Accountability, Results, and Knowledge Division</w:t>
            </w:r>
            <w:r w:rsidR="002B38F7" w:rsidRPr="00DD69ED">
              <w:rPr>
                <w:rFonts w:ascii="Segoe UI" w:hAnsi="Segoe UI" w:cs="Segoe UI"/>
                <w:sz w:val="22"/>
                <w:szCs w:val="28"/>
                <w:lang w:eastAsia="en-US"/>
              </w:rPr>
              <w:t xml:space="preserve">  </w:t>
            </w:r>
            <w:r w:rsidR="002D3AB1" w:rsidRPr="00DD69ED">
              <w:rPr>
                <w:rFonts w:ascii="Segoe UI" w:hAnsi="Segoe UI" w:cs="Segoe UI"/>
                <w:sz w:val="22"/>
                <w:szCs w:val="28"/>
                <w:lang w:eastAsia="en-US"/>
              </w:rPr>
              <w:t>will continue to</w:t>
            </w:r>
            <w:r w:rsidR="002B38F7" w:rsidRPr="00DD69ED">
              <w:rPr>
                <w:rFonts w:ascii="Segoe UI" w:hAnsi="Segoe UI" w:cs="Segoe UI"/>
                <w:sz w:val="22"/>
                <w:szCs w:val="28"/>
                <w:lang w:eastAsia="en-US"/>
              </w:rPr>
              <w:t xml:space="preserve"> </w:t>
            </w:r>
            <w:r w:rsidR="002C1BDB" w:rsidRPr="00DD69ED">
              <w:rPr>
                <w:rFonts w:ascii="Segoe UI" w:hAnsi="Segoe UI" w:cs="Segoe UI"/>
                <w:sz w:val="22"/>
                <w:szCs w:val="28"/>
                <w:lang w:eastAsia="en-US"/>
              </w:rPr>
              <w:t xml:space="preserve">provide </w:t>
            </w:r>
            <w:r w:rsidR="002B38F7" w:rsidRPr="00DD69ED">
              <w:rPr>
                <w:rFonts w:ascii="Segoe UI" w:hAnsi="Segoe UI" w:cs="Segoe UI"/>
                <w:sz w:val="22"/>
                <w:szCs w:val="28"/>
                <w:lang w:eastAsia="en-US"/>
              </w:rPr>
              <w:t xml:space="preserve">staff with ongoing support to facilitate project </w:t>
            </w:r>
            <w:r w:rsidR="002B38F7" w:rsidRPr="00DD69ED">
              <w:rPr>
                <w:rFonts w:ascii="Segoe UI" w:hAnsi="Segoe UI" w:cs="Segoe UI"/>
                <w:sz w:val="22"/>
                <w:szCs w:val="28"/>
                <w:lang w:eastAsia="en-US"/>
              </w:rPr>
              <w:t>coordination work, which includes discussions around establishing and maintaining partnerships</w:t>
            </w:r>
            <w:r w:rsidR="00BB2A92" w:rsidRPr="00DD69ED">
              <w:rPr>
                <w:rFonts w:ascii="Segoe UI" w:hAnsi="Segoe UI" w:cs="Segoe UI"/>
                <w:sz w:val="22"/>
                <w:szCs w:val="28"/>
                <w:lang w:eastAsia="en-US"/>
              </w:rPr>
              <w:t xml:space="preserve"> and technical collaboration</w:t>
            </w:r>
            <w:r w:rsidR="002B38F7" w:rsidRPr="00DD69ED">
              <w:rPr>
                <w:rFonts w:ascii="Segoe UI" w:hAnsi="Segoe UI" w:cs="Segoe UI"/>
                <w:sz w:val="22"/>
                <w:szCs w:val="28"/>
                <w:lang w:eastAsia="en-US"/>
              </w:rPr>
              <w:t xml:space="preserve">. </w:t>
            </w:r>
          </w:p>
        </w:tc>
        <w:tc>
          <w:tcPr>
            <w:tcW w:w="1521" w:type="dxa"/>
          </w:tcPr>
          <w:p w14:paraId="160D3303" w14:textId="42361E39" w:rsidR="00060151" w:rsidRPr="00DD69ED" w:rsidRDefault="003B6F83"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lastRenderedPageBreak/>
              <w:t xml:space="preserve">ESCWA </w:t>
            </w:r>
            <w:r w:rsidR="002D3AB1" w:rsidRPr="00DD69ED">
              <w:rPr>
                <w:rFonts w:ascii="Segoe UI" w:hAnsi="Segoe UI" w:cs="Segoe UI"/>
                <w:sz w:val="22"/>
                <w:szCs w:val="28"/>
                <w:lang w:eastAsia="en-US"/>
              </w:rPr>
              <w:t>S</w:t>
            </w:r>
            <w:r w:rsidRPr="00DD69ED">
              <w:rPr>
                <w:rFonts w:ascii="Segoe UI" w:hAnsi="Segoe UI" w:cs="Segoe UI"/>
                <w:sz w:val="22"/>
                <w:szCs w:val="28"/>
                <w:lang w:eastAsia="en-US"/>
              </w:rPr>
              <w:t xml:space="preserve">trategic </w:t>
            </w:r>
            <w:r w:rsidR="002D3AB1" w:rsidRPr="00DD69ED">
              <w:rPr>
                <w:rFonts w:ascii="Segoe UI" w:hAnsi="Segoe UI" w:cs="Segoe UI"/>
                <w:sz w:val="22"/>
                <w:szCs w:val="28"/>
                <w:lang w:eastAsia="en-US"/>
              </w:rPr>
              <w:t>P</w:t>
            </w:r>
            <w:r w:rsidRPr="00DD69ED">
              <w:rPr>
                <w:rFonts w:ascii="Segoe UI" w:hAnsi="Segoe UI" w:cs="Segoe UI"/>
                <w:sz w:val="22"/>
                <w:szCs w:val="28"/>
                <w:lang w:eastAsia="en-US"/>
              </w:rPr>
              <w:t xml:space="preserve">lanning, </w:t>
            </w:r>
            <w:r w:rsidR="002D3AB1" w:rsidRPr="00DD69ED">
              <w:rPr>
                <w:rFonts w:ascii="Segoe UI" w:hAnsi="Segoe UI" w:cs="Segoe UI"/>
                <w:sz w:val="22"/>
                <w:szCs w:val="28"/>
                <w:lang w:eastAsia="en-US"/>
              </w:rPr>
              <w:t>A</w:t>
            </w:r>
            <w:r w:rsidRPr="00DD69ED">
              <w:rPr>
                <w:rFonts w:ascii="Segoe UI" w:hAnsi="Segoe UI" w:cs="Segoe UI"/>
                <w:sz w:val="22"/>
                <w:szCs w:val="28"/>
                <w:lang w:eastAsia="en-US"/>
              </w:rPr>
              <w:t xml:space="preserve">ccountability, </w:t>
            </w:r>
            <w:r w:rsidR="002D3AB1" w:rsidRPr="00DD69ED">
              <w:rPr>
                <w:rFonts w:ascii="Segoe UI" w:hAnsi="Segoe UI" w:cs="Segoe UI"/>
                <w:sz w:val="22"/>
                <w:szCs w:val="28"/>
                <w:lang w:eastAsia="en-US"/>
              </w:rPr>
              <w:t>R</w:t>
            </w:r>
            <w:r w:rsidRPr="00DD69ED">
              <w:rPr>
                <w:rFonts w:ascii="Segoe UI" w:hAnsi="Segoe UI" w:cs="Segoe UI"/>
                <w:sz w:val="22"/>
                <w:szCs w:val="28"/>
                <w:lang w:eastAsia="en-US"/>
              </w:rPr>
              <w:t xml:space="preserve">esults, and </w:t>
            </w:r>
            <w:r w:rsidR="002D3AB1" w:rsidRPr="00DD69ED">
              <w:rPr>
                <w:rFonts w:ascii="Segoe UI" w:hAnsi="Segoe UI" w:cs="Segoe UI"/>
                <w:sz w:val="22"/>
                <w:szCs w:val="28"/>
                <w:lang w:eastAsia="en-US"/>
              </w:rPr>
              <w:t>K</w:t>
            </w:r>
            <w:r w:rsidRPr="00DD69ED">
              <w:rPr>
                <w:rFonts w:ascii="Segoe UI" w:hAnsi="Segoe UI" w:cs="Segoe UI"/>
                <w:sz w:val="22"/>
                <w:szCs w:val="28"/>
                <w:lang w:eastAsia="en-US"/>
              </w:rPr>
              <w:t>nowledge Division.</w:t>
            </w:r>
          </w:p>
        </w:tc>
        <w:tc>
          <w:tcPr>
            <w:tcW w:w="1317" w:type="dxa"/>
          </w:tcPr>
          <w:p w14:paraId="136AA840" w14:textId="51B86F93" w:rsidR="00060151" w:rsidRPr="00DD69ED" w:rsidRDefault="003B6F83"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Ongoing</w:t>
            </w:r>
          </w:p>
        </w:tc>
        <w:tc>
          <w:tcPr>
            <w:tcW w:w="1313" w:type="dxa"/>
          </w:tcPr>
          <w:p w14:paraId="7DC54E87" w14:textId="7675DD96" w:rsidR="00060151" w:rsidRPr="007067F5" w:rsidRDefault="003B6F83" w:rsidP="00D60307">
            <w:pPr>
              <w:pStyle w:val="Tableboxleft"/>
              <w:rPr>
                <w:rFonts w:ascii="Segoe UI" w:hAnsi="Segoe UI" w:cs="Segoe UI"/>
                <w:sz w:val="22"/>
                <w:szCs w:val="28"/>
                <w:lang w:eastAsia="en-US"/>
              </w:rPr>
            </w:pPr>
            <w:r w:rsidRPr="00DD69ED">
              <w:rPr>
                <w:rFonts w:ascii="Segoe UI" w:hAnsi="Segoe UI" w:cs="Segoe UI"/>
                <w:sz w:val="22"/>
                <w:szCs w:val="28"/>
                <w:lang w:eastAsia="en-US"/>
              </w:rPr>
              <w:t>N</w:t>
            </w:r>
          </w:p>
        </w:tc>
      </w:tr>
    </w:tbl>
    <w:p w14:paraId="65F3EB47" w14:textId="77777777" w:rsidR="002343A2" w:rsidRPr="00CD1972" w:rsidRDefault="002343A2" w:rsidP="00213DE6"/>
    <w:sectPr w:rsidR="002343A2" w:rsidRPr="00CD1972" w:rsidSect="00CD1972">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7DE29" w14:textId="77777777" w:rsidR="0087675C" w:rsidRDefault="0087675C" w:rsidP="00D60307">
      <w:r>
        <w:separator/>
      </w:r>
    </w:p>
  </w:endnote>
  <w:endnote w:type="continuationSeparator" w:id="0">
    <w:p w14:paraId="7877BC62" w14:textId="77777777" w:rsidR="0087675C" w:rsidRDefault="0087675C" w:rsidP="00D6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665031"/>
      <w:docPartObj>
        <w:docPartGallery w:val="Page Numbers (Bottom of Page)"/>
        <w:docPartUnique/>
      </w:docPartObj>
    </w:sdtPr>
    <w:sdtEndPr>
      <w:rPr>
        <w:rFonts w:ascii="Segoe UI" w:hAnsi="Segoe UI" w:cs="Segoe UI"/>
        <w:noProof/>
        <w:sz w:val="20"/>
        <w:szCs w:val="20"/>
      </w:rPr>
    </w:sdtEndPr>
    <w:sdtContent>
      <w:p w14:paraId="07F6B20E" w14:textId="527BBD42" w:rsidR="002A619D" w:rsidRPr="002A619D" w:rsidRDefault="002A619D">
        <w:pPr>
          <w:pStyle w:val="Footer"/>
          <w:jc w:val="right"/>
          <w:rPr>
            <w:rFonts w:ascii="Segoe UI" w:hAnsi="Segoe UI" w:cs="Segoe UI"/>
            <w:sz w:val="20"/>
            <w:szCs w:val="20"/>
          </w:rPr>
        </w:pPr>
        <w:r w:rsidRPr="002A619D">
          <w:rPr>
            <w:rFonts w:ascii="Segoe UI" w:hAnsi="Segoe UI" w:cs="Segoe UI"/>
            <w:sz w:val="20"/>
            <w:szCs w:val="20"/>
          </w:rPr>
          <w:fldChar w:fldCharType="begin"/>
        </w:r>
        <w:r w:rsidRPr="002A619D">
          <w:rPr>
            <w:rFonts w:ascii="Segoe UI" w:hAnsi="Segoe UI" w:cs="Segoe UI"/>
            <w:sz w:val="20"/>
            <w:szCs w:val="20"/>
          </w:rPr>
          <w:instrText xml:space="preserve"> PAGE   \* MERGEFORMAT </w:instrText>
        </w:r>
        <w:r w:rsidRPr="002A619D">
          <w:rPr>
            <w:rFonts w:ascii="Segoe UI" w:hAnsi="Segoe UI" w:cs="Segoe UI"/>
            <w:sz w:val="20"/>
            <w:szCs w:val="20"/>
          </w:rPr>
          <w:fldChar w:fldCharType="separate"/>
        </w:r>
        <w:r w:rsidRPr="002A619D">
          <w:rPr>
            <w:rFonts w:ascii="Segoe UI" w:hAnsi="Segoe UI" w:cs="Segoe UI"/>
            <w:noProof/>
            <w:sz w:val="20"/>
            <w:szCs w:val="20"/>
          </w:rPr>
          <w:t>2</w:t>
        </w:r>
        <w:r w:rsidRPr="002A619D">
          <w:rPr>
            <w:rFonts w:ascii="Segoe UI" w:hAnsi="Segoe UI" w:cs="Segoe UI"/>
            <w:noProof/>
            <w:sz w:val="20"/>
            <w:szCs w:val="20"/>
          </w:rPr>
          <w:fldChar w:fldCharType="end"/>
        </w:r>
      </w:p>
    </w:sdtContent>
  </w:sdt>
  <w:p w14:paraId="4ABC22A9" w14:textId="77777777" w:rsidR="002A619D" w:rsidRDefault="002A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5E6A" w14:textId="77777777" w:rsidR="0087675C" w:rsidRDefault="0087675C" w:rsidP="00D60307">
      <w:r>
        <w:separator/>
      </w:r>
    </w:p>
  </w:footnote>
  <w:footnote w:type="continuationSeparator" w:id="0">
    <w:p w14:paraId="47A41E9A" w14:textId="77777777" w:rsidR="0087675C" w:rsidRDefault="0087675C" w:rsidP="00D60307">
      <w:r>
        <w:continuationSeparator/>
      </w:r>
    </w:p>
  </w:footnote>
  <w:footnote w:id="1">
    <w:p w14:paraId="40A8E042" w14:textId="77777777" w:rsidR="002343A2" w:rsidRPr="00CD1972" w:rsidRDefault="002343A2" w:rsidP="00D60307">
      <w:pPr>
        <w:pStyle w:val="FootnoteText"/>
      </w:pPr>
      <w:r w:rsidRPr="00D05AAD">
        <w:rPr>
          <w:rStyle w:val="FootnoteReference"/>
        </w:rPr>
        <w:footnoteRef/>
      </w:r>
      <w:r w:rsidRPr="00CD1972">
        <w:tab/>
      </w:r>
      <w:proofErr w:type="spellStart"/>
      <w:r w:rsidRPr="00CD1972">
        <w:t>Each</w:t>
      </w:r>
      <w:proofErr w:type="spellEnd"/>
      <w:r w:rsidRPr="00CD1972">
        <w:t xml:space="preserve"> </w:t>
      </w:r>
      <w:proofErr w:type="spellStart"/>
      <w:r w:rsidRPr="00CD1972">
        <w:t>column</w:t>
      </w:r>
      <w:proofErr w:type="spellEnd"/>
      <w:r w:rsidRPr="00CD1972">
        <w:t xml:space="preserve"> </w:t>
      </w:r>
      <w:proofErr w:type="spellStart"/>
      <w:r w:rsidRPr="00CD1972">
        <w:t>is</w:t>
      </w:r>
      <w:proofErr w:type="spellEnd"/>
      <w:r w:rsidRPr="00CD1972">
        <w:t xml:space="preserve"> </w:t>
      </w:r>
      <w:proofErr w:type="spellStart"/>
      <w:r w:rsidRPr="00CD1972">
        <w:t>cross-referenced</w:t>
      </w:r>
      <w:proofErr w:type="spellEnd"/>
      <w:r w:rsidRPr="00CD1972">
        <w:t xml:space="preserve"> </w:t>
      </w:r>
      <w:proofErr w:type="spellStart"/>
      <w:r w:rsidRPr="00CD1972">
        <w:t>to</w:t>
      </w:r>
      <w:proofErr w:type="spellEnd"/>
      <w:r w:rsidRPr="00CD1972">
        <w:t xml:space="preserve"> </w:t>
      </w:r>
      <w:proofErr w:type="spellStart"/>
      <w:r w:rsidRPr="00CD1972">
        <w:t>the</w:t>
      </w:r>
      <w:proofErr w:type="spellEnd"/>
      <w:r w:rsidRPr="00CD1972">
        <w:t xml:space="preserve"> </w:t>
      </w:r>
      <w:proofErr w:type="spellStart"/>
      <w:r w:rsidRPr="00CD1972">
        <w:t>bullet</w:t>
      </w:r>
      <w:proofErr w:type="spellEnd"/>
      <w:r w:rsidRPr="00CD1972">
        <w:t xml:space="preserve"> </w:t>
      </w:r>
      <w:proofErr w:type="spellStart"/>
      <w:r w:rsidRPr="00CD1972">
        <w:t>letters</w:t>
      </w:r>
      <w:proofErr w:type="spellEnd"/>
      <w:r w:rsidRPr="00CD1972">
        <w:t xml:space="preserve"> </w:t>
      </w:r>
      <w:proofErr w:type="spellStart"/>
      <w:r w:rsidRPr="00CD1972">
        <w:t>above</w:t>
      </w:r>
      <w:proofErr w:type="spellEnd"/>
      <w:r w:rsidRPr="00CD197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A2205"/>
    <w:multiLevelType w:val="hybridMultilevel"/>
    <w:tmpl w:val="AAF4FD64"/>
    <w:lvl w:ilvl="0" w:tplc="0C0A0013">
      <w:start w:val="1"/>
      <w:numFmt w:val="upperRoman"/>
      <w:lvlText w:val="%1."/>
      <w:lvlJc w:val="right"/>
      <w:pPr>
        <w:ind w:left="720" w:hanging="360"/>
      </w:pPr>
    </w:lvl>
    <w:lvl w:ilvl="1" w:tplc="0C00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40183C"/>
    <w:multiLevelType w:val="hybridMultilevel"/>
    <w:tmpl w:val="2530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A53AD"/>
    <w:multiLevelType w:val="hybridMultilevel"/>
    <w:tmpl w:val="E1EA808A"/>
    <w:lvl w:ilvl="0" w:tplc="B3625880">
      <w:start w:val="1"/>
      <w:numFmt w:val="decimal"/>
      <w:pStyle w:val="Boxnumber"/>
      <w:lvlText w:val="Box %1."/>
      <w:lvlJc w:val="left"/>
      <w:pPr>
        <w:ind w:left="720" w:hanging="360"/>
      </w:pPr>
      <w:rPr>
        <w:rFonts w:ascii="Segoe UI" w:hAnsi="Segoe UI" w:cs="Segoe UI" w:hint="default"/>
        <w:b/>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9256D"/>
    <w:multiLevelType w:val="hybridMultilevel"/>
    <w:tmpl w:val="DB8035EE"/>
    <w:lvl w:ilvl="0" w:tplc="5A640936">
      <w:start w:val="1"/>
      <w:numFmt w:val="lowerLetter"/>
      <w:pStyle w:val="Indentletter"/>
      <w:lvlText w:val="%1."/>
      <w:lvlJc w:val="right"/>
      <w:pPr>
        <w:tabs>
          <w:tab w:val="num" w:pos="851"/>
        </w:tabs>
        <w:ind w:left="851"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469D9"/>
    <w:multiLevelType w:val="multilevel"/>
    <w:tmpl w:val="30A6DDD4"/>
    <w:lvl w:ilvl="0">
      <w:start w:val="1"/>
      <w:numFmt w:val="decimal"/>
      <w:pStyle w:val="Numberedpara"/>
      <w:lvlText w:val="%1."/>
      <w:lvlJc w:val="left"/>
      <w:pPr>
        <w:tabs>
          <w:tab w:val="num" w:pos="567"/>
        </w:tabs>
        <w:ind w:left="0" w:firstLine="0"/>
      </w:pPr>
      <w:rPr>
        <w:rFonts w:ascii="Segoe UI" w:hAnsi="Segoe UI" w:cs="Segoe UI" w:hint="default"/>
        <w:b w:val="0"/>
        <w:sz w:val="20"/>
        <w:szCs w:val="18"/>
      </w:rPr>
    </w:lvl>
    <w:lvl w:ilvl="1">
      <w:start w:val="1"/>
      <w:numFmt w:val="decimal"/>
      <w:lvlText w:val="%2."/>
      <w:lvlJc w:val="left"/>
      <w:pPr>
        <w:tabs>
          <w:tab w:val="num" w:pos="927"/>
        </w:tabs>
        <w:ind w:left="927" w:hanging="360"/>
      </w:pPr>
      <w:rPr>
        <w:rFonts w:hint="default"/>
        <w:b w:val="0"/>
        <w:bCs w:val="0"/>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5BF7DEB"/>
    <w:multiLevelType w:val="hybridMultilevel"/>
    <w:tmpl w:val="6CAED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48650">
    <w:abstractNumId w:val="3"/>
  </w:num>
  <w:num w:numId="2" w16cid:durableId="635523867">
    <w:abstractNumId w:val="2"/>
  </w:num>
  <w:num w:numId="3" w16cid:durableId="137384994">
    <w:abstractNumId w:val="0"/>
  </w:num>
  <w:num w:numId="4" w16cid:durableId="1562017490">
    <w:abstractNumId w:val="4"/>
  </w:num>
  <w:num w:numId="5" w16cid:durableId="751044761">
    <w:abstractNumId w:val="4"/>
  </w:num>
  <w:num w:numId="6" w16cid:durableId="1421828042">
    <w:abstractNumId w:val="4"/>
  </w:num>
  <w:num w:numId="7" w16cid:durableId="1809323288">
    <w:abstractNumId w:val="4"/>
  </w:num>
  <w:num w:numId="8" w16cid:durableId="2003660460">
    <w:abstractNumId w:val="1"/>
  </w:num>
  <w:num w:numId="9" w16cid:durableId="2100061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A2"/>
    <w:rsid w:val="000022BE"/>
    <w:rsid w:val="00006AAC"/>
    <w:rsid w:val="00020CC3"/>
    <w:rsid w:val="00025AC5"/>
    <w:rsid w:val="00060151"/>
    <w:rsid w:val="00062809"/>
    <w:rsid w:val="00082460"/>
    <w:rsid w:val="000A4262"/>
    <w:rsid w:val="000C0436"/>
    <w:rsid w:val="000C31C6"/>
    <w:rsid w:val="000F3F23"/>
    <w:rsid w:val="00113854"/>
    <w:rsid w:val="00120308"/>
    <w:rsid w:val="00123376"/>
    <w:rsid w:val="0014647D"/>
    <w:rsid w:val="00151549"/>
    <w:rsid w:val="001626EB"/>
    <w:rsid w:val="00181016"/>
    <w:rsid w:val="00192B48"/>
    <w:rsid w:val="001960C5"/>
    <w:rsid w:val="001F4CB2"/>
    <w:rsid w:val="00213DE6"/>
    <w:rsid w:val="0023003C"/>
    <w:rsid w:val="002343A2"/>
    <w:rsid w:val="002402A4"/>
    <w:rsid w:val="00244CE2"/>
    <w:rsid w:val="00260169"/>
    <w:rsid w:val="002647B2"/>
    <w:rsid w:val="00287F6B"/>
    <w:rsid w:val="002A619D"/>
    <w:rsid w:val="002B38F7"/>
    <w:rsid w:val="002C19B2"/>
    <w:rsid w:val="002C1BDB"/>
    <w:rsid w:val="002C7F19"/>
    <w:rsid w:val="002D3AB1"/>
    <w:rsid w:val="002E6465"/>
    <w:rsid w:val="003427BD"/>
    <w:rsid w:val="003519DE"/>
    <w:rsid w:val="00352E71"/>
    <w:rsid w:val="003725CF"/>
    <w:rsid w:val="00394801"/>
    <w:rsid w:val="003A0776"/>
    <w:rsid w:val="003B0288"/>
    <w:rsid w:val="003B32E2"/>
    <w:rsid w:val="003B6F83"/>
    <w:rsid w:val="003C33DD"/>
    <w:rsid w:val="003D7B88"/>
    <w:rsid w:val="003E36E5"/>
    <w:rsid w:val="003F60AC"/>
    <w:rsid w:val="00401891"/>
    <w:rsid w:val="00425506"/>
    <w:rsid w:val="0043154C"/>
    <w:rsid w:val="004337E3"/>
    <w:rsid w:val="004D732E"/>
    <w:rsid w:val="004F49DB"/>
    <w:rsid w:val="00507FFB"/>
    <w:rsid w:val="005658EA"/>
    <w:rsid w:val="00574981"/>
    <w:rsid w:val="00595645"/>
    <w:rsid w:val="005A3B81"/>
    <w:rsid w:val="005B5A16"/>
    <w:rsid w:val="005D501D"/>
    <w:rsid w:val="00615B3D"/>
    <w:rsid w:val="00627396"/>
    <w:rsid w:val="00637DC0"/>
    <w:rsid w:val="00654133"/>
    <w:rsid w:val="00654839"/>
    <w:rsid w:val="006556C4"/>
    <w:rsid w:val="00670DD2"/>
    <w:rsid w:val="00680277"/>
    <w:rsid w:val="00696CE2"/>
    <w:rsid w:val="0069764A"/>
    <w:rsid w:val="006B2D3B"/>
    <w:rsid w:val="006B4A51"/>
    <w:rsid w:val="006C6DA6"/>
    <w:rsid w:val="006E5ACC"/>
    <w:rsid w:val="006F1EA8"/>
    <w:rsid w:val="007067F5"/>
    <w:rsid w:val="00715881"/>
    <w:rsid w:val="00727562"/>
    <w:rsid w:val="00765FAB"/>
    <w:rsid w:val="00770326"/>
    <w:rsid w:val="0078484B"/>
    <w:rsid w:val="00795C60"/>
    <w:rsid w:val="007B42DB"/>
    <w:rsid w:val="007F1086"/>
    <w:rsid w:val="007F303B"/>
    <w:rsid w:val="007F4477"/>
    <w:rsid w:val="007F72AC"/>
    <w:rsid w:val="0081218D"/>
    <w:rsid w:val="008156B1"/>
    <w:rsid w:val="00817F6F"/>
    <w:rsid w:val="008371DE"/>
    <w:rsid w:val="0085055F"/>
    <w:rsid w:val="00866B78"/>
    <w:rsid w:val="0087675C"/>
    <w:rsid w:val="0088105B"/>
    <w:rsid w:val="00894D16"/>
    <w:rsid w:val="008A3E34"/>
    <w:rsid w:val="008E42D3"/>
    <w:rsid w:val="008F7D6D"/>
    <w:rsid w:val="00901B10"/>
    <w:rsid w:val="00913999"/>
    <w:rsid w:val="00973D95"/>
    <w:rsid w:val="009B1EB9"/>
    <w:rsid w:val="009E47E5"/>
    <w:rsid w:val="009E71BD"/>
    <w:rsid w:val="00A06DF0"/>
    <w:rsid w:val="00A1064C"/>
    <w:rsid w:val="00A13851"/>
    <w:rsid w:val="00A66FC9"/>
    <w:rsid w:val="00A963B7"/>
    <w:rsid w:val="00AA6021"/>
    <w:rsid w:val="00AC2351"/>
    <w:rsid w:val="00AD0A3E"/>
    <w:rsid w:val="00AF211A"/>
    <w:rsid w:val="00B125AC"/>
    <w:rsid w:val="00B17B17"/>
    <w:rsid w:val="00B17FD6"/>
    <w:rsid w:val="00B5475B"/>
    <w:rsid w:val="00B63557"/>
    <w:rsid w:val="00B7422B"/>
    <w:rsid w:val="00BB2A92"/>
    <w:rsid w:val="00BC6FB8"/>
    <w:rsid w:val="00BD47ED"/>
    <w:rsid w:val="00C16129"/>
    <w:rsid w:val="00C23AEC"/>
    <w:rsid w:val="00C778C3"/>
    <w:rsid w:val="00C8635C"/>
    <w:rsid w:val="00C87EA2"/>
    <w:rsid w:val="00C95F77"/>
    <w:rsid w:val="00CC51F6"/>
    <w:rsid w:val="00CC5E82"/>
    <w:rsid w:val="00CD1972"/>
    <w:rsid w:val="00CF3211"/>
    <w:rsid w:val="00D045ED"/>
    <w:rsid w:val="00D05AAD"/>
    <w:rsid w:val="00D57974"/>
    <w:rsid w:val="00D57C1D"/>
    <w:rsid w:val="00D57EA6"/>
    <w:rsid w:val="00D60307"/>
    <w:rsid w:val="00D91F8D"/>
    <w:rsid w:val="00DB786E"/>
    <w:rsid w:val="00DD315A"/>
    <w:rsid w:val="00DD4DAC"/>
    <w:rsid w:val="00DD69ED"/>
    <w:rsid w:val="00DD79D2"/>
    <w:rsid w:val="00DE56CC"/>
    <w:rsid w:val="00DF7EAD"/>
    <w:rsid w:val="00E03BF8"/>
    <w:rsid w:val="00E04C6B"/>
    <w:rsid w:val="00E06165"/>
    <w:rsid w:val="00E31416"/>
    <w:rsid w:val="00E41C50"/>
    <w:rsid w:val="00E4683C"/>
    <w:rsid w:val="00E5770A"/>
    <w:rsid w:val="00E61724"/>
    <w:rsid w:val="00E8162E"/>
    <w:rsid w:val="00EA1B91"/>
    <w:rsid w:val="00EC693A"/>
    <w:rsid w:val="00EE2EAB"/>
    <w:rsid w:val="00EF4DBB"/>
    <w:rsid w:val="00EF547A"/>
    <w:rsid w:val="00EF5BB1"/>
    <w:rsid w:val="00F4226C"/>
    <w:rsid w:val="00F52757"/>
    <w:rsid w:val="00F67CEE"/>
    <w:rsid w:val="00F76EC7"/>
    <w:rsid w:val="00F80D3B"/>
    <w:rsid w:val="00F83C8C"/>
    <w:rsid w:val="00F87646"/>
    <w:rsid w:val="00FE411B"/>
    <w:rsid w:val="00FF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A8D7"/>
  <w15:chartTrackingRefBased/>
  <w15:docId w15:val="{BECE13F4-F9A5-445C-822E-4527EEBD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60307"/>
    <w:pPr>
      <w:spacing w:before="100" w:beforeAutospacing="1" w:after="100" w:afterAutospacing="1" w:line="276" w:lineRule="auto"/>
      <w:contextualSpacing/>
      <w:jc w:val="both"/>
    </w:pPr>
    <w:rPr>
      <w:rFonts w:ascii="Times New Roman" w:eastAsia="PMingLiU" w:hAnsi="Times New Roman" w:cs="Times New Roman"/>
      <w:sz w:val="24"/>
      <w:szCs w:val="24"/>
      <w:lang w:eastAsia="zh-TW"/>
    </w:rPr>
  </w:style>
  <w:style w:type="paragraph" w:styleId="Heading5">
    <w:name w:val="heading 5"/>
    <w:basedOn w:val="Normal"/>
    <w:next w:val="Normal"/>
    <w:link w:val="Heading5Char"/>
    <w:qFormat/>
    <w:rsid w:val="002343A2"/>
    <w:pPr>
      <w:spacing w:before="120" w:after="12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343A2"/>
    <w:rPr>
      <w:rFonts w:ascii="Times New Roman" w:eastAsia="PMingLiU" w:hAnsi="Times New Roman" w:cs="Times New Roman"/>
      <w:b/>
      <w:bCs/>
      <w:i/>
      <w:iCs/>
      <w:sz w:val="24"/>
      <w:szCs w:val="26"/>
      <w:lang w:eastAsia="zh-TW"/>
    </w:rPr>
  </w:style>
  <w:style w:type="paragraph" w:customStyle="1" w:styleId="Indentletter">
    <w:name w:val="Indent letter"/>
    <w:basedOn w:val="Normal"/>
    <w:next w:val="Normal"/>
    <w:autoRedefine/>
    <w:rsid w:val="002343A2"/>
    <w:pPr>
      <w:numPr>
        <w:numId w:val="1"/>
      </w:numPr>
    </w:pPr>
    <w:rPr>
      <w:kern w:val="32"/>
    </w:rPr>
  </w:style>
  <w:style w:type="paragraph" w:customStyle="1" w:styleId="Tableheadingcolumn">
    <w:name w:val="Table heading column"/>
    <w:basedOn w:val="Normal"/>
    <w:autoRedefine/>
    <w:rsid w:val="00020CC3"/>
    <w:pPr>
      <w:tabs>
        <w:tab w:val="left" w:pos="284"/>
      </w:tabs>
      <w:jc w:val="center"/>
    </w:pPr>
    <w:rPr>
      <w:bCs/>
      <w:sz w:val="20"/>
      <w:lang w:eastAsia="es-ES_tradnl"/>
    </w:rPr>
  </w:style>
  <w:style w:type="character" w:styleId="FootnoteReference">
    <w:name w:val="footnote reference"/>
    <w:basedOn w:val="DefaultParagraphFont"/>
    <w:uiPriority w:val="99"/>
    <w:rsid w:val="002343A2"/>
    <w:rPr>
      <w:rFonts w:ascii="Times New Roman" w:hAnsi="Times New Roman"/>
      <w:sz w:val="18"/>
      <w:szCs w:val="18"/>
      <w:vertAlign w:val="superscript"/>
    </w:rPr>
  </w:style>
  <w:style w:type="paragraph" w:styleId="FootnoteText">
    <w:name w:val="footnote text"/>
    <w:basedOn w:val="Normal"/>
    <w:link w:val="FootnoteTextChar"/>
    <w:autoRedefine/>
    <w:uiPriority w:val="99"/>
    <w:rsid w:val="00CD1972"/>
    <w:pPr>
      <w:tabs>
        <w:tab w:val="left" w:pos="284"/>
      </w:tabs>
    </w:pPr>
    <w:rPr>
      <w:rFonts w:ascii="Segoe UI" w:hAnsi="Segoe UI" w:cs="Segoe UI"/>
      <w:sz w:val="20"/>
      <w:szCs w:val="20"/>
      <w:lang w:val="es-HN"/>
    </w:rPr>
  </w:style>
  <w:style w:type="character" w:customStyle="1" w:styleId="FootnoteTextChar">
    <w:name w:val="Footnote Text Char"/>
    <w:basedOn w:val="DefaultParagraphFont"/>
    <w:link w:val="FootnoteText"/>
    <w:uiPriority w:val="99"/>
    <w:rsid w:val="00CD1972"/>
    <w:rPr>
      <w:rFonts w:ascii="Segoe UI" w:eastAsia="PMingLiU" w:hAnsi="Segoe UI" w:cs="Segoe UI"/>
      <w:sz w:val="20"/>
      <w:szCs w:val="20"/>
      <w:lang w:val="es-HN" w:eastAsia="zh-TW"/>
    </w:rPr>
  </w:style>
  <w:style w:type="paragraph" w:customStyle="1" w:styleId="Tableboxleft">
    <w:name w:val="Table box left"/>
    <w:basedOn w:val="Normal"/>
    <w:link w:val="TableboxleftChar"/>
    <w:autoRedefine/>
    <w:rsid w:val="002343A2"/>
    <w:rPr>
      <w:sz w:val="20"/>
      <w:szCs w:val="20"/>
    </w:rPr>
  </w:style>
  <w:style w:type="paragraph" w:customStyle="1" w:styleId="Tableheadingcolumncentred">
    <w:name w:val="Table heading column centred"/>
    <w:basedOn w:val="Normal"/>
    <w:next w:val="Normal"/>
    <w:autoRedefine/>
    <w:rsid w:val="00F76EC7"/>
    <w:pPr>
      <w:tabs>
        <w:tab w:val="left" w:pos="9356"/>
      </w:tabs>
      <w:jc w:val="center"/>
    </w:pPr>
    <w:rPr>
      <w:rFonts w:ascii="Segoe UI" w:hAnsi="Segoe UI" w:cs="Segoe UI"/>
      <w:b/>
      <w:bCs/>
      <w:sz w:val="20"/>
      <w:szCs w:val="20"/>
      <w:lang w:val="en-US" w:eastAsia="en-GB"/>
    </w:rPr>
  </w:style>
  <w:style w:type="character" w:customStyle="1" w:styleId="TableboxleftChar">
    <w:name w:val="Table box left Char"/>
    <w:basedOn w:val="DefaultParagraphFont"/>
    <w:link w:val="Tableboxleft"/>
    <w:rsid w:val="002343A2"/>
    <w:rPr>
      <w:rFonts w:ascii="Times New Roman" w:eastAsia="PMingLiU" w:hAnsi="Times New Roman" w:cs="Times New Roman"/>
      <w:sz w:val="20"/>
      <w:szCs w:val="20"/>
      <w:lang w:eastAsia="zh-TW"/>
    </w:rPr>
  </w:style>
  <w:style w:type="paragraph" w:customStyle="1" w:styleId="Boxnumber">
    <w:name w:val="Box number"/>
    <w:basedOn w:val="Caption"/>
    <w:next w:val="Normal"/>
    <w:autoRedefine/>
    <w:qFormat/>
    <w:rsid w:val="00E03BF8"/>
    <w:pPr>
      <w:keepNext/>
      <w:numPr>
        <w:numId w:val="2"/>
      </w:numPr>
      <w:tabs>
        <w:tab w:val="num" w:pos="360"/>
        <w:tab w:val="left" w:pos="1134"/>
      </w:tabs>
      <w:spacing w:after="120"/>
      <w:ind w:left="1134" w:hanging="1134"/>
    </w:pPr>
    <w:rPr>
      <w:rFonts w:ascii="Segoe UI" w:eastAsia="Times New Roman" w:hAnsi="Segoe UI" w:cs="Segoe UI"/>
      <w:b/>
      <w:bCs/>
      <w:i w:val="0"/>
      <w:iCs w:val="0"/>
      <w:color w:val="auto"/>
      <w:sz w:val="22"/>
      <w:szCs w:val="20"/>
      <w:lang w:eastAsia="en-US"/>
    </w:rPr>
  </w:style>
  <w:style w:type="paragraph" w:customStyle="1" w:styleId="Tableofcontents">
    <w:name w:val="Table of contents"/>
    <w:basedOn w:val="TOAHeading"/>
    <w:qFormat/>
    <w:rsid w:val="002343A2"/>
    <w:pPr>
      <w:spacing w:after="120"/>
      <w:jc w:val="center"/>
    </w:pPr>
    <w:rPr>
      <w:rFonts w:ascii="Times New Roman" w:hAnsi="Times New Roman"/>
      <w:lang w:eastAsia="en-US"/>
    </w:rPr>
  </w:style>
  <w:style w:type="paragraph" w:styleId="Caption">
    <w:name w:val="caption"/>
    <w:basedOn w:val="Normal"/>
    <w:next w:val="Normal"/>
    <w:uiPriority w:val="35"/>
    <w:semiHidden/>
    <w:unhideWhenUsed/>
    <w:qFormat/>
    <w:rsid w:val="002343A2"/>
    <w:pPr>
      <w:spacing w:after="200"/>
    </w:pPr>
    <w:rPr>
      <w:i/>
      <w:iCs/>
      <w:color w:val="44546A" w:themeColor="text2"/>
      <w:sz w:val="18"/>
      <w:szCs w:val="18"/>
    </w:rPr>
  </w:style>
  <w:style w:type="paragraph" w:styleId="TOAHeading">
    <w:name w:val="toa heading"/>
    <w:basedOn w:val="Normal"/>
    <w:next w:val="Normal"/>
    <w:uiPriority w:val="99"/>
    <w:semiHidden/>
    <w:unhideWhenUsed/>
    <w:rsid w:val="002343A2"/>
    <w:pPr>
      <w:spacing w:before="120"/>
    </w:pPr>
    <w:rPr>
      <w:rFonts w:asciiTheme="majorHAnsi" w:eastAsiaTheme="majorEastAsia" w:hAnsiTheme="majorHAnsi" w:cstheme="majorBidi"/>
      <w:b/>
      <w:bCs/>
    </w:rPr>
  </w:style>
  <w:style w:type="table" w:styleId="TableGrid">
    <w:name w:val="Table Grid"/>
    <w:basedOn w:val="TableNormal"/>
    <w:uiPriority w:val="39"/>
    <w:rsid w:val="007F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972"/>
    <w:pPr>
      <w:ind w:left="720"/>
    </w:pPr>
  </w:style>
  <w:style w:type="paragraph" w:customStyle="1" w:styleId="Copy">
    <w:name w:val="Copy"/>
    <w:basedOn w:val="Normal"/>
    <w:rsid w:val="00C87EA2"/>
    <w:pPr>
      <w:tabs>
        <w:tab w:val="left" w:pos="440"/>
      </w:tabs>
      <w:autoSpaceDE w:val="0"/>
      <w:autoSpaceDN w:val="0"/>
      <w:adjustRightInd w:val="0"/>
      <w:spacing w:before="0" w:beforeAutospacing="0" w:after="260" w:afterAutospacing="0" w:line="260" w:lineRule="atLeast"/>
      <w:contextualSpacing w:val="0"/>
      <w:textAlignment w:val="center"/>
    </w:pPr>
    <w:rPr>
      <w:rFonts w:ascii="Adobe Garamond Pro" w:eastAsia="Times New Roman" w:hAnsi="Adobe Garamond Pro" w:cs="Adobe Garamond Pro"/>
      <w:color w:val="000000"/>
      <w:sz w:val="22"/>
      <w:szCs w:val="22"/>
      <w:lang w:eastAsia="en-US"/>
    </w:rPr>
  </w:style>
  <w:style w:type="paragraph" w:styleId="Header">
    <w:name w:val="header"/>
    <w:basedOn w:val="Normal"/>
    <w:link w:val="HeaderChar"/>
    <w:uiPriority w:val="99"/>
    <w:unhideWhenUsed/>
    <w:rsid w:val="002A619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619D"/>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2A619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A619D"/>
    <w:rPr>
      <w:rFonts w:ascii="Times New Roman" w:eastAsia="PMingLiU" w:hAnsi="Times New Roman" w:cs="Times New Roman"/>
      <w:sz w:val="24"/>
      <w:szCs w:val="24"/>
      <w:lang w:eastAsia="zh-TW"/>
    </w:rPr>
  </w:style>
  <w:style w:type="paragraph" w:customStyle="1" w:styleId="Numberedpara">
    <w:name w:val="Numbered para"/>
    <w:basedOn w:val="Normal"/>
    <w:link w:val="NumberedparaChar"/>
    <w:qFormat/>
    <w:rsid w:val="00F87646"/>
    <w:pPr>
      <w:numPr>
        <w:numId w:val="4"/>
      </w:numPr>
      <w:autoSpaceDE w:val="0"/>
      <w:autoSpaceDN w:val="0"/>
      <w:adjustRightInd w:val="0"/>
      <w:spacing w:before="120" w:beforeAutospacing="0" w:after="120" w:afterAutospacing="0" w:line="240" w:lineRule="auto"/>
      <w:contextualSpacing w:val="0"/>
    </w:pPr>
    <w:rPr>
      <w:rFonts w:ascii="Segoe UI" w:eastAsiaTheme="minorHAnsi" w:hAnsi="Segoe UI" w:cs="Calibri"/>
      <w:sz w:val="21"/>
      <w:szCs w:val="22"/>
      <w:lang w:eastAsia="en-US"/>
    </w:rPr>
  </w:style>
  <w:style w:type="character" w:customStyle="1" w:styleId="NumberedparaChar">
    <w:name w:val="Numbered para Char"/>
    <w:link w:val="Numberedpara"/>
    <w:rsid w:val="00F87646"/>
    <w:rPr>
      <w:rFonts w:ascii="Segoe UI" w:hAnsi="Segoe UI" w:cs="Calibri"/>
      <w:sz w:val="21"/>
    </w:rPr>
  </w:style>
  <w:style w:type="character" w:styleId="EndnoteReference">
    <w:name w:val="endnote reference"/>
    <w:basedOn w:val="DefaultParagraphFont"/>
    <w:uiPriority w:val="99"/>
    <w:semiHidden/>
    <w:unhideWhenUsed/>
    <w:rsid w:val="00D05AAD"/>
    <w:rPr>
      <w:vertAlign w:val="superscript"/>
    </w:rPr>
  </w:style>
  <w:style w:type="paragraph" w:styleId="Revision">
    <w:name w:val="Revision"/>
    <w:hidden/>
    <w:uiPriority w:val="99"/>
    <w:semiHidden/>
    <w:rsid w:val="00BB2A92"/>
    <w:pPr>
      <w:spacing w:after="0" w:line="240" w:lineRule="auto"/>
    </w:pPr>
    <w:rPr>
      <w:rFonts w:ascii="Times New Roman" w:eastAsia="PMingLiU"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318163">
      <w:bodyDiv w:val="1"/>
      <w:marLeft w:val="0"/>
      <w:marRight w:val="0"/>
      <w:marTop w:val="0"/>
      <w:marBottom w:val="0"/>
      <w:divBdr>
        <w:top w:val="none" w:sz="0" w:space="0" w:color="auto"/>
        <w:left w:val="none" w:sz="0" w:space="0" w:color="auto"/>
        <w:bottom w:val="none" w:sz="0" w:space="0" w:color="auto"/>
        <w:right w:val="none" w:sz="0" w:space="0" w:color="auto"/>
      </w:divBdr>
      <w:divsChild>
        <w:div w:id="1672368827">
          <w:marLeft w:val="0"/>
          <w:marRight w:val="0"/>
          <w:marTop w:val="0"/>
          <w:marBottom w:val="0"/>
          <w:divBdr>
            <w:top w:val="none" w:sz="0" w:space="0" w:color="auto"/>
            <w:left w:val="none" w:sz="0" w:space="0" w:color="auto"/>
            <w:bottom w:val="none" w:sz="0" w:space="0" w:color="auto"/>
            <w:right w:val="none" w:sz="0" w:space="0" w:color="auto"/>
          </w:divBdr>
          <w:divsChild>
            <w:div w:id="972489564">
              <w:marLeft w:val="0"/>
              <w:marRight w:val="0"/>
              <w:marTop w:val="0"/>
              <w:marBottom w:val="0"/>
              <w:divBdr>
                <w:top w:val="none" w:sz="0" w:space="0" w:color="auto"/>
                <w:left w:val="none" w:sz="0" w:space="0" w:color="auto"/>
                <w:bottom w:val="none" w:sz="0" w:space="0" w:color="auto"/>
                <w:right w:val="none" w:sz="0" w:space="0" w:color="auto"/>
              </w:divBdr>
              <w:divsChild>
                <w:div w:id="1078867389">
                  <w:marLeft w:val="0"/>
                  <w:marRight w:val="0"/>
                  <w:marTop w:val="0"/>
                  <w:marBottom w:val="0"/>
                  <w:divBdr>
                    <w:top w:val="none" w:sz="0" w:space="0" w:color="auto"/>
                    <w:left w:val="none" w:sz="0" w:space="0" w:color="auto"/>
                    <w:bottom w:val="none" w:sz="0" w:space="0" w:color="auto"/>
                    <w:right w:val="none" w:sz="0" w:space="0" w:color="auto"/>
                  </w:divBdr>
                  <w:divsChild>
                    <w:div w:id="12617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5CD34-B844-4377-9DDC-021C1A434455}"/>
</file>

<file path=customXml/itemProps2.xml><?xml version="1.0" encoding="utf-8"?>
<ds:datastoreItem xmlns:ds="http://schemas.openxmlformats.org/officeDocument/2006/customXml" ds:itemID="{787A129D-9FEC-4F6A-8F48-E7738FEFEC0E}"/>
</file>

<file path=docProps/app.xml><?xml version="1.0" encoding="utf-8"?>
<Properties xmlns="http://schemas.openxmlformats.org/officeDocument/2006/extended-properties" xmlns:vt="http://schemas.openxmlformats.org/officeDocument/2006/docPropsVTypes">
  <Template>Normal</Template>
  <TotalTime>2</TotalTime>
  <Pages>11</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Ching Ho</dc:creator>
  <cp:keywords/>
  <dc:description/>
  <cp:lastModifiedBy>Iain GATELY</cp:lastModifiedBy>
  <cp:revision>3</cp:revision>
  <dcterms:created xsi:type="dcterms:W3CDTF">2024-06-03T05:57:00Z</dcterms:created>
  <dcterms:modified xsi:type="dcterms:W3CDTF">2024-06-03T05:58:00Z</dcterms:modified>
</cp:coreProperties>
</file>