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7226A" w14:textId="3A257E0F" w:rsidR="002343A2" w:rsidRPr="00DB786E" w:rsidRDefault="002343A2" w:rsidP="00912D99">
      <w:pPr>
        <w:pStyle w:val="Tableofcontents"/>
      </w:pPr>
      <w:r w:rsidRPr="00DB786E">
        <w:t xml:space="preserve">Management response to the </w:t>
      </w:r>
      <w:r w:rsidR="002C19B2" w:rsidRPr="00DB786E">
        <w:t>Independent Evaluation of</w:t>
      </w:r>
      <w:r w:rsidR="00060151">
        <w:t>:</w:t>
      </w:r>
      <w:r w:rsidR="002C19B2" w:rsidRPr="00DB786E">
        <w:t xml:space="preserve"> </w:t>
      </w:r>
      <w:r w:rsidR="00060151" w:rsidRPr="00060151">
        <w:t>Global Initiative towards post-Covid-19 resurgence of the MSME sector</w:t>
      </w:r>
      <w:r w:rsidR="00060151">
        <w:t xml:space="preserve"> (DA project 2023W)</w:t>
      </w:r>
    </w:p>
    <w:p w14:paraId="242137C5" w14:textId="77777777" w:rsidR="00670DD2" w:rsidRDefault="00670DD2" w:rsidP="00912D99">
      <w:pPr>
        <w:pStyle w:val="Heading5"/>
      </w:pPr>
    </w:p>
    <w:p w14:paraId="00803093" w14:textId="5A9869D7" w:rsidR="002343A2" w:rsidRPr="00DB786E" w:rsidRDefault="002343A2" w:rsidP="00912D99">
      <w:pPr>
        <w:pStyle w:val="Heading5"/>
      </w:pPr>
      <w:r w:rsidRPr="00DB786E">
        <w:t>Overall response to the evaluation</w:t>
      </w:r>
    </w:p>
    <w:p w14:paraId="4F4BA9DB" w14:textId="7D8C2EA2" w:rsidR="00C67BBD" w:rsidRPr="00CC7752" w:rsidRDefault="004B7E41" w:rsidP="00912D99">
      <w:r w:rsidRPr="00CC7752">
        <w:t>The evaluation report was overall good</w:t>
      </w:r>
      <w:r w:rsidR="00C67BBD" w:rsidRPr="00CC7752">
        <w:t xml:space="preserve">, </w:t>
      </w:r>
      <w:r w:rsidR="00912D99" w:rsidRPr="00CC7752">
        <w:t>comprehensive,</w:t>
      </w:r>
      <w:r w:rsidRPr="00CC7752">
        <w:t xml:space="preserve"> and balanced. However, there were factual inconsistencies in parts of the text in relation to UNECA and errors in Figure 7, </w:t>
      </w:r>
      <w:r w:rsidR="002502E4">
        <w:t xml:space="preserve">though </w:t>
      </w:r>
      <w:r w:rsidRPr="00CC7752">
        <w:t xml:space="preserve">inputs and </w:t>
      </w:r>
      <w:r w:rsidR="00C67BBD" w:rsidRPr="00CC7752">
        <w:t>s</w:t>
      </w:r>
      <w:r w:rsidRPr="00CC7752">
        <w:t>up</w:t>
      </w:r>
      <w:r w:rsidR="00C67BBD" w:rsidRPr="00CC7752">
        <w:t>p</w:t>
      </w:r>
      <w:r w:rsidRPr="00CC7752">
        <w:t>orting d</w:t>
      </w:r>
      <w:r w:rsidR="00C67BBD" w:rsidRPr="00CC7752">
        <w:t>ocumentatio</w:t>
      </w:r>
      <w:r w:rsidRPr="00CC7752">
        <w:t xml:space="preserve">n </w:t>
      </w:r>
      <w:r w:rsidR="002502E4">
        <w:t xml:space="preserve">were </w:t>
      </w:r>
      <w:r w:rsidRPr="00CC7752">
        <w:t xml:space="preserve">provided </w:t>
      </w:r>
      <w:r w:rsidR="002502E4">
        <w:t xml:space="preserve">to the evaluators </w:t>
      </w:r>
      <w:r w:rsidRPr="00CC7752">
        <w:t>in a timely manner</w:t>
      </w:r>
      <w:r w:rsidR="00C67BBD" w:rsidRPr="00CC7752">
        <w:t>. These factual inconsistencies remained, though edits were sent to evaluators on the draft version in October 2023 and on a second version in January 2024</w:t>
      </w:r>
      <w:r w:rsidRPr="00CC7752">
        <w:t>.</w:t>
      </w:r>
      <w:r w:rsidR="00C67BBD" w:rsidRPr="00CC7752">
        <w:t xml:space="preserve"> UNECA</w:t>
      </w:r>
      <w:r w:rsidR="00912D99">
        <w:t xml:space="preserve"> has</w:t>
      </w:r>
      <w:r w:rsidR="00C67BBD" w:rsidRPr="00CC7752">
        <w:t xml:space="preserve"> </w:t>
      </w:r>
      <w:r w:rsidR="00912D99">
        <w:t xml:space="preserve">resubmitted these </w:t>
      </w:r>
      <w:r w:rsidR="00C67BBD" w:rsidRPr="00CC7752">
        <w:t xml:space="preserve">edits to the UNCTAD Evaluation unit to address these inconsistencies in May 2024.  For </w:t>
      </w:r>
      <w:r w:rsidR="00912D99" w:rsidRPr="00CC7752">
        <w:t>instance,</w:t>
      </w:r>
      <w:r w:rsidR="00C67BBD" w:rsidRPr="00CC7752">
        <w:t xml:space="preserve"> in the January 2024 version, based on inputs by UNECA, </w:t>
      </w:r>
      <w:r w:rsidR="00C67BBD" w:rsidRPr="00CC7752">
        <w:rPr>
          <w:lang w:eastAsia="en-US"/>
        </w:rPr>
        <w:t>paragraph 38 states:</w:t>
      </w:r>
      <w:r w:rsidR="00C67BBD" w:rsidRPr="00CC7752">
        <w:rPr>
          <w:color w:val="000000"/>
        </w:rPr>
        <w:t xml:space="preserve"> “At UNECA, the project was complementary to another ongoing UNDA13</w:t>
      </w:r>
      <w:r w:rsidR="00C67BBD" w:rsidRPr="00CC7752">
        <w:rPr>
          <w:color w:val="000000"/>
          <w:vertAlign w:val="superscript"/>
        </w:rPr>
        <w:t>th</w:t>
      </w:r>
      <w:r w:rsidR="00C67BBD" w:rsidRPr="00CC7752">
        <w:rPr>
          <w:color w:val="000000"/>
        </w:rPr>
        <w:t xml:space="preserve"> tranche project focusing on the role of technology and innovation on MSME competitiveness”. Furthermore, paragraph 39 states “The UNECA Sub-regional office for Southern Africa leveraged the project to build complementarities with an existing UNDA 13</w:t>
      </w:r>
      <w:r w:rsidR="00C67BBD" w:rsidRPr="00CC7752">
        <w:rPr>
          <w:color w:val="000000"/>
          <w:vertAlign w:val="superscript"/>
        </w:rPr>
        <w:t>th</w:t>
      </w:r>
      <w:r w:rsidR="00C67BBD" w:rsidRPr="00CC7752">
        <w:rPr>
          <w:color w:val="000000"/>
        </w:rPr>
        <w:t xml:space="preserve"> Tranche project on innovation and technology for SMEs, which had been approved for funding at the start of 2020”.  However</w:t>
      </w:r>
      <w:r w:rsidR="00AB365A">
        <w:rPr>
          <w:color w:val="000000"/>
        </w:rPr>
        <w:t>,</w:t>
      </w:r>
      <w:r w:rsidR="00C67BBD" w:rsidRPr="00CC7752">
        <w:rPr>
          <w:color w:val="000000"/>
        </w:rPr>
        <w:t xml:space="preserve"> in the May 2024 </w:t>
      </w:r>
      <w:r w:rsidR="00AB365A">
        <w:rPr>
          <w:color w:val="000000"/>
        </w:rPr>
        <w:t xml:space="preserve">version, </w:t>
      </w:r>
      <w:r w:rsidR="00C67BBD" w:rsidRPr="00CC7752">
        <w:rPr>
          <w:color w:val="000000"/>
        </w:rPr>
        <w:t xml:space="preserve">it read as </w:t>
      </w:r>
      <w:r w:rsidR="00912D99">
        <w:rPr>
          <w:color w:val="000000"/>
        </w:rPr>
        <w:t>follows</w:t>
      </w:r>
      <w:r w:rsidR="00C67BBD" w:rsidRPr="00CC7752">
        <w:rPr>
          <w:color w:val="000000"/>
        </w:rPr>
        <w:t xml:space="preserve"> in </w:t>
      </w:r>
      <w:r w:rsidR="00C67BBD" w:rsidRPr="00CC7752">
        <w:rPr>
          <w:lang w:eastAsia="en-US"/>
        </w:rPr>
        <w:t>paragraph 39: “</w:t>
      </w:r>
      <w:r w:rsidR="00C67BBD" w:rsidRPr="00CC7752">
        <w:rPr>
          <w:color w:val="000000"/>
        </w:rPr>
        <w:t>The UNECA Sub-regional office for Southern Africa leveraged the project to build the foundations of a UNDA 12</w:t>
      </w:r>
      <w:r w:rsidR="00C67BBD" w:rsidRPr="00CC7752">
        <w:rPr>
          <w:color w:val="000000"/>
          <w:vertAlign w:val="superscript"/>
        </w:rPr>
        <w:t>th</w:t>
      </w:r>
      <w:r w:rsidR="00C67BBD" w:rsidRPr="00CC7752">
        <w:rPr>
          <w:color w:val="000000"/>
        </w:rPr>
        <w:t xml:space="preserve"> Tranche project on innovation and technology for SMEs, which had been approved”. </w:t>
      </w:r>
    </w:p>
    <w:p w14:paraId="6216611D" w14:textId="77777777" w:rsidR="002502E4" w:rsidRDefault="002502E4" w:rsidP="00912D99"/>
    <w:p w14:paraId="4B5D6FEE" w14:textId="5A9BED67" w:rsidR="002502E4" w:rsidRDefault="002502E4" w:rsidP="00912D99"/>
    <w:p w14:paraId="2AEF707F" w14:textId="47A33632" w:rsidR="002502E4" w:rsidRPr="00CC7752" w:rsidRDefault="002502E4" w:rsidP="00912D99">
      <w:r w:rsidRPr="008815B8">
        <w:rPr>
          <w:color w:val="ED7D31"/>
        </w:rPr>
        <w:t xml:space="preserve">Figure </w:t>
      </w:r>
      <w:r>
        <w:rPr>
          <w:color w:val="ED7D31"/>
        </w:rPr>
        <w:t>7</w:t>
      </w:r>
      <w:r w:rsidRPr="008815B8">
        <w:rPr>
          <w:color w:val="ED7D31"/>
        </w:rPr>
        <w:t>:</w:t>
      </w:r>
      <w:r w:rsidRPr="008815B8">
        <w:t xml:space="preserve"> Surge Project outputs </w:t>
      </w:r>
      <w:r>
        <w:t xml:space="preserve">delivered </w:t>
      </w:r>
      <w:r w:rsidRPr="008815B8">
        <w:t>per implementing entity and implementation phase</w:t>
      </w:r>
      <w:r>
        <w:rPr>
          <w:rStyle w:val="FootnoteReference"/>
          <w:b/>
        </w:rPr>
        <w:footnoteReference w:id="1"/>
      </w:r>
      <w:r w:rsidRPr="008815B8">
        <w:t>.</w:t>
      </w:r>
    </w:p>
    <w:p w14:paraId="38D403EC" w14:textId="38A73D6A" w:rsidR="002502E4" w:rsidRPr="00CC7752" w:rsidRDefault="002502E4" w:rsidP="00912D99">
      <w:r>
        <w:rPr>
          <w:noProof/>
        </w:rPr>
        <w:drawing>
          <wp:inline distT="0" distB="0" distL="0" distR="0" wp14:anchorId="02EBECB2" wp14:editId="2FE40C55">
            <wp:extent cx="5943600" cy="2491740"/>
            <wp:effectExtent l="0" t="0" r="0" b="3810"/>
            <wp:docPr id="1389767498" name="Chart 1">
              <a:extLst xmlns:a="http://schemas.openxmlformats.org/drawingml/2006/main">
                <a:ext uri="{FF2B5EF4-FFF2-40B4-BE49-F238E27FC236}">
                  <a16:creationId xmlns:a16="http://schemas.microsoft.com/office/drawing/2014/main" id="{709894A7-8606-80CA-8EC8-E26C249BBE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5760A8F" w14:textId="77777777" w:rsidR="002502E4" w:rsidRDefault="002502E4" w:rsidP="00912D99"/>
    <w:p w14:paraId="4C7FF507" w14:textId="05E5EFA5" w:rsidR="002502E4" w:rsidRDefault="002502E4" w:rsidP="00912D99">
      <w:r>
        <w:t>In the May 2024 version, outputs reported for UNECA under Phase 3 (by end 2022) should be 4 and not 3 (as misreported in Figure 7 in the</w:t>
      </w:r>
      <w:r w:rsidR="00AB365A">
        <w:t xml:space="preserve"> May 2024</w:t>
      </w:r>
      <w:r>
        <w:t xml:space="preserve"> version). These relate to Phase 3 output # 4,2. 4.4, 4.6 and 4.8.</w:t>
      </w:r>
      <w:r w:rsidR="00AB365A">
        <w:t xml:space="preserve"> Three</w:t>
      </w:r>
      <w:r>
        <w:t xml:space="preserve"> outputs were delivered after December 2022 (#4.1, 4.5 and 4.7) but these were misreported as </w:t>
      </w:r>
      <w:r w:rsidR="00AB365A">
        <w:t>“five”</w:t>
      </w:r>
      <w:r>
        <w:t xml:space="preserve"> in paragraph 59 of the May 2024 version. </w:t>
      </w:r>
    </w:p>
    <w:p w14:paraId="527951C2" w14:textId="13426C33" w:rsidR="002502E4" w:rsidRDefault="002502E4" w:rsidP="00912D99"/>
    <w:p w14:paraId="763DA981" w14:textId="430389CA" w:rsidR="002502E4" w:rsidRDefault="002502E4" w:rsidP="00912D99">
      <w:r>
        <w:t>In table 7 (May 2024 version), under Phase 2, 4.3 should be replaced by 4.1.</w:t>
      </w:r>
    </w:p>
    <w:p w14:paraId="3C5F57E7" w14:textId="30BC1BAD" w:rsidR="002502E4" w:rsidRDefault="002502E4" w:rsidP="00912D99"/>
    <w:p w14:paraId="3B7E7EC2" w14:textId="577B7CBD" w:rsidR="002502E4" w:rsidRDefault="002502E4" w:rsidP="00912D99">
      <w:r>
        <w:t xml:space="preserve">In paragraph </w:t>
      </w:r>
      <w:r w:rsidR="00AB365A">
        <w:t>81 of the May 2024 version , it is stated that “</w:t>
      </w:r>
      <w:r w:rsidR="00AB365A" w:rsidRPr="003968C9">
        <w:t>An additional unplanned output, at the request of the Government of Mauritius, was a regional seminar on “The impact of Covid-19 on MSMEs in Southern Africa: Country Experiences and a Focus on Building Back Better in Mauritius” was held at the margins</w:t>
      </w:r>
      <w:r w:rsidR="00AB365A" w:rsidRPr="002812D9">
        <w:t xml:space="preserve"> of Dubai Expo 2020, in collaboration with the SADC Business Council and the Ministry of Industrial Development, SMEs and Cooperatives of Mauritius</w:t>
      </w:r>
      <w:r w:rsidR="00AB365A">
        <w:t>”. This was misreported as an unplanned output when it corresponds to Output #4.2 in Phase 3.  UNECA</w:t>
      </w:r>
      <w:r w:rsidR="00912D99">
        <w:t xml:space="preserve"> has since</w:t>
      </w:r>
      <w:r w:rsidR="00AB365A">
        <w:t xml:space="preserve"> requested </w:t>
      </w:r>
      <w:r w:rsidR="00912D99">
        <w:t xml:space="preserve">for these </w:t>
      </w:r>
      <w:r w:rsidR="00AB365A">
        <w:t>inconsistencies to be corrected in an email to UNCTAD</w:t>
      </w:r>
      <w:r w:rsidR="00912D99">
        <w:t xml:space="preserve"> Evaluation </w:t>
      </w:r>
      <w:r w:rsidR="0072429A">
        <w:t>on June 6, 2024</w:t>
      </w:r>
    </w:p>
    <w:p w14:paraId="03D3E5C6" w14:textId="77777777" w:rsidR="002343A2" w:rsidRPr="00DB786E" w:rsidRDefault="002343A2" w:rsidP="00912D99">
      <w:pPr>
        <w:pStyle w:val="Heading5"/>
        <w:rPr>
          <w:lang w:eastAsia="en-US"/>
        </w:rPr>
      </w:pPr>
      <w:r w:rsidRPr="00DB786E">
        <w:rPr>
          <w:lang w:eastAsia="en-US"/>
        </w:rPr>
        <w:t>Response by recommendation</w:t>
      </w:r>
    </w:p>
    <w:p w14:paraId="73229BCB" w14:textId="6F3BEF92" w:rsidR="002343A2" w:rsidRPr="00DB786E" w:rsidRDefault="002343A2" w:rsidP="00912D99">
      <w:pPr>
        <w:rPr>
          <w:lang w:eastAsia="en-US"/>
        </w:rPr>
      </w:pPr>
      <w:r w:rsidRPr="00DB786E">
        <w:rPr>
          <w:lang w:eastAsia="en-US"/>
        </w:rPr>
        <w:t xml:space="preserve">In this section, </w:t>
      </w:r>
      <w:r w:rsidR="00AA6021">
        <w:rPr>
          <w:lang w:eastAsia="en-US"/>
        </w:rPr>
        <w:t xml:space="preserve">Project </w:t>
      </w:r>
      <w:r w:rsidRPr="00DB786E">
        <w:rPr>
          <w:lang w:eastAsia="en-US"/>
        </w:rPr>
        <w:t>Management should address each recommendation</w:t>
      </w:r>
      <w:r w:rsidR="00627396" w:rsidRPr="00DB786E">
        <w:rPr>
          <w:lang w:eastAsia="en-US"/>
        </w:rPr>
        <w:t xml:space="preserve"> that is addressed to UNCTAD</w:t>
      </w:r>
      <w:r w:rsidRPr="00DB786E">
        <w:rPr>
          <w:lang w:eastAsia="en-US"/>
        </w:rPr>
        <w:t xml:space="preserve">, discussing them in the order presented in the evaluation report. This should be done in the format of the Management Response matrix below (see Box 1) and include: </w:t>
      </w:r>
    </w:p>
    <w:p w14:paraId="11BFA3CC" w14:textId="77777777" w:rsidR="002343A2" w:rsidRPr="00DB786E" w:rsidRDefault="002343A2" w:rsidP="00912D99">
      <w:pPr>
        <w:pStyle w:val="Indentletter"/>
        <w:rPr>
          <w:u w:val="single"/>
        </w:rPr>
      </w:pPr>
      <w:r w:rsidRPr="00DB786E">
        <w:t xml:space="preserve">The recommendation number and text copied from the evaluation </w:t>
      </w:r>
      <w:proofErr w:type="gramStart"/>
      <w:r w:rsidRPr="00DB786E">
        <w:t>report;</w:t>
      </w:r>
      <w:proofErr w:type="gramEnd"/>
      <w:r w:rsidRPr="00DB786E">
        <w:t xml:space="preserve"> </w:t>
      </w:r>
    </w:p>
    <w:p w14:paraId="7FFB960F" w14:textId="77777777" w:rsidR="002343A2" w:rsidRPr="00DB786E" w:rsidRDefault="002343A2" w:rsidP="00912D99">
      <w:pPr>
        <w:pStyle w:val="Indentletter"/>
        <w:rPr>
          <w:u w:val="single"/>
        </w:rPr>
      </w:pPr>
      <w:r w:rsidRPr="00DB786E">
        <w:t xml:space="preserve">Indication of whether the recommendation is accepted fully, partially, or </w:t>
      </w:r>
      <w:proofErr w:type="gramStart"/>
      <w:r w:rsidRPr="00DB786E">
        <w:t>rejected;</w:t>
      </w:r>
      <w:proofErr w:type="gramEnd"/>
    </w:p>
    <w:p w14:paraId="71B8AC31" w14:textId="77777777" w:rsidR="002343A2" w:rsidRPr="00DB786E" w:rsidRDefault="002343A2" w:rsidP="00912D99">
      <w:pPr>
        <w:pStyle w:val="Indentletter"/>
        <w:rPr>
          <w:u w:val="single"/>
        </w:rPr>
      </w:pPr>
      <w:r w:rsidRPr="00DB786E">
        <w:t xml:space="preserve">Description of the actions to be taken, with comments as required on the conditions to be met during implementation, or on reasons leading to a partial acceptance or rejection of a </w:t>
      </w:r>
      <w:proofErr w:type="gramStart"/>
      <w:r w:rsidRPr="00DB786E">
        <w:t>recommendation;</w:t>
      </w:r>
      <w:proofErr w:type="gramEnd"/>
    </w:p>
    <w:p w14:paraId="54B2BF9F" w14:textId="1B206141" w:rsidR="002343A2" w:rsidRPr="00DB786E" w:rsidRDefault="002343A2" w:rsidP="00912D99">
      <w:pPr>
        <w:pStyle w:val="Indentletter"/>
        <w:rPr>
          <w:u w:val="single"/>
        </w:rPr>
      </w:pPr>
      <w:r w:rsidRPr="00DB786E">
        <w:t>The responsible party for implementing the action/</w:t>
      </w:r>
      <w:proofErr w:type="gramStart"/>
      <w:r w:rsidRPr="00DB786E">
        <w:t>s;</w:t>
      </w:r>
      <w:proofErr w:type="gramEnd"/>
    </w:p>
    <w:p w14:paraId="686E1F49" w14:textId="77777777" w:rsidR="002343A2" w:rsidRPr="00DB786E" w:rsidRDefault="002343A2" w:rsidP="00912D99">
      <w:pPr>
        <w:pStyle w:val="Indentletter"/>
        <w:rPr>
          <w:u w:val="single"/>
        </w:rPr>
      </w:pPr>
      <w:r w:rsidRPr="00DB786E">
        <w:t xml:space="preserve">The </w:t>
      </w:r>
      <w:proofErr w:type="gramStart"/>
      <w:r w:rsidRPr="00DB786E">
        <w:t>time-frame</w:t>
      </w:r>
      <w:proofErr w:type="gramEnd"/>
      <w:r w:rsidRPr="00DB786E">
        <w:t xml:space="preserve"> for implementation and/or an implementation schedule, if required;</w:t>
      </w:r>
    </w:p>
    <w:p w14:paraId="63B31C44" w14:textId="3E9CB48F" w:rsidR="002343A2" w:rsidRPr="00DB786E" w:rsidRDefault="002343A2" w:rsidP="00912D99">
      <w:pPr>
        <w:pStyle w:val="Indentletter"/>
      </w:pPr>
      <w:r w:rsidRPr="00DB786E">
        <w:t xml:space="preserve">Indication if </w:t>
      </w:r>
      <w:r w:rsidR="00E03BF8" w:rsidRPr="00DB786E">
        <w:t>and what resources are</w:t>
      </w:r>
      <w:r w:rsidRPr="00DB786E">
        <w:t xml:space="preserve"> required for implementing the recommendation.</w:t>
      </w:r>
    </w:p>
    <w:p w14:paraId="02AE282D" w14:textId="77777777" w:rsidR="00B17FD6" w:rsidRPr="00CD1972" w:rsidRDefault="00B17FD6" w:rsidP="00912D99">
      <w:pPr>
        <w:rPr>
          <w:lang w:eastAsia="en-US"/>
        </w:rPr>
        <w:sectPr w:rsidR="00B17FD6" w:rsidRPr="00CD1972" w:rsidSect="00CD1972">
          <w:footerReference w:type="default" r:id="rId8"/>
          <w:type w:val="continuous"/>
          <w:pgSz w:w="11906" w:h="16838"/>
          <w:pgMar w:top="1440" w:right="1080" w:bottom="1440" w:left="1080" w:header="708" w:footer="708" w:gutter="0"/>
          <w:cols w:space="708"/>
          <w:docGrid w:linePitch="360"/>
        </w:sectPr>
      </w:pPr>
    </w:p>
    <w:p w14:paraId="4AA7465A" w14:textId="77777777" w:rsidR="002343A2" w:rsidRPr="00E03BF8" w:rsidRDefault="002343A2" w:rsidP="00912D99">
      <w:pPr>
        <w:pStyle w:val="Boxnumber"/>
      </w:pPr>
      <w:r w:rsidRPr="00E03BF8">
        <w:t>Management response matrix</w:t>
      </w:r>
      <w:r w:rsidRPr="00E03BF8">
        <w:rPr>
          <w:rStyle w:val="FootnoteReference"/>
          <w:rFonts w:ascii="Segoe UI" w:hAnsi="Segoe UI"/>
          <w:sz w:val="22"/>
          <w:szCs w:val="22"/>
        </w:rPr>
        <w:footnoteReference w:id="2"/>
      </w:r>
    </w:p>
    <w:tbl>
      <w:tblPr>
        <w:tblW w:w="14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5"/>
        <w:gridCol w:w="2006"/>
        <w:gridCol w:w="3310"/>
        <w:gridCol w:w="1938"/>
        <w:gridCol w:w="1965"/>
        <w:gridCol w:w="1581"/>
      </w:tblGrid>
      <w:tr w:rsidR="002343A2" w:rsidRPr="00CD1972" w14:paraId="5FF4E58E" w14:textId="77777777" w:rsidTr="00912D99">
        <w:tc>
          <w:tcPr>
            <w:tcW w:w="13354" w:type="dxa"/>
            <w:gridSpan w:val="5"/>
            <w:shd w:val="clear" w:color="auto" w:fill="D9D9D9"/>
          </w:tcPr>
          <w:p w14:paraId="0E42B6C0" w14:textId="5F3012EA" w:rsidR="002343A2" w:rsidRPr="00CD1972" w:rsidRDefault="002343A2" w:rsidP="00912D99">
            <w:pPr>
              <w:pStyle w:val="Tableheadingcolumncentred"/>
              <w:rPr>
                <w:lang w:eastAsia="en-US"/>
              </w:rPr>
            </w:pPr>
            <w:r w:rsidRPr="00CD1972">
              <w:t xml:space="preserve">Management response to the </w:t>
            </w:r>
            <w:r w:rsidR="00CD1972">
              <w:t xml:space="preserve">Independent Evaluation of </w:t>
            </w:r>
            <w:r w:rsidR="00060151" w:rsidRPr="00060151">
              <w:t>Global Initiative towards post-Covid-19 resurgence of the MSME sector (DA project 2023W)</w:t>
            </w:r>
          </w:p>
        </w:tc>
        <w:tc>
          <w:tcPr>
            <w:tcW w:w="1581" w:type="dxa"/>
            <w:shd w:val="clear" w:color="auto" w:fill="D9D9D9"/>
          </w:tcPr>
          <w:p w14:paraId="3069A53D" w14:textId="77777777" w:rsidR="002343A2" w:rsidRPr="00CD1972" w:rsidRDefault="002343A2" w:rsidP="00912D99">
            <w:pPr>
              <w:pStyle w:val="Tableheadingcolumncentred"/>
            </w:pPr>
            <w:r w:rsidRPr="00CD1972">
              <w:t>Date</w:t>
            </w:r>
          </w:p>
        </w:tc>
      </w:tr>
      <w:tr w:rsidR="00B63557" w:rsidRPr="00CD1972" w14:paraId="624C49DE" w14:textId="77777777" w:rsidTr="00912D99">
        <w:tc>
          <w:tcPr>
            <w:tcW w:w="4135" w:type="dxa"/>
            <w:vMerge w:val="restart"/>
            <w:shd w:val="clear" w:color="auto" w:fill="D9D9D9"/>
          </w:tcPr>
          <w:p w14:paraId="511774F7" w14:textId="77777777" w:rsidR="002343A2" w:rsidRPr="00CD1972" w:rsidRDefault="002343A2" w:rsidP="00912D99">
            <w:pPr>
              <w:pStyle w:val="Tableheadingcolumncentred"/>
              <w:rPr>
                <w:lang w:eastAsia="en-US"/>
              </w:rPr>
            </w:pPr>
            <w:r w:rsidRPr="00CD1972">
              <w:t>Evaluation Recommendation (a)</w:t>
            </w:r>
          </w:p>
        </w:tc>
        <w:tc>
          <w:tcPr>
            <w:tcW w:w="2006" w:type="dxa"/>
            <w:vMerge w:val="restart"/>
            <w:shd w:val="clear" w:color="auto" w:fill="D9D9D9"/>
          </w:tcPr>
          <w:p w14:paraId="0BEF15A7" w14:textId="77777777" w:rsidR="002343A2" w:rsidRPr="00CD1972" w:rsidRDefault="002343A2" w:rsidP="00912D99">
            <w:pPr>
              <w:pStyle w:val="Tableheadingcolumncentred"/>
            </w:pPr>
            <w:r w:rsidRPr="00CD1972">
              <w:t>Management response (b)</w:t>
            </w:r>
          </w:p>
          <w:p w14:paraId="1854A92B" w14:textId="77777777" w:rsidR="002343A2" w:rsidRPr="00CD1972" w:rsidRDefault="002343A2" w:rsidP="00912D99">
            <w:pPr>
              <w:pStyle w:val="Tableheadingcolumncentred"/>
              <w:rPr>
                <w:color w:val="FF0000"/>
              </w:rPr>
            </w:pPr>
            <w:r w:rsidRPr="00CD1972">
              <w:rPr>
                <w:color w:val="008000"/>
              </w:rPr>
              <w:t>Accepted</w:t>
            </w:r>
            <w:r w:rsidRPr="00CD1972">
              <w:t xml:space="preserve">, partially accepted or </w:t>
            </w:r>
            <w:proofErr w:type="gramStart"/>
            <w:r w:rsidRPr="00CD1972">
              <w:rPr>
                <w:color w:val="FF0000"/>
              </w:rPr>
              <w:t>rejected</w:t>
            </w:r>
            <w:proofErr w:type="gramEnd"/>
            <w:r w:rsidRPr="00CD1972">
              <w:rPr>
                <w:color w:val="FF0000"/>
              </w:rPr>
              <w:t xml:space="preserve"> </w:t>
            </w:r>
          </w:p>
          <w:p w14:paraId="6E1E6D0D" w14:textId="1B0439FA" w:rsidR="00894D16" w:rsidRPr="00CD1972" w:rsidRDefault="00894D16" w:rsidP="00912D99">
            <w:pPr>
              <w:pStyle w:val="Tableheadingcolumncentred"/>
            </w:pPr>
          </w:p>
        </w:tc>
        <w:tc>
          <w:tcPr>
            <w:tcW w:w="8794" w:type="dxa"/>
            <w:gridSpan w:val="4"/>
            <w:shd w:val="clear" w:color="auto" w:fill="D9D9D9"/>
          </w:tcPr>
          <w:p w14:paraId="204A6D35" w14:textId="77777777" w:rsidR="002343A2" w:rsidRPr="00CD1972" w:rsidRDefault="002343A2" w:rsidP="00912D99">
            <w:pPr>
              <w:pStyle w:val="Tableheadingcolumncentred"/>
              <w:rPr>
                <w:lang w:eastAsia="en-US"/>
              </w:rPr>
            </w:pPr>
            <w:r w:rsidRPr="00CD1972">
              <w:t>Management plan</w:t>
            </w:r>
          </w:p>
        </w:tc>
      </w:tr>
      <w:tr w:rsidR="00912D99" w:rsidRPr="00CD1972" w14:paraId="41A9604A" w14:textId="77777777" w:rsidTr="00912D99">
        <w:tc>
          <w:tcPr>
            <w:tcW w:w="4135" w:type="dxa"/>
            <w:vMerge/>
            <w:shd w:val="clear" w:color="auto" w:fill="D9D9D9"/>
          </w:tcPr>
          <w:p w14:paraId="23BAABA8" w14:textId="77777777" w:rsidR="002343A2" w:rsidRPr="00CD1972" w:rsidRDefault="002343A2" w:rsidP="00912D99">
            <w:pPr>
              <w:rPr>
                <w:lang w:eastAsia="en-US"/>
              </w:rPr>
            </w:pPr>
          </w:p>
        </w:tc>
        <w:tc>
          <w:tcPr>
            <w:tcW w:w="2006" w:type="dxa"/>
            <w:vMerge/>
            <w:shd w:val="clear" w:color="auto" w:fill="D9D9D9"/>
          </w:tcPr>
          <w:p w14:paraId="4B5815FC" w14:textId="77777777" w:rsidR="002343A2" w:rsidRPr="00CD1972" w:rsidRDefault="002343A2" w:rsidP="00912D99">
            <w:pPr>
              <w:rPr>
                <w:lang w:eastAsia="en-US"/>
              </w:rPr>
            </w:pPr>
          </w:p>
        </w:tc>
        <w:tc>
          <w:tcPr>
            <w:tcW w:w="3310" w:type="dxa"/>
            <w:shd w:val="clear" w:color="auto" w:fill="D9D9D9"/>
          </w:tcPr>
          <w:p w14:paraId="0D50491B" w14:textId="77777777" w:rsidR="002343A2" w:rsidRPr="00CD1972" w:rsidRDefault="002343A2" w:rsidP="00912D99">
            <w:pPr>
              <w:pStyle w:val="Tableheadingcolumncentred"/>
            </w:pPr>
            <w:r w:rsidRPr="00CD1972">
              <w:t>Actions to be taken, and/or comments about partial acceptance or rejection (c)</w:t>
            </w:r>
          </w:p>
        </w:tc>
        <w:tc>
          <w:tcPr>
            <w:tcW w:w="1938" w:type="dxa"/>
            <w:shd w:val="clear" w:color="auto" w:fill="D9D9D9"/>
          </w:tcPr>
          <w:p w14:paraId="5C113B24" w14:textId="77777777" w:rsidR="002343A2" w:rsidRPr="00CD1972" w:rsidRDefault="002343A2" w:rsidP="00912D99">
            <w:pPr>
              <w:pStyle w:val="Tableheadingcolumncentred"/>
            </w:pPr>
            <w:r w:rsidRPr="00CD1972">
              <w:t>Responsible unit (d)</w:t>
            </w:r>
          </w:p>
        </w:tc>
        <w:tc>
          <w:tcPr>
            <w:tcW w:w="1965" w:type="dxa"/>
            <w:shd w:val="clear" w:color="auto" w:fill="D9D9D9"/>
          </w:tcPr>
          <w:p w14:paraId="1C16C5F9" w14:textId="77777777" w:rsidR="002343A2" w:rsidRPr="00CD1972" w:rsidRDefault="002343A2" w:rsidP="00912D99">
            <w:pPr>
              <w:pStyle w:val="Tableheadingcolumncentred"/>
            </w:pPr>
            <w:r w:rsidRPr="00CD1972">
              <w:t>Timeframe (e)</w:t>
            </w:r>
          </w:p>
        </w:tc>
        <w:tc>
          <w:tcPr>
            <w:tcW w:w="1581" w:type="dxa"/>
            <w:shd w:val="clear" w:color="auto" w:fill="D9D9D9"/>
          </w:tcPr>
          <w:p w14:paraId="30B59888" w14:textId="2A8F3C91" w:rsidR="002343A2" w:rsidRPr="00CD1972" w:rsidRDefault="00E03BF8" w:rsidP="00912D99">
            <w:pPr>
              <w:pStyle w:val="Tableheadingcolumncentred"/>
            </w:pPr>
            <w:r>
              <w:t xml:space="preserve">Resources </w:t>
            </w:r>
            <w:r w:rsidR="003C33DD">
              <w:t>required</w:t>
            </w:r>
            <w:r w:rsidR="002343A2" w:rsidRPr="00CD1972">
              <w:t xml:space="preserve"> </w:t>
            </w:r>
            <w:r w:rsidR="002343A2" w:rsidRPr="00CD1972">
              <w:br/>
              <w:t>(Y or N) (f)</w:t>
            </w:r>
          </w:p>
        </w:tc>
      </w:tr>
      <w:tr w:rsidR="00D045ED" w:rsidRPr="00CD1972" w14:paraId="5404EE28" w14:textId="77777777" w:rsidTr="00912D99">
        <w:tc>
          <w:tcPr>
            <w:tcW w:w="4135" w:type="dxa"/>
          </w:tcPr>
          <w:p w14:paraId="04EBB222" w14:textId="434E64D7" w:rsidR="00F87646" w:rsidRDefault="00E61724" w:rsidP="00912D99">
            <w:pPr>
              <w:pStyle w:val="Copy"/>
              <w:rPr>
                <w:lang w:val="en-US"/>
              </w:rPr>
            </w:pPr>
            <w:r w:rsidRPr="00E61724">
              <w:rPr>
                <w:lang w:val="en-US"/>
              </w:rPr>
              <w:t>Recommendation</w:t>
            </w:r>
            <w:r w:rsidR="00F4226C">
              <w:rPr>
                <w:lang w:val="en-US"/>
              </w:rPr>
              <w:t xml:space="preserve"> 1:</w:t>
            </w:r>
          </w:p>
          <w:p w14:paraId="3F864330" w14:textId="77777777" w:rsidR="002343A2" w:rsidRPr="00060151" w:rsidRDefault="00060151" w:rsidP="00912D99">
            <w:pPr>
              <w:pStyle w:val="Numberedpara"/>
            </w:pPr>
            <w:r w:rsidRPr="00060151">
              <w:t>(i) UNCTAD should further leverage the experience gained through the project to map out how components of the Entrepreneurship Policy Framework relate to and can be best positioned to support MSMEs in their recovery from different types of crises and (ii) DESA and the Regional Commissions should add their analysis of how their work can contribute towards the objective.</w:t>
            </w:r>
          </w:p>
          <w:p w14:paraId="2F077088" w14:textId="5CF2A026" w:rsidR="00060151" w:rsidRPr="00FE411B" w:rsidRDefault="00060151" w:rsidP="00912D99">
            <w:pPr>
              <w:pStyle w:val="Numberedpara"/>
            </w:pPr>
            <w:r w:rsidRPr="00060151">
              <w:t>UNCTAD, DESA and the Regional Commissions could build on the project to map their areas of intervention in support of the MSME sector, as well as capacities and knowledge on the implementation of the EPF components, including in a crisis context, and opportunities for broadening the uptake of EPF components at the regional level based on national needs. UNCTAD, DESA and the Regional Commissions could further consider identifying areas of joint interventions that would trigger complementarities and synergies between the agencies. This could involve collaborating on the development of capacities of all national and sub-national actors, i.e. Governments, MSMEs, other  partners (e.g. Chamber of Commerce, Business Incubators, etc.) in line with United Nations Sustainable Development Cooperation Frameworks (SDCF) in respective countries; strengthening or contributing to facilitate access to finance for the MSMEs (including seed money, grants, access to credit, etc.); improving the coordination of MSMEs related policies across ministries; increasing interventions at the local level, such as by supporting NGOs or MSMEs outside of the main cities. The application of a human rights-based approach, gender responsiveness and inclusion of other vulnerable groups (LNOB) should be ensured.</w:t>
            </w:r>
          </w:p>
        </w:tc>
        <w:tc>
          <w:tcPr>
            <w:tcW w:w="2006" w:type="dxa"/>
          </w:tcPr>
          <w:p w14:paraId="07C16FF9" w14:textId="2C786B2A" w:rsidR="002343A2" w:rsidRPr="008D552F" w:rsidRDefault="00365B97" w:rsidP="00912D99">
            <w:pPr>
              <w:pStyle w:val="Tableheadingcolumn"/>
            </w:pPr>
            <w:r w:rsidRPr="008D552F">
              <w:t>Accepted</w:t>
            </w:r>
          </w:p>
          <w:p w14:paraId="4F5D4442" w14:textId="77777777" w:rsidR="00D7444F" w:rsidRPr="00D7444F" w:rsidRDefault="00D7444F" w:rsidP="00912D99">
            <w:pPr>
              <w:pStyle w:val="Tableheadingcolumn"/>
              <w:rPr>
                <w:highlight w:val="yellow"/>
              </w:rPr>
            </w:pPr>
          </w:p>
          <w:p w14:paraId="4B74E5C6" w14:textId="03CBD711" w:rsidR="00D7444F" w:rsidRPr="007067F5" w:rsidRDefault="00D7444F" w:rsidP="00912D99">
            <w:pPr>
              <w:pStyle w:val="Tableheadingcolumn"/>
            </w:pPr>
          </w:p>
        </w:tc>
        <w:tc>
          <w:tcPr>
            <w:tcW w:w="3310" w:type="dxa"/>
          </w:tcPr>
          <w:p w14:paraId="2D33F4BC" w14:textId="7ABD6353" w:rsidR="002343A2" w:rsidRDefault="003B3C8A" w:rsidP="00912D99">
            <w:pPr>
              <w:pStyle w:val="Tableboxleft"/>
              <w:numPr>
                <w:ilvl w:val="0"/>
                <w:numId w:val="8"/>
              </w:numPr>
              <w:ind w:left="230" w:hanging="230"/>
              <w:rPr>
                <w:lang w:eastAsia="en-US"/>
              </w:rPr>
            </w:pPr>
            <w:r>
              <w:rPr>
                <w:lang w:eastAsia="en-US"/>
              </w:rPr>
              <w:t xml:space="preserve">ECA </w:t>
            </w:r>
            <w:r w:rsidR="00FE7527">
              <w:rPr>
                <w:lang w:eastAsia="en-US"/>
              </w:rPr>
              <w:t>shall</w:t>
            </w:r>
            <w:r w:rsidR="00865D8B">
              <w:rPr>
                <w:lang w:eastAsia="en-US"/>
              </w:rPr>
              <w:t>,</w:t>
            </w:r>
            <w:r>
              <w:rPr>
                <w:lang w:eastAsia="en-US"/>
              </w:rPr>
              <w:t xml:space="preserve"> whenever relevant</w:t>
            </w:r>
            <w:r w:rsidR="00865D8B">
              <w:rPr>
                <w:lang w:eastAsia="en-US"/>
              </w:rPr>
              <w:t>,</w:t>
            </w:r>
            <w:r>
              <w:rPr>
                <w:lang w:eastAsia="en-US"/>
              </w:rPr>
              <w:t xml:space="preserve"> leverage on UNCTAD</w:t>
            </w:r>
            <w:r w:rsidR="00865D8B">
              <w:rPr>
                <w:lang w:eastAsia="en-US"/>
              </w:rPr>
              <w:t xml:space="preserve"> </w:t>
            </w:r>
            <w:r w:rsidR="00865D8B" w:rsidRPr="00060151">
              <w:rPr>
                <w:i/>
                <w:iCs/>
                <w:szCs w:val="21"/>
              </w:rPr>
              <w:t>Entrepreneurship Policy Framework</w:t>
            </w:r>
            <w:r>
              <w:rPr>
                <w:lang w:eastAsia="en-US"/>
              </w:rPr>
              <w:t xml:space="preserve"> </w:t>
            </w:r>
            <w:r w:rsidR="00865D8B">
              <w:rPr>
                <w:lang w:eastAsia="en-US"/>
              </w:rPr>
              <w:t>(</w:t>
            </w:r>
            <w:r w:rsidR="00912D99">
              <w:rPr>
                <w:lang w:eastAsia="en-US"/>
              </w:rPr>
              <w:t>EPF) to</w:t>
            </w:r>
            <w:r>
              <w:rPr>
                <w:lang w:eastAsia="en-US"/>
              </w:rPr>
              <w:t xml:space="preserve"> strengthen its analysis on MSME development issues</w:t>
            </w:r>
            <w:r w:rsidR="00912D99">
              <w:rPr>
                <w:lang w:eastAsia="en-US"/>
              </w:rPr>
              <w:t>.</w:t>
            </w:r>
          </w:p>
          <w:p w14:paraId="5E9FCAFF" w14:textId="4E985320" w:rsidR="003B3C8A" w:rsidRPr="007067F5" w:rsidRDefault="003B3C8A" w:rsidP="00912D99">
            <w:pPr>
              <w:pStyle w:val="Tableboxleft"/>
              <w:numPr>
                <w:ilvl w:val="0"/>
                <w:numId w:val="8"/>
              </w:numPr>
              <w:ind w:left="230" w:hanging="230"/>
              <w:rPr>
                <w:lang w:eastAsia="en-US"/>
              </w:rPr>
            </w:pPr>
            <w:r>
              <w:rPr>
                <w:lang w:eastAsia="en-US"/>
              </w:rPr>
              <w:t>ECA remains committed to collaborate with UNCTAD and other regional economic commissions on joint initiatives on MSME development, to promote cross-sharing of experiences across regions and promote global policy responses on MSME development</w:t>
            </w:r>
            <w:r w:rsidR="00365B97">
              <w:rPr>
                <w:lang w:eastAsia="en-US"/>
              </w:rPr>
              <w:t xml:space="preserve">, with attention paid to gender-based perspectives and application of human rights based and LNOB approaches as relevant for its member states and based on demand from its member states. </w:t>
            </w:r>
            <w:r>
              <w:rPr>
                <w:lang w:eastAsia="en-US"/>
              </w:rPr>
              <w:t xml:space="preserve"> </w:t>
            </w:r>
          </w:p>
        </w:tc>
        <w:tc>
          <w:tcPr>
            <w:tcW w:w="1938" w:type="dxa"/>
          </w:tcPr>
          <w:p w14:paraId="30434D13" w14:textId="77777777" w:rsidR="002343A2" w:rsidRDefault="003B3C8A" w:rsidP="00912D99">
            <w:pPr>
              <w:pStyle w:val="Tableboxleft"/>
              <w:rPr>
                <w:lang w:eastAsia="en-US"/>
              </w:rPr>
            </w:pPr>
            <w:r>
              <w:rPr>
                <w:lang w:eastAsia="en-US"/>
              </w:rPr>
              <w:t xml:space="preserve">UNECA </w:t>
            </w:r>
          </w:p>
          <w:p w14:paraId="333B9252" w14:textId="16CFC0B7" w:rsidR="003B3C8A" w:rsidRPr="007067F5" w:rsidRDefault="003B3C8A" w:rsidP="00912D99">
            <w:pPr>
              <w:pStyle w:val="Tableboxleft"/>
              <w:rPr>
                <w:lang w:eastAsia="en-US"/>
              </w:rPr>
            </w:pPr>
          </w:p>
        </w:tc>
        <w:tc>
          <w:tcPr>
            <w:tcW w:w="1965" w:type="dxa"/>
          </w:tcPr>
          <w:p w14:paraId="78B355FC" w14:textId="77777777" w:rsidR="002343A2" w:rsidRDefault="003B3C8A" w:rsidP="00912D99">
            <w:pPr>
              <w:pStyle w:val="Tableboxleft"/>
              <w:rPr>
                <w:lang w:eastAsia="en-US"/>
              </w:rPr>
            </w:pPr>
            <w:r>
              <w:rPr>
                <w:lang w:eastAsia="en-US"/>
              </w:rPr>
              <w:t>2 years</w:t>
            </w:r>
          </w:p>
          <w:p w14:paraId="0F692D08" w14:textId="3B20F756" w:rsidR="003B3C8A" w:rsidRPr="007067F5" w:rsidRDefault="003B3C8A" w:rsidP="00912D99">
            <w:pPr>
              <w:pStyle w:val="Tableboxleft"/>
              <w:rPr>
                <w:lang w:eastAsia="en-US"/>
              </w:rPr>
            </w:pPr>
            <w:r>
              <w:rPr>
                <w:lang w:eastAsia="en-US"/>
              </w:rPr>
              <w:t xml:space="preserve"> </w:t>
            </w:r>
          </w:p>
        </w:tc>
        <w:tc>
          <w:tcPr>
            <w:tcW w:w="1581" w:type="dxa"/>
          </w:tcPr>
          <w:p w14:paraId="50F14C32" w14:textId="257013B7" w:rsidR="003B3C8A" w:rsidRPr="007067F5" w:rsidRDefault="00912D99" w:rsidP="00912D99">
            <w:pPr>
              <w:pStyle w:val="Tableboxleft"/>
              <w:rPr>
                <w:lang w:eastAsia="en-US"/>
              </w:rPr>
            </w:pPr>
            <w:r>
              <w:rPr>
                <w:lang w:eastAsia="en-US"/>
              </w:rPr>
              <w:t>Y</w:t>
            </w:r>
          </w:p>
        </w:tc>
      </w:tr>
      <w:tr w:rsidR="00F4226C" w:rsidRPr="00CD1972" w14:paraId="4298B6C0" w14:textId="77777777" w:rsidTr="00912D99">
        <w:tc>
          <w:tcPr>
            <w:tcW w:w="4135" w:type="dxa"/>
          </w:tcPr>
          <w:p w14:paraId="3CB9195D" w14:textId="77777777" w:rsidR="00F4226C" w:rsidRPr="00060151" w:rsidRDefault="00F4226C" w:rsidP="00912D99">
            <w:pPr>
              <w:pStyle w:val="Copy"/>
              <w:rPr>
                <w:lang w:val="en-US"/>
              </w:rPr>
            </w:pPr>
            <w:r w:rsidRPr="00060151">
              <w:rPr>
                <w:lang w:val="en-US"/>
              </w:rPr>
              <w:t>Recommendation 2:</w:t>
            </w:r>
          </w:p>
          <w:p w14:paraId="11023500" w14:textId="77777777" w:rsidR="00060151" w:rsidRPr="00060151" w:rsidRDefault="00060151" w:rsidP="00912D99">
            <w:pPr>
              <w:pStyle w:val="Copy"/>
              <w:rPr>
                <w:lang w:val="en-US"/>
              </w:rPr>
            </w:pPr>
            <w:r w:rsidRPr="00060151">
              <w:rPr>
                <w:lang w:val="en-US"/>
              </w:rPr>
              <w:t xml:space="preserve">UNCTAD should continue building on the momentum generated by the project to continue fostering knowledge exchanges and promoting the Entrepreneurship Policy Framework. </w:t>
            </w:r>
          </w:p>
          <w:p w14:paraId="0EA8C865" w14:textId="41213C0C" w:rsidR="00060151" w:rsidRPr="00060151" w:rsidRDefault="00060151" w:rsidP="00912D99">
            <w:pPr>
              <w:pStyle w:val="Copy"/>
              <w:rPr>
                <w:lang w:val="en-US"/>
              </w:rPr>
            </w:pPr>
            <w:r w:rsidRPr="00060151">
              <w:rPr>
                <w:lang w:val="en-US"/>
              </w:rPr>
              <w:t>UNCTAD, DESA and the R</w:t>
            </w:r>
            <w:r w:rsidR="007B42DB">
              <w:rPr>
                <w:lang w:val="en-US"/>
              </w:rPr>
              <w:t>egional Commission</w:t>
            </w:r>
            <w:r w:rsidRPr="00060151">
              <w:rPr>
                <w:lang w:val="en-US"/>
              </w:rPr>
              <w:t xml:space="preserve">s should identify means to </w:t>
            </w:r>
            <w:proofErr w:type="gramStart"/>
            <w:r w:rsidRPr="00060151">
              <w:rPr>
                <w:lang w:val="en-US"/>
              </w:rPr>
              <w:t>more meaningfully continue</w:t>
            </w:r>
            <w:proofErr w:type="gramEnd"/>
            <w:r w:rsidRPr="00060151">
              <w:rPr>
                <w:lang w:val="en-US"/>
              </w:rPr>
              <w:t xml:space="preserve"> to share good practices and lessons learned on the demand-driven support they provide to the MSME sector, including on areas such as green/circular economy; innovation policies and ecosystems; MSME formalization and strengthening MSME capacities for the empowerment and leadership of women, youth and groups in vulnerable situations. UNCTAD and the </w:t>
            </w:r>
            <w:bookmarkStart w:id="0" w:name="_Hlk166513946"/>
            <w:r w:rsidRPr="00060151">
              <w:rPr>
                <w:lang w:val="en-US"/>
              </w:rPr>
              <w:t>R</w:t>
            </w:r>
            <w:r w:rsidR="007B42DB">
              <w:rPr>
                <w:lang w:val="en-US"/>
              </w:rPr>
              <w:t>egional Commission</w:t>
            </w:r>
            <w:r w:rsidRPr="00060151">
              <w:rPr>
                <w:lang w:val="en-US"/>
              </w:rPr>
              <w:t xml:space="preserve">s </w:t>
            </w:r>
            <w:bookmarkEnd w:id="0"/>
            <w:r w:rsidRPr="00060151">
              <w:rPr>
                <w:lang w:val="en-US"/>
              </w:rPr>
              <w:t>could also propose organizing regional events and/or a global conference to promote entrepreneurship policy and further advance the goals and impact of the Surge project. Furthermore, learnings from the experiences with the Surge about external partnerships should encourage UNCTAD to promote the EPF and entrepreneurship development to other UN agencies also engaged in this area (e.g. ILO, FAO, UN Women, etc.), to development banks, or to related initiatives such as the recent Global Accelerator on Jobs and Social Protection. UNCTAD could also consider joining and supporting events that promote the achievement of SDG 8.3 as an avenue to further promote the EPF.</w:t>
            </w:r>
          </w:p>
        </w:tc>
        <w:tc>
          <w:tcPr>
            <w:tcW w:w="2006" w:type="dxa"/>
          </w:tcPr>
          <w:p w14:paraId="7C1C7D7D" w14:textId="2776DD6F" w:rsidR="00F4226C" w:rsidRPr="007067F5" w:rsidRDefault="0018390B" w:rsidP="00912D99">
            <w:pPr>
              <w:pStyle w:val="Tableheadingcolumn"/>
            </w:pPr>
            <w:r w:rsidRPr="008D552F">
              <w:t>Accepted</w:t>
            </w:r>
          </w:p>
        </w:tc>
        <w:tc>
          <w:tcPr>
            <w:tcW w:w="3310" w:type="dxa"/>
          </w:tcPr>
          <w:p w14:paraId="6C072A74" w14:textId="71A8303A" w:rsidR="00F4226C" w:rsidRPr="007067F5" w:rsidRDefault="00365B97" w:rsidP="00912D99">
            <w:pPr>
              <w:pStyle w:val="Tableboxleft"/>
              <w:rPr>
                <w:lang w:eastAsia="en-US"/>
              </w:rPr>
            </w:pPr>
            <w:r>
              <w:rPr>
                <w:lang w:eastAsia="en-US"/>
              </w:rPr>
              <w:t xml:space="preserve">ECA remains committed to collaborate with UNCTAD and other regional economic commissions on joint initiatives on MSME development, to promote cross-sharing of </w:t>
            </w:r>
            <w:r w:rsidR="00865D8B">
              <w:rPr>
                <w:lang w:eastAsia="en-US"/>
              </w:rPr>
              <w:t>experiences,</w:t>
            </w:r>
            <w:r w:rsidR="00FE7527">
              <w:rPr>
                <w:lang w:eastAsia="en-US"/>
              </w:rPr>
              <w:t xml:space="preserve"> good practices, and lessons </w:t>
            </w:r>
            <w:r>
              <w:rPr>
                <w:lang w:eastAsia="en-US"/>
              </w:rPr>
              <w:t>across regions and promote global policy responses on MSME development</w:t>
            </w:r>
            <w:r w:rsidR="00865D8B">
              <w:rPr>
                <w:lang w:eastAsia="en-US"/>
              </w:rPr>
              <w:t xml:space="preserve"> </w:t>
            </w:r>
            <w:r w:rsidR="00865D8B" w:rsidRPr="00060151">
              <w:rPr>
                <w:iCs/>
                <w:lang w:val="en-US"/>
              </w:rPr>
              <w:t xml:space="preserve">including on areas such as green/circular economy; innovation policies and ecosystems; MSME formalization and strengthening MSME capacities for the empowerment and leadership of women, </w:t>
            </w:r>
            <w:r w:rsidR="00865D8B">
              <w:rPr>
                <w:iCs/>
                <w:lang w:val="en-US"/>
              </w:rPr>
              <w:t xml:space="preserve">and </w:t>
            </w:r>
            <w:r w:rsidR="00865D8B" w:rsidRPr="00060151">
              <w:rPr>
                <w:iCs/>
                <w:lang w:val="en-US"/>
              </w:rPr>
              <w:t>youth</w:t>
            </w:r>
            <w:r w:rsidR="00865D8B">
              <w:rPr>
                <w:iCs/>
                <w:lang w:val="en-US"/>
              </w:rPr>
              <w:t>.</w:t>
            </w:r>
          </w:p>
        </w:tc>
        <w:tc>
          <w:tcPr>
            <w:tcW w:w="1938" w:type="dxa"/>
          </w:tcPr>
          <w:p w14:paraId="69F4A2B1" w14:textId="48DFDE8A" w:rsidR="00F4226C" w:rsidRPr="007067F5" w:rsidRDefault="00365B97" w:rsidP="00912D99">
            <w:pPr>
              <w:pStyle w:val="Tableboxleft"/>
              <w:rPr>
                <w:lang w:eastAsia="en-US"/>
              </w:rPr>
            </w:pPr>
            <w:r>
              <w:rPr>
                <w:lang w:eastAsia="en-US"/>
              </w:rPr>
              <w:t>UNECA</w:t>
            </w:r>
          </w:p>
        </w:tc>
        <w:tc>
          <w:tcPr>
            <w:tcW w:w="1965" w:type="dxa"/>
          </w:tcPr>
          <w:p w14:paraId="6912588F" w14:textId="1DC1AD4F" w:rsidR="00F4226C" w:rsidRPr="007067F5" w:rsidRDefault="00912D99" w:rsidP="00912D99">
            <w:pPr>
              <w:pStyle w:val="Tableboxleft"/>
              <w:rPr>
                <w:lang w:eastAsia="en-US"/>
              </w:rPr>
            </w:pPr>
            <w:r>
              <w:rPr>
                <w:lang w:eastAsia="en-US"/>
              </w:rPr>
              <w:t>2 years</w:t>
            </w:r>
          </w:p>
        </w:tc>
        <w:tc>
          <w:tcPr>
            <w:tcW w:w="1581" w:type="dxa"/>
          </w:tcPr>
          <w:p w14:paraId="7FDC543D" w14:textId="4B3906B7" w:rsidR="00F4226C" w:rsidRPr="007067F5" w:rsidRDefault="00365B97" w:rsidP="00912D99">
            <w:pPr>
              <w:pStyle w:val="Tableboxleft"/>
              <w:rPr>
                <w:lang w:eastAsia="en-US"/>
              </w:rPr>
            </w:pPr>
            <w:r>
              <w:rPr>
                <w:lang w:eastAsia="en-US"/>
              </w:rPr>
              <w:t>Y</w:t>
            </w:r>
          </w:p>
        </w:tc>
      </w:tr>
      <w:tr w:rsidR="00F4226C" w:rsidRPr="00CD1972" w14:paraId="107A3DED" w14:textId="77777777" w:rsidTr="00912D99">
        <w:tc>
          <w:tcPr>
            <w:tcW w:w="4135" w:type="dxa"/>
          </w:tcPr>
          <w:p w14:paraId="59A26A78" w14:textId="77777777" w:rsidR="00F4226C" w:rsidRPr="008F7D6D" w:rsidRDefault="00F4226C" w:rsidP="00912D99">
            <w:pPr>
              <w:pStyle w:val="Copy"/>
              <w:rPr>
                <w:lang w:val="en-US"/>
              </w:rPr>
            </w:pPr>
            <w:r w:rsidRPr="008F7D6D">
              <w:rPr>
                <w:lang w:val="en-US"/>
              </w:rPr>
              <w:t>Recommendation 3:</w:t>
            </w:r>
          </w:p>
          <w:p w14:paraId="38B898C6" w14:textId="73E4933E" w:rsidR="00060151" w:rsidRPr="00060151" w:rsidRDefault="00060151" w:rsidP="00912D99">
            <w:pPr>
              <w:pStyle w:val="Copy"/>
              <w:rPr>
                <w:lang w:val="en-US"/>
              </w:rPr>
            </w:pPr>
            <w:r w:rsidRPr="00060151">
              <w:rPr>
                <w:lang w:val="en-US"/>
              </w:rPr>
              <w:t xml:space="preserve">The DA-PMT should develop a clear framework for assessing the costs and benefits of implementing a global or inter-regional project versus regional projects. </w:t>
            </w:r>
          </w:p>
          <w:p w14:paraId="692F4041" w14:textId="51A4C223" w:rsidR="00060151" w:rsidRPr="00060151" w:rsidRDefault="00060151" w:rsidP="00912D99">
            <w:pPr>
              <w:pStyle w:val="Copy"/>
              <w:rPr>
                <w:lang w:val="en-US"/>
              </w:rPr>
            </w:pPr>
            <w:r w:rsidRPr="00060151">
              <w:rPr>
                <w:lang w:val="en-US"/>
              </w:rPr>
              <w:t>As a global crisis can affect regions and countries differently, global or joint projects should be developed only when there are clear benefits of joint implementation. Thus, a global or inter-regional vs. regional response would not be a priori decision, but a result of a clear assessment. A specific guideline or framework should be developed for this. Some of the assessment criteria could include the need or demand from member States for an integrated response; the range of common versus entity-specific activities and added value of complementary interventions (i.e. in terms of geographical coverage, reach of the target population, capacity, and/or coverage of multiple reinforcing technical areas, or networks and partnerships); capability to execute joint interventions (e.g. in terms of time, resources, logistics, and flexibility to pivot interventions without bureaucratic procedures); coordination costs (which increase with the number of participating UN entities); project inception modalities and governance and knowledge management requirements to facilitate collaboration and knowledge sharing; scaling and sustainability plans; expected results of spreading resources versus concentrating on fewer countries; and so forth. The time taken to conduct such assessments will increase project coherence and effectiveness and facilitate the identification of the financial and human resources needed for project implementation. The network of DA Focal Points is a key existing asset for this assessment.</w:t>
            </w:r>
          </w:p>
        </w:tc>
        <w:tc>
          <w:tcPr>
            <w:tcW w:w="2006" w:type="dxa"/>
          </w:tcPr>
          <w:p w14:paraId="40876DEC" w14:textId="77777777" w:rsidR="00F4226C" w:rsidRDefault="00F4226C" w:rsidP="00912D99">
            <w:pPr>
              <w:pStyle w:val="Tableheadingcolumn"/>
            </w:pPr>
          </w:p>
          <w:p w14:paraId="54C0E23E" w14:textId="2E41909A" w:rsidR="00865D8B" w:rsidRPr="007067F5" w:rsidRDefault="00865D8B" w:rsidP="00912D99">
            <w:pPr>
              <w:pStyle w:val="Tableheadingcolumn"/>
            </w:pPr>
            <w:r>
              <w:t>N/A</w:t>
            </w:r>
          </w:p>
        </w:tc>
        <w:tc>
          <w:tcPr>
            <w:tcW w:w="3310" w:type="dxa"/>
          </w:tcPr>
          <w:p w14:paraId="06B43C32" w14:textId="77777777" w:rsidR="00F4226C" w:rsidRPr="007067F5" w:rsidRDefault="00F4226C" w:rsidP="00912D99">
            <w:pPr>
              <w:pStyle w:val="Tableboxleft"/>
              <w:rPr>
                <w:lang w:eastAsia="en-US"/>
              </w:rPr>
            </w:pPr>
          </w:p>
        </w:tc>
        <w:tc>
          <w:tcPr>
            <w:tcW w:w="1938" w:type="dxa"/>
          </w:tcPr>
          <w:p w14:paraId="4B75EB35" w14:textId="77777777" w:rsidR="00F4226C" w:rsidRPr="007067F5" w:rsidRDefault="00F4226C" w:rsidP="00912D99">
            <w:pPr>
              <w:pStyle w:val="Tableboxleft"/>
              <w:rPr>
                <w:lang w:eastAsia="en-US"/>
              </w:rPr>
            </w:pPr>
          </w:p>
        </w:tc>
        <w:tc>
          <w:tcPr>
            <w:tcW w:w="1965" w:type="dxa"/>
          </w:tcPr>
          <w:p w14:paraId="05CD2E11" w14:textId="77777777" w:rsidR="00F4226C" w:rsidRPr="007067F5" w:rsidRDefault="00F4226C" w:rsidP="00912D99">
            <w:pPr>
              <w:pStyle w:val="Tableboxleft"/>
              <w:rPr>
                <w:lang w:eastAsia="en-US"/>
              </w:rPr>
            </w:pPr>
          </w:p>
        </w:tc>
        <w:tc>
          <w:tcPr>
            <w:tcW w:w="1581" w:type="dxa"/>
          </w:tcPr>
          <w:p w14:paraId="2B6D058A" w14:textId="77777777" w:rsidR="00F4226C" w:rsidRPr="007067F5" w:rsidRDefault="00F4226C" w:rsidP="00912D99">
            <w:pPr>
              <w:pStyle w:val="Tableboxleft"/>
              <w:rPr>
                <w:lang w:eastAsia="en-US"/>
              </w:rPr>
            </w:pPr>
          </w:p>
        </w:tc>
      </w:tr>
      <w:tr w:rsidR="00F4226C" w:rsidRPr="00CD1972" w14:paraId="1819BD1D" w14:textId="77777777" w:rsidTr="00912D99">
        <w:tc>
          <w:tcPr>
            <w:tcW w:w="4135" w:type="dxa"/>
          </w:tcPr>
          <w:p w14:paraId="01B8C94C" w14:textId="77777777" w:rsidR="00F4226C" w:rsidRPr="008F7D6D" w:rsidRDefault="00F4226C" w:rsidP="00912D99">
            <w:pPr>
              <w:pStyle w:val="Copy"/>
              <w:rPr>
                <w:lang w:val="en-US"/>
              </w:rPr>
            </w:pPr>
            <w:r w:rsidRPr="008F7D6D">
              <w:rPr>
                <w:lang w:val="en-US"/>
              </w:rPr>
              <w:t>Recommendation 4:</w:t>
            </w:r>
          </w:p>
          <w:p w14:paraId="321E5BC3" w14:textId="77777777" w:rsidR="00060151" w:rsidRPr="00060151" w:rsidRDefault="00060151" w:rsidP="00912D99">
            <w:pPr>
              <w:pStyle w:val="Copy"/>
              <w:rPr>
                <w:lang w:val="en-US"/>
              </w:rPr>
            </w:pPr>
            <w:r w:rsidRPr="00060151">
              <w:rPr>
                <w:lang w:val="en-US"/>
              </w:rPr>
              <w:t xml:space="preserve">Implementing UN entities should ensure that they have a comprehensive Results Framework for the entire project as well as an adequate monitoring plan, with indicators that are designed to support the ongoing monitoring. </w:t>
            </w:r>
          </w:p>
          <w:p w14:paraId="41FE38F3" w14:textId="77777777" w:rsidR="00060151" w:rsidRDefault="00060151" w:rsidP="00912D99">
            <w:pPr>
              <w:pStyle w:val="Copy"/>
              <w:rPr>
                <w:lang w:val="en-US"/>
              </w:rPr>
            </w:pPr>
            <w:r w:rsidRPr="00060151">
              <w:rPr>
                <w:lang w:val="en-US"/>
              </w:rPr>
              <w:t xml:space="preserve">The results framework should have one objective and ideally have one outcome per cluster/workstream. The objective should state the intended goal of the project, describe the overall achievement targeted by the project, involving a process of change aimed at meeting the needs of identified beneficiaries, and reflect the overall funding available to the project. Each objective should include reference to the project’s beneficiaries and its substantive focus. The objective should not attempt to explain the ways in which the project intends to achieve the objective (i.e. it should not include the word ‘through’ or describe the internal work of the UN using verbs such as ‘support’, ‘facilitate’ or ‘contribute’). The outcomes (OCs) should describe the changes that are expected to occur </w:t>
            </w:r>
            <w:proofErr w:type="gramStart"/>
            <w:r w:rsidRPr="00060151">
              <w:rPr>
                <w:lang w:val="en-US"/>
              </w:rPr>
              <w:t>as a result of</w:t>
            </w:r>
            <w:proofErr w:type="gramEnd"/>
            <w:r w:rsidRPr="00060151">
              <w:rPr>
                <w:lang w:val="en-US"/>
              </w:rPr>
              <w:t xml:space="preserve"> the completion of outputs. The OCs should be achievable within the project’s timeframe and </w:t>
            </w:r>
            <w:proofErr w:type="gramStart"/>
            <w:r w:rsidRPr="00060151">
              <w:rPr>
                <w:lang w:val="en-US"/>
              </w:rPr>
              <w:t>budget, and</w:t>
            </w:r>
            <w:proofErr w:type="gramEnd"/>
            <w:r w:rsidRPr="00060151">
              <w:rPr>
                <w:lang w:val="en-US"/>
              </w:rPr>
              <w:t xml:space="preserve"> should be specific enough to be measured by the associated indicators of achievement. The indicators of achievement (IAs) should provide measures for monitoring progress towards achieving the OCs and reporting on them after completion of the project. Every indicator needs to provide clearly defined baselines, units of measurement and targets, detailing the quantity, quality and timing of expected results. The monitoring, evaluation, accountability, and learning (MEAL) system should also be designed to capture HRBA, gender and LNOB aspects. In phased interventions or during project execution, any changes in the </w:t>
            </w:r>
            <w:proofErr w:type="spellStart"/>
            <w:r w:rsidRPr="00060151">
              <w:rPr>
                <w:lang w:val="en-US"/>
              </w:rPr>
              <w:t>logframe</w:t>
            </w:r>
            <w:proofErr w:type="spellEnd"/>
            <w:r w:rsidRPr="00060151">
              <w:rPr>
                <w:lang w:val="en-US"/>
              </w:rPr>
              <w:t xml:space="preserve"> if/when pivoting activities should be clearly explained to the wider team.</w:t>
            </w:r>
          </w:p>
          <w:p w14:paraId="45958A42" w14:textId="6F307C52" w:rsidR="00060151" w:rsidRPr="00060151" w:rsidRDefault="00060151" w:rsidP="00912D99">
            <w:pPr>
              <w:pStyle w:val="Copy"/>
              <w:rPr>
                <w:lang w:val="en-US"/>
              </w:rPr>
            </w:pPr>
          </w:p>
        </w:tc>
        <w:tc>
          <w:tcPr>
            <w:tcW w:w="2006" w:type="dxa"/>
          </w:tcPr>
          <w:p w14:paraId="0F3B562A" w14:textId="7072948E" w:rsidR="00F4226C" w:rsidRDefault="00365B97" w:rsidP="00912D99">
            <w:pPr>
              <w:pStyle w:val="Tableheadingcolumn"/>
            </w:pPr>
            <w:r>
              <w:t>Accepted</w:t>
            </w:r>
          </w:p>
          <w:p w14:paraId="33672C7C" w14:textId="77777777" w:rsidR="0018390B" w:rsidRDefault="0018390B" w:rsidP="00912D99">
            <w:pPr>
              <w:pStyle w:val="Tableheadingcolumn"/>
            </w:pPr>
          </w:p>
          <w:p w14:paraId="14E5D268" w14:textId="76BA08A3" w:rsidR="0018390B" w:rsidRPr="007067F5" w:rsidRDefault="0018390B" w:rsidP="00912D99">
            <w:pPr>
              <w:pStyle w:val="Tableheadingcolumn"/>
            </w:pPr>
            <w:r>
              <w:t xml:space="preserve"> </w:t>
            </w:r>
          </w:p>
        </w:tc>
        <w:tc>
          <w:tcPr>
            <w:tcW w:w="3310" w:type="dxa"/>
          </w:tcPr>
          <w:p w14:paraId="3CD9856A" w14:textId="2A226D5E" w:rsidR="00865D8B" w:rsidRDefault="00365B97" w:rsidP="00912D99">
            <w:pPr>
              <w:pStyle w:val="Tableboxleft"/>
              <w:rPr>
                <w:lang w:eastAsia="en-US"/>
              </w:rPr>
            </w:pPr>
            <w:r>
              <w:rPr>
                <w:lang w:eastAsia="en-US"/>
              </w:rPr>
              <w:t>ECA remains committed to the promotion of intra-UN collaboration on issues of global interest and with regional specificities, while noting that more resources should be allocated within the project on M&amp;E</w:t>
            </w:r>
            <w:r w:rsidR="00912D99">
              <w:rPr>
                <w:lang w:eastAsia="en-US"/>
              </w:rPr>
              <w:t>.</w:t>
            </w:r>
          </w:p>
          <w:p w14:paraId="4FC59DBF" w14:textId="4D46EC83" w:rsidR="00F4226C" w:rsidRPr="007067F5" w:rsidRDefault="00865D8B" w:rsidP="00912D99">
            <w:pPr>
              <w:pStyle w:val="Tableboxleft"/>
              <w:rPr>
                <w:lang w:eastAsia="en-US"/>
              </w:rPr>
            </w:pPr>
            <w:r>
              <w:rPr>
                <w:lang w:eastAsia="en-US"/>
              </w:rPr>
              <w:t xml:space="preserve">ECA </w:t>
            </w:r>
            <w:r w:rsidR="001723E9">
              <w:rPr>
                <w:lang w:eastAsia="en-US"/>
              </w:rPr>
              <w:t>will use the lessons from this project implementation and evaluation recommendations to strengthen project design</w:t>
            </w:r>
            <w:r>
              <w:rPr>
                <w:lang w:eastAsia="en-US"/>
              </w:rPr>
              <w:t xml:space="preserve"> </w:t>
            </w:r>
            <w:r w:rsidR="00912D99">
              <w:rPr>
                <w:lang w:eastAsia="en-US"/>
              </w:rPr>
              <w:t>and delivery.</w:t>
            </w:r>
          </w:p>
        </w:tc>
        <w:tc>
          <w:tcPr>
            <w:tcW w:w="1938" w:type="dxa"/>
          </w:tcPr>
          <w:p w14:paraId="6B418A8A" w14:textId="1DB1A6CD" w:rsidR="00F4226C" w:rsidRPr="007067F5" w:rsidRDefault="00365B97" w:rsidP="00912D99">
            <w:pPr>
              <w:pStyle w:val="Tableboxleft"/>
              <w:rPr>
                <w:lang w:eastAsia="en-US"/>
              </w:rPr>
            </w:pPr>
            <w:r>
              <w:rPr>
                <w:lang w:eastAsia="en-US"/>
              </w:rPr>
              <w:t>UNECA</w:t>
            </w:r>
          </w:p>
        </w:tc>
        <w:tc>
          <w:tcPr>
            <w:tcW w:w="1965" w:type="dxa"/>
          </w:tcPr>
          <w:p w14:paraId="4C6CCE63" w14:textId="066AD3D7" w:rsidR="00F4226C" w:rsidRPr="007067F5" w:rsidRDefault="001723E9" w:rsidP="00912D99">
            <w:pPr>
              <w:pStyle w:val="Tableboxleft"/>
              <w:rPr>
                <w:lang w:eastAsia="en-US"/>
              </w:rPr>
            </w:pPr>
            <w:r>
              <w:rPr>
                <w:lang w:eastAsia="en-US"/>
              </w:rPr>
              <w:t>6-12 months</w:t>
            </w:r>
          </w:p>
        </w:tc>
        <w:tc>
          <w:tcPr>
            <w:tcW w:w="1581" w:type="dxa"/>
          </w:tcPr>
          <w:p w14:paraId="0536885B" w14:textId="4B4D9DF8" w:rsidR="00F4226C" w:rsidRPr="007067F5" w:rsidRDefault="001723E9" w:rsidP="00912D99">
            <w:pPr>
              <w:pStyle w:val="Tableboxleft"/>
              <w:rPr>
                <w:lang w:eastAsia="en-US"/>
              </w:rPr>
            </w:pPr>
            <w:r>
              <w:rPr>
                <w:lang w:eastAsia="en-US"/>
              </w:rPr>
              <w:t>N</w:t>
            </w:r>
          </w:p>
        </w:tc>
      </w:tr>
      <w:tr w:rsidR="00060151" w:rsidRPr="00CD1972" w14:paraId="1562827D" w14:textId="77777777" w:rsidTr="00912D99">
        <w:tc>
          <w:tcPr>
            <w:tcW w:w="4135" w:type="dxa"/>
          </w:tcPr>
          <w:p w14:paraId="224B5D9F" w14:textId="2B33902A" w:rsidR="00060151" w:rsidRDefault="00060151" w:rsidP="00912D99">
            <w:pPr>
              <w:pStyle w:val="Copy"/>
              <w:rPr>
                <w:lang w:val="en-US"/>
              </w:rPr>
            </w:pPr>
            <w:r>
              <w:rPr>
                <w:lang w:val="en-US"/>
              </w:rPr>
              <w:t>Recommendation 5:</w:t>
            </w:r>
          </w:p>
          <w:p w14:paraId="273E8BC4" w14:textId="77777777" w:rsidR="00060151" w:rsidRPr="00060151" w:rsidRDefault="00060151" w:rsidP="00912D99">
            <w:pPr>
              <w:pStyle w:val="Copy"/>
              <w:rPr>
                <w:lang w:val="en-US"/>
              </w:rPr>
            </w:pPr>
            <w:r w:rsidRPr="00060151">
              <w:rPr>
                <w:lang w:val="en-US"/>
              </w:rPr>
              <w:t>Implementing UN entities should ensure that sufficient resources are allocated to project coordination, technical collaboration, and partnership building.</w:t>
            </w:r>
          </w:p>
          <w:p w14:paraId="5ED270E2" w14:textId="70CA9838" w:rsidR="00060151" w:rsidRPr="00060151" w:rsidRDefault="00060151" w:rsidP="00912D99">
            <w:pPr>
              <w:pStyle w:val="Copy"/>
              <w:rPr>
                <w:lang w:val="en-US"/>
              </w:rPr>
            </w:pPr>
            <w:r w:rsidRPr="00060151">
              <w:rPr>
                <w:lang w:val="en-US"/>
              </w:rPr>
              <w:t xml:space="preserve"> The absorption capacity of implementing entities can be challenged by crisis response projects which add to the planned programme of work. This is further compounded by projects that come with an extensive UN partnership and a global scope. Sufficient resources should be dedicated to global coordination and to building global partnerships with strategic stakeholders (e.g., UN </w:t>
            </w:r>
            <w:proofErr w:type="spellStart"/>
            <w:r w:rsidRPr="00060151">
              <w:rPr>
                <w:lang w:val="en-US"/>
              </w:rPr>
              <w:t>organisations</w:t>
            </w:r>
            <w:proofErr w:type="spellEnd"/>
            <w:r w:rsidRPr="00060151">
              <w:rPr>
                <w:lang w:val="en-US"/>
              </w:rPr>
              <w:t xml:space="preserve"> engaged in supporting the MSME sector; development banks). Capacities should also be directed to supporting technical collaboration and the staff implementing interventions, including towards synergy or liaison with the UNCTs. When designing the project, implementing UN entities should consider featuring coordination and partnership-building in the Theory of Change or </w:t>
            </w:r>
            <w:proofErr w:type="spellStart"/>
            <w:r w:rsidRPr="00060151">
              <w:rPr>
                <w:lang w:val="en-US"/>
              </w:rPr>
              <w:t>logframe</w:t>
            </w:r>
            <w:proofErr w:type="spellEnd"/>
            <w:r w:rsidRPr="00060151">
              <w:rPr>
                <w:lang w:val="en-US"/>
              </w:rPr>
              <w:t xml:space="preserve"> of the project. Tools to support continuous connections and knowledge exchange, and to ensure institutional memory should be part of the response package, such as a project website, SharePoint space for all team members, and a Yammer network or Teams channel. The integration of cross-cutting aspects (HRBA, gender responsiveness, LNOB) also requires expertise with sufficient and dedicated time and resources. Guidance could be development to project managers on how to do this.</w:t>
            </w:r>
          </w:p>
          <w:p w14:paraId="5F01C5C0" w14:textId="77777777" w:rsidR="00060151" w:rsidRPr="00F4226C" w:rsidRDefault="00060151" w:rsidP="00912D99">
            <w:pPr>
              <w:pStyle w:val="Copy"/>
              <w:rPr>
                <w:lang w:val="en-US"/>
              </w:rPr>
            </w:pPr>
          </w:p>
        </w:tc>
        <w:tc>
          <w:tcPr>
            <w:tcW w:w="2006" w:type="dxa"/>
          </w:tcPr>
          <w:p w14:paraId="620C48DD" w14:textId="3D7339AA" w:rsidR="00060151" w:rsidRPr="007067F5" w:rsidRDefault="0018390B" w:rsidP="00912D99">
            <w:pPr>
              <w:pStyle w:val="Tableheadingcolumn"/>
            </w:pPr>
            <w:r w:rsidRPr="008D552F">
              <w:t>Accepted</w:t>
            </w:r>
            <w:r>
              <w:t xml:space="preserve"> </w:t>
            </w:r>
          </w:p>
        </w:tc>
        <w:tc>
          <w:tcPr>
            <w:tcW w:w="3310" w:type="dxa"/>
          </w:tcPr>
          <w:p w14:paraId="0C5438A1" w14:textId="4238CBCB" w:rsidR="00060151" w:rsidRPr="007067F5" w:rsidRDefault="00365B97" w:rsidP="00912D99">
            <w:pPr>
              <w:pStyle w:val="Tableboxleft"/>
              <w:rPr>
                <w:lang w:eastAsia="en-US"/>
              </w:rPr>
            </w:pPr>
            <w:r>
              <w:rPr>
                <w:lang w:eastAsia="en-US"/>
              </w:rPr>
              <w:t xml:space="preserve">ECA shall </w:t>
            </w:r>
            <w:r w:rsidR="00C44C12">
              <w:rPr>
                <w:lang w:eastAsia="en-US"/>
              </w:rPr>
              <w:t>continue</w:t>
            </w:r>
            <w:r w:rsidR="0072429A">
              <w:rPr>
                <w:lang w:eastAsia="en-US"/>
              </w:rPr>
              <w:t xml:space="preserve"> to </w:t>
            </w:r>
            <w:r w:rsidR="00C44C12">
              <w:rPr>
                <w:lang w:eastAsia="en-US"/>
              </w:rPr>
              <w:t>sensitize current</w:t>
            </w:r>
            <w:r w:rsidR="0072429A">
              <w:rPr>
                <w:lang w:eastAsia="en-US"/>
              </w:rPr>
              <w:t xml:space="preserve"> </w:t>
            </w:r>
            <w:r w:rsidR="00C44C12">
              <w:rPr>
                <w:lang w:eastAsia="en-US"/>
              </w:rPr>
              <w:t>staff</w:t>
            </w:r>
            <w:r w:rsidR="0072429A">
              <w:rPr>
                <w:lang w:eastAsia="en-US"/>
              </w:rPr>
              <w:t xml:space="preserve"> </w:t>
            </w:r>
            <w:r>
              <w:rPr>
                <w:lang w:eastAsia="en-US"/>
              </w:rPr>
              <w:t xml:space="preserve">to </w:t>
            </w:r>
            <w:r w:rsidR="00C44C12">
              <w:rPr>
                <w:lang w:eastAsia="en-US"/>
              </w:rPr>
              <w:t xml:space="preserve">the need </w:t>
            </w:r>
            <w:r>
              <w:rPr>
                <w:lang w:eastAsia="en-US"/>
              </w:rPr>
              <w:t>for strengthened partnerships among UN entities and</w:t>
            </w:r>
            <w:r w:rsidR="00C44C12">
              <w:rPr>
                <w:lang w:eastAsia="en-US"/>
              </w:rPr>
              <w:t xml:space="preserve"> strive to mobilize additional</w:t>
            </w:r>
            <w:r>
              <w:rPr>
                <w:lang w:eastAsia="en-US"/>
              </w:rPr>
              <w:t xml:space="preserve"> resources to strengthen project coordination, technical </w:t>
            </w:r>
            <w:proofErr w:type="gramStart"/>
            <w:r>
              <w:rPr>
                <w:lang w:eastAsia="en-US"/>
              </w:rPr>
              <w:t>collaboration</w:t>
            </w:r>
            <w:proofErr w:type="gramEnd"/>
            <w:r>
              <w:rPr>
                <w:lang w:eastAsia="en-US"/>
              </w:rPr>
              <w:t xml:space="preserve"> and cross-learning across agencies</w:t>
            </w:r>
            <w:r w:rsidR="00C44C12">
              <w:rPr>
                <w:lang w:eastAsia="en-US"/>
              </w:rPr>
              <w:t xml:space="preserve">, while noting the challenges and strains on financial resources from the Regular Budget. </w:t>
            </w:r>
          </w:p>
        </w:tc>
        <w:tc>
          <w:tcPr>
            <w:tcW w:w="1938" w:type="dxa"/>
          </w:tcPr>
          <w:p w14:paraId="160D3303" w14:textId="1F30AB3D" w:rsidR="00060151" w:rsidRPr="007067F5" w:rsidRDefault="00365B97" w:rsidP="00912D99">
            <w:pPr>
              <w:pStyle w:val="Tableboxleft"/>
              <w:rPr>
                <w:lang w:eastAsia="en-US"/>
              </w:rPr>
            </w:pPr>
            <w:r>
              <w:rPr>
                <w:lang w:eastAsia="en-US"/>
              </w:rPr>
              <w:t>UNECA</w:t>
            </w:r>
          </w:p>
        </w:tc>
        <w:tc>
          <w:tcPr>
            <w:tcW w:w="1965" w:type="dxa"/>
          </w:tcPr>
          <w:p w14:paraId="136AA840" w14:textId="070F3EAB" w:rsidR="00060151" w:rsidRPr="007067F5" w:rsidRDefault="00365B97" w:rsidP="00912D99">
            <w:pPr>
              <w:pStyle w:val="Tableboxleft"/>
              <w:rPr>
                <w:lang w:eastAsia="en-US"/>
              </w:rPr>
            </w:pPr>
            <w:r>
              <w:rPr>
                <w:lang w:eastAsia="en-US"/>
              </w:rPr>
              <w:t>2 years</w:t>
            </w:r>
          </w:p>
        </w:tc>
        <w:tc>
          <w:tcPr>
            <w:tcW w:w="1581" w:type="dxa"/>
          </w:tcPr>
          <w:p w14:paraId="7DC54E87" w14:textId="6EE3CFA1" w:rsidR="00060151" w:rsidRPr="007067F5" w:rsidRDefault="00365B97" w:rsidP="00912D99">
            <w:pPr>
              <w:pStyle w:val="Tableboxleft"/>
              <w:rPr>
                <w:lang w:eastAsia="en-US"/>
              </w:rPr>
            </w:pPr>
            <w:r>
              <w:rPr>
                <w:lang w:eastAsia="en-US"/>
              </w:rPr>
              <w:t>Y</w:t>
            </w:r>
          </w:p>
        </w:tc>
      </w:tr>
    </w:tbl>
    <w:p w14:paraId="65F3EB47" w14:textId="77777777" w:rsidR="002343A2" w:rsidRPr="00CD1972" w:rsidRDefault="002343A2" w:rsidP="00912D99"/>
    <w:sectPr w:rsidR="002343A2" w:rsidRPr="00CD1972" w:rsidSect="00CD1972">
      <w:type w:val="continuous"/>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BE554" w14:textId="77777777" w:rsidR="006768A9" w:rsidRDefault="006768A9" w:rsidP="00912D99">
      <w:r>
        <w:separator/>
      </w:r>
    </w:p>
  </w:endnote>
  <w:endnote w:type="continuationSeparator" w:id="0">
    <w:p w14:paraId="609C63D1" w14:textId="77777777" w:rsidR="006768A9" w:rsidRDefault="006768A9" w:rsidP="00912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dobe Garamond Pro">
    <w:altName w:val="Georgia"/>
    <w:panose1 w:val="00000000000000000000"/>
    <w:charset w:val="4D"/>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665031"/>
      <w:docPartObj>
        <w:docPartGallery w:val="Page Numbers (Bottom of Page)"/>
        <w:docPartUnique/>
      </w:docPartObj>
    </w:sdtPr>
    <w:sdtEndPr>
      <w:rPr>
        <w:noProof/>
      </w:rPr>
    </w:sdtEndPr>
    <w:sdtContent>
      <w:p w14:paraId="07F6B20E" w14:textId="527BBD42" w:rsidR="002A619D" w:rsidRPr="002A619D" w:rsidRDefault="002A619D" w:rsidP="00912D99">
        <w:pPr>
          <w:pStyle w:val="Footer"/>
        </w:pPr>
        <w:r w:rsidRPr="002A619D">
          <w:fldChar w:fldCharType="begin"/>
        </w:r>
        <w:r w:rsidRPr="002A619D">
          <w:instrText xml:space="preserve"> PAGE   \* MERGEFORMAT </w:instrText>
        </w:r>
        <w:r w:rsidRPr="002A619D">
          <w:fldChar w:fldCharType="separate"/>
        </w:r>
        <w:r w:rsidRPr="002A619D">
          <w:rPr>
            <w:noProof/>
          </w:rPr>
          <w:t>2</w:t>
        </w:r>
        <w:r w:rsidRPr="002A619D">
          <w:rPr>
            <w:noProof/>
          </w:rPr>
          <w:fldChar w:fldCharType="end"/>
        </w:r>
      </w:p>
    </w:sdtContent>
  </w:sdt>
  <w:p w14:paraId="4ABC22A9" w14:textId="77777777" w:rsidR="002A619D" w:rsidRDefault="002A619D" w:rsidP="00912D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75483" w14:textId="77777777" w:rsidR="006768A9" w:rsidRDefault="006768A9" w:rsidP="00912D99">
      <w:r>
        <w:separator/>
      </w:r>
    </w:p>
  </w:footnote>
  <w:footnote w:type="continuationSeparator" w:id="0">
    <w:p w14:paraId="1A0F9061" w14:textId="77777777" w:rsidR="006768A9" w:rsidRDefault="006768A9" w:rsidP="00912D99">
      <w:r>
        <w:continuationSeparator/>
      </w:r>
    </w:p>
  </w:footnote>
  <w:footnote w:id="1">
    <w:p w14:paraId="3220A2CA" w14:textId="77777777" w:rsidR="002502E4" w:rsidRPr="00EC0E48" w:rsidRDefault="002502E4" w:rsidP="00912D99">
      <w:pPr>
        <w:pStyle w:val="FootnoteText"/>
      </w:pPr>
      <w:r>
        <w:rPr>
          <w:rStyle w:val="FootnoteReference"/>
        </w:rPr>
        <w:footnoteRef/>
      </w:r>
      <w:r>
        <w:t xml:space="preserve"> </w:t>
      </w:r>
      <w:r w:rsidRPr="00EC0E48">
        <w:t xml:space="preserve">Figure 7 </w:t>
      </w:r>
      <w:proofErr w:type="spellStart"/>
      <w:r w:rsidRPr="00EC0E48">
        <w:t>presents</w:t>
      </w:r>
      <w:proofErr w:type="spellEnd"/>
      <w:r w:rsidRPr="00EC0E48">
        <w:t xml:space="preserve"> the </w:t>
      </w:r>
      <w:proofErr w:type="spellStart"/>
      <w:r w:rsidRPr="00EC0E48">
        <w:t>number</w:t>
      </w:r>
      <w:proofErr w:type="spellEnd"/>
      <w:r w:rsidRPr="00EC0E48">
        <w:t xml:space="preserve"> of outputs </w:t>
      </w:r>
      <w:proofErr w:type="spellStart"/>
      <w:r w:rsidRPr="00EC0E48">
        <w:t>fully</w:t>
      </w:r>
      <w:proofErr w:type="spellEnd"/>
      <w:r w:rsidRPr="00EC0E48">
        <w:t xml:space="preserve"> </w:t>
      </w:r>
      <w:proofErr w:type="spellStart"/>
      <w:r w:rsidRPr="00EC0E48">
        <w:t>delivered</w:t>
      </w:r>
      <w:proofErr w:type="spellEnd"/>
      <w:r w:rsidRPr="00EC0E48">
        <w:t xml:space="preserve"> as </w:t>
      </w:r>
      <w:proofErr w:type="spellStart"/>
      <w:r w:rsidRPr="00EC0E48">
        <w:t>stated</w:t>
      </w:r>
      <w:proofErr w:type="spellEnd"/>
      <w:r w:rsidRPr="00EC0E48">
        <w:t xml:space="preserve"> in the </w:t>
      </w:r>
      <w:proofErr w:type="spellStart"/>
      <w:r w:rsidRPr="00EC0E48">
        <w:t>project’s</w:t>
      </w:r>
      <w:proofErr w:type="spellEnd"/>
      <w:r w:rsidRPr="00EC0E48">
        <w:t xml:space="preserve"> final </w:t>
      </w:r>
      <w:proofErr w:type="spellStart"/>
      <w:r w:rsidRPr="00EC0E48">
        <w:t>report</w:t>
      </w:r>
      <w:proofErr w:type="spellEnd"/>
      <w:r w:rsidRPr="00EC0E48">
        <w:t xml:space="preserve">. In </w:t>
      </w:r>
      <w:proofErr w:type="spellStart"/>
      <w:r w:rsidRPr="00EC0E48">
        <w:t>addition</w:t>
      </w:r>
      <w:proofErr w:type="spellEnd"/>
      <w:r w:rsidRPr="00EC0E48">
        <w:t xml:space="preserve">, 6 outputs </w:t>
      </w:r>
      <w:proofErr w:type="spellStart"/>
      <w:r w:rsidRPr="00EC0E48">
        <w:t>were</w:t>
      </w:r>
      <w:proofErr w:type="spellEnd"/>
      <w:r w:rsidRPr="00EC0E48">
        <w:t xml:space="preserve"> </w:t>
      </w:r>
      <w:proofErr w:type="spellStart"/>
      <w:r w:rsidRPr="00EC0E48">
        <w:t>still</w:t>
      </w:r>
      <w:proofErr w:type="spellEnd"/>
      <w:r w:rsidRPr="00EC0E48">
        <w:t xml:space="preserve"> in </w:t>
      </w:r>
      <w:proofErr w:type="spellStart"/>
      <w:r w:rsidRPr="00EC0E48">
        <w:t>progress</w:t>
      </w:r>
      <w:proofErr w:type="spellEnd"/>
      <w:r w:rsidRPr="00EC0E48">
        <w:t xml:space="preserve"> </w:t>
      </w:r>
      <w:proofErr w:type="spellStart"/>
      <w:r w:rsidRPr="00EC0E48">
        <w:t>when</w:t>
      </w:r>
      <w:proofErr w:type="spellEnd"/>
      <w:r w:rsidRPr="00EC0E48">
        <w:t xml:space="preserve"> the final </w:t>
      </w:r>
      <w:proofErr w:type="spellStart"/>
      <w:r w:rsidRPr="00EC0E48">
        <w:t>report</w:t>
      </w:r>
      <w:proofErr w:type="spellEnd"/>
      <w:r w:rsidRPr="00EC0E48">
        <w:t xml:space="preserve"> </w:t>
      </w:r>
      <w:proofErr w:type="spellStart"/>
      <w:r w:rsidRPr="00EC0E48">
        <w:t>was</w:t>
      </w:r>
      <w:proofErr w:type="spellEnd"/>
      <w:r w:rsidRPr="00EC0E48">
        <w:t xml:space="preserve"> </w:t>
      </w:r>
      <w:proofErr w:type="spellStart"/>
      <w:r w:rsidRPr="00EC0E48">
        <w:t>submitted</w:t>
      </w:r>
      <w:proofErr w:type="spellEnd"/>
      <w:r w:rsidRPr="00EC0E48">
        <w:t xml:space="preserve"> (ECLAC 1 output, UNCTAD 1 output, UNECA 4 ou</w:t>
      </w:r>
      <w:r>
        <w:t>t</w:t>
      </w:r>
      <w:r w:rsidRPr="00EC0E48">
        <w:t xml:space="preserve">puts in </w:t>
      </w:r>
      <w:proofErr w:type="spellStart"/>
      <w:r w:rsidRPr="00EC0E48">
        <w:t>progress</w:t>
      </w:r>
      <w:proofErr w:type="spellEnd"/>
      <w:r w:rsidRPr="00EC0E48">
        <w:t>).</w:t>
      </w:r>
    </w:p>
  </w:footnote>
  <w:footnote w:id="2">
    <w:p w14:paraId="40A8E042" w14:textId="77777777" w:rsidR="002343A2" w:rsidRPr="00CD1972" w:rsidRDefault="002343A2" w:rsidP="00912D99">
      <w:pPr>
        <w:pStyle w:val="FootnoteText"/>
      </w:pPr>
      <w:r w:rsidRPr="00CD1972">
        <w:rPr>
          <w:rStyle w:val="FootnoteReference"/>
          <w:rFonts w:ascii="Segoe UI" w:hAnsi="Segoe UI"/>
          <w:sz w:val="20"/>
          <w:szCs w:val="20"/>
        </w:rPr>
        <w:footnoteRef/>
      </w:r>
      <w:r w:rsidRPr="00CD1972">
        <w:tab/>
      </w:r>
      <w:proofErr w:type="spellStart"/>
      <w:r w:rsidRPr="00CD1972">
        <w:t>Each</w:t>
      </w:r>
      <w:proofErr w:type="spellEnd"/>
      <w:r w:rsidRPr="00CD1972">
        <w:t xml:space="preserve"> </w:t>
      </w:r>
      <w:proofErr w:type="spellStart"/>
      <w:r w:rsidRPr="00CD1972">
        <w:t>column</w:t>
      </w:r>
      <w:proofErr w:type="spellEnd"/>
      <w:r w:rsidRPr="00CD1972">
        <w:t xml:space="preserve"> </w:t>
      </w:r>
      <w:proofErr w:type="spellStart"/>
      <w:r w:rsidRPr="00CD1972">
        <w:t>is</w:t>
      </w:r>
      <w:proofErr w:type="spellEnd"/>
      <w:r w:rsidRPr="00CD1972">
        <w:t xml:space="preserve"> </w:t>
      </w:r>
      <w:proofErr w:type="spellStart"/>
      <w:r w:rsidRPr="00CD1972">
        <w:t>cross-referenced</w:t>
      </w:r>
      <w:proofErr w:type="spellEnd"/>
      <w:r w:rsidRPr="00CD1972">
        <w:t xml:space="preserve"> </w:t>
      </w:r>
      <w:proofErr w:type="spellStart"/>
      <w:r w:rsidRPr="00CD1972">
        <w:t>to</w:t>
      </w:r>
      <w:proofErr w:type="spellEnd"/>
      <w:r w:rsidRPr="00CD1972">
        <w:t xml:space="preserve"> the </w:t>
      </w:r>
      <w:proofErr w:type="spellStart"/>
      <w:r w:rsidRPr="00CD1972">
        <w:t>bullet</w:t>
      </w:r>
      <w:proofErr w:type="spellEnd"/>
      <w:r w:rsidRPr="00CD1972">
        <w:t xml:space="preserve"> </w:t>
      </w:r>
      <w:proofErr w:type="spellStart"/>
      <w:r w:rsidRPr="00CD1972">
        <w:t>letters</w:t>
      </w:r>
      <w:proofErr w:type="spellEnd"/>
      <w:r w:rsidRPr="00CD1972">
        <w:t xml:space="preserve"> </w:t>
      </w:r>
      <w:proofErr w:type="spellStart"/>
      <w:r w:rsidRPr="00CD1972">
        <w:t>above</w:t>
      </w:r>
      <w:proofErr w:type="spellEnd"/>
      <w:r w:rsidRPr="00CD1972">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0CF"/>
    <w:multiLevelType w:val="hybridMultilevel"/>
    <w:tmpl w:val="679A0EEE"/>
    <w:lvl w:ilvl="0" w:tplc="61E271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0A2205"/>
    <w:multiLevelType w:val="hybridMultilevel"/>
    <w:tmpl w:val="AAF4FD64"/>
    <w:lvl w:ilvl="0" w:tplc="0C0A0013">
      <w:start w:val="1"/>
      <w:numFmt w:val="upperRoman"/>
      <w:lvlText w:val="%1."/>
      <w:lvlJc w:val="right"/>
      <w:pPr>
        <w:ind w:left="720" w:hanging="360"/>
      </w:pPr>
    </w:lvl>
    <w:lvl w:ilvl="1" w:tplc="0C00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26A53AD"/>
    <w:multiLevelType w:val="hybridMultilevel"/>
    <w:tmpl w:val="E1EA808A"/>
    <w:lvl w:ilvl="0" w:tplc="B3625880">
      <w:start w:val="1"/>
      <w:numFmt w:val="decimal"/>
      <w:pStyle w:val="Boxnumber"/>
      <w:lvlText w:val="Box %1."/>
      <w:lvlJc w:val="left"/>
      <w:pPr>
        <w:ind w:left="720" w:hanging="360"/>
      </w:pPr>
      <w:rPr>
        <w:rFonts w:ascii="Segoe UI" w:hAnsi="Segoe UI" w:cs="Segoe UI" w:hint="default"/>
        <w:b/>
        <w:i w:val="0"/>
        <w:caps w:val="0"/>
        <w:strike w:val="0"/>
        <w:dstrike w:val="0"/>
        <w:vanish w:val="0"/>
        <w:color w:val="auto"/>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F9256D"/>
    <w:multiLevelType w:val="hybridMultilevel"/>
    <w:tmpl w:val="DB8035EE"/>
    <w:lvl w:ilvl="0" w:tplc="5A640936">
      <w:start w:val="1"/>
      <w:numFmt w:val="lowerLetter"/>
      <w:pStyle w:val="Indentletter"/>
      <w:lvlText w:val="%1."/>
      <w:lvlJc w:val="right"/>
      <w:pPr>
        <w:tabs>
          <w:tab w:val="num" w:pos="851"/>
        </w:tabs>
        <w:ind w:left="851" w:hanging="284"/>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6469D9"/>
    <w:multiLevelType w:val="multilevel"/>
    <w:tmpl w:val="30A6DDD4"/>
    <w:lvl w:ilvl="0">
      <w:start w:val="1"/>
      <w:numFmt w:val="decimal"/>
      <w:pStyle w:val="Numberedpara"/>
      <w:lvlText w:val="%1."/>
      <w:lvlJc w:val="left"/>
      <w:pPr>
        <w:tabs>
          <w:tab w:val="num" w:pos="567"/>
        </w:tabs>
        <w:ind w:left="0" w:firstLine="0"/>
      </w:pPr>
      <w:rPr>
        <w:rFonts w:ascii="Segoe UI" w:hAnsi="Segoe UI" w:cs="Segoe UI" w:hint="default"/>
        <w:b w:val="0"/>
        <w:sz w:val="20"/>
        <w:szCs w:val="18"/>
      </w:rPr>
    </w:lvl>
    <w:lvl w:ilvl="1">
      <w:start w:val="1"/>
      <w:numFmt w:val="decimal"/>
      <w:lvlText w:val="%2."/>
      <w:lvlJc w:val="left"/>
      <w:pPr>
        <w:tabs>
          <w:tab w:val="num" w:pos="927"/>
        </w:tabs>
        <w:ind w:left="927" w:hanging="360"/>
      </w:pPr>
      <w:rPr>
        <w:rFonts w:hint="default"/>
        <w:b w:val="0"/>
        <w:bCs w:val="0"/>
      </w:rPr>
    </w:lvl>
    <w:lvl w:ilvl="2">
      <w:start w:val="1"/>
      <w:numFmt w:val="lowerRoman"/>
      <w:lvlText w:val="(%3)"/>
      <w:lvlJc w:val="right"/>
      <w:pPr>
        <w:tabs>
          <w:tab w:val="num" w:pos="1418"/>
        </w:tabs>
        <w:ind w:left="1418" w:hanging="284"/>
      </w:pPr>
      <w:rPr>
        <w:rFonts w:hint="default"/>
      </w:rPr>
    </w:lvl>
    <w:lvl w:ilvl="3">
      <w:start w:val="1"/>
      <w:numFmt w:val="bullet"/>
      <w:lvlText w:val="-"/>
      <w:lvlJc w:val="left"/>
      <w:pPr>
        <w:tabs>
          <w:tab w:val="num" w:pos="1701"/>
        </w:tabs>
        <w:ind w:left="1701" w:hanging="283"/>
      </w:pPr>
      <w:rPr>
        <w:rFonts w:ascii="Times New Roman" w:hAnsi="Times New Roman" w:cs="Times New Roman"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7E0C69F5"/>
    <w:multiLevelType w:val="hybridMultilevel"/>
    <w:tmpl w:val="8F02B9E6"/>
    <w:lvl w:ilvl="0" w:tplc="25467C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6536121">
    <w:abstractNumId w:val="3"/>
  </w:num>
  <w:num w:numId="2" w16cid:durableId="2130078858">
    <w:abstractNumId w:val="2"/>
  </w:num>
  <w:num w:numId="3" w16cid:durableId="2100364305">
    <w:abstractNumId w:val="1"/>
  </w:num>
  <w:num w:numId="4" w16cid:durableId="294138385">
    <w:abstractNumId w:val="4"/>
  </w:num>
  <w:num w:numId="5" w16cid:durableId="1496650334">
    <w:abstractNumId w:val="4"/>
  </w:num>
  <w:num w:numId="6" w16cid:durableId="1157310142">
    <w:abstractNumId w:val="4"/>
  </w:num>
  <w:num w:numId="7" w16cid:durableId="724909996">
    <w:abstractNumId w:val="4"/>
  </w:num>
  <w:num w:numId="8" w16cid:durableId="1318261209">
    <w:abstractNumId w:val="0"/>
  </w:num>
  <w:num w:numId="9" w16cid:durableId="12849947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A2"/>
    <w:rsid w:val="000022BE"/>
    <w:rsid w:val="00006AAC"/>
    <w:rsid w:val="00020CC3"/>
    <w:rsid w:val="00025AC5"/>
    <w:rsid w:val="00060151"/>
    <w:rsid w:val="00062809"/>
    <w:rsid w:val="00082460"/>
    <w:rsid w:val="000A4262"/>
    <w:rsid w:val="000C0436"/>
    <w:rsid w:val="000C31C6"/>
    <w:rsid w:val="00113854"/>
    <w:rsid w:val="00123376"/>
    <w:rsid w:val="0014647D"/>
    <w:rsid w:val="00151549"/>
    <w:rsid w:val="001626EB"/>
    <w:rsid w:val="001723E9"/>
    <w:rsid w:val="0018390B"/>
    <w:rsid w:val="00192B48"/>
    <w:rsid w:val="001960C5"/>
    <w:rsid w:val="001F4CB2"/>
    <w:rsid w:val="00213DE6"/>
    <w:rsid w:val="002343A2"/>
    <w:rsid w:val="002402A4"/>
    <w:rsid w:val="00244CE2"/>
    <w:rsid w:val="002502E4"/>
    <w:rsid w:val="002647B2"/>
    <w:rsid w:val="00287F6B"/>
    <w:rsid w:val="002A619D"/>
    <w:rsid w:val="002C19B2"/>
    <w:rsid w:val="002C7F19"/>
    <w:rsid w:val="002E6465"/>
    <w:rsid w:val="003427BD"/>
    <w:rsid w:val="003519DE"/>
    <w:rsid w:val="00352E71"/>
    <w:rsid w:val="00365B97"/>
    <w:rsid w:val="003725CF"/>
    <w:rsid w:val="003A0776"/>
    <w:rsid w:val="003B32E2"/>
    <w:rsid w:val="003B3C8A"/>
    <w:rsid w:val="003C33DD"/>
    <w:rsid w:val="003D7B88"/>
    <w:rsid w:val="003E36E5"/>
    <w:rsid w:val="003F60AC"/>
    <w:rsid w:val="00401891"/>
    <w:rsid w:val="00412E35"/>
    <w:rsid w:val="00425506"/>
    <w:rsid w:val="004B7E41"/>
    <w:rsid w:val="004D732E"/>
    <w:rsid w:val="004F49DB"/>
    <w:rsid w:val="00507FFB"/>
    <w:rsid w:val="005658EA"/>
    <w:rsid w:val="00574981"/>
    <w:rsid w:val="00595645"/>
    <w:rsid w:val="005A3B81"/>
    <w:rsid w:val="005B5A16"/>
    <w:rsid w:val="005D501D"/>
    <w:rsid w:val="00615B3D"/>
    <w:rsid w:val="00627396"/>
    <w:rsid w:val="00637DC0"/>
    <w:rsid w:val="00654133"/>
    <w:rsid w:val="00654839"/>
    <w:rsid w:val="006556C4"/>
    <w:rsid w:val="00670DD2"/>
    <w:rsid w:val="00671016"/>
    <w:rsid w:val="006768A9"/>
    <w:rsid w:val="00680277"/>
    <w:rsid w:val="0069764A"/>
    <w:rsid w:val="006B2D3B"/>
    <w:rsid w:val="006B4A51"/>
    <w:rsid w:val="006E5ACC"/>
    <w:rsid w:val="006F1EA8"/>
    <w:rsid w:val="007067F5"/>
    <w:rsid w:val="0072429A"/>
    <w:rsid w:val="00727562"/>
    <w:rsid w:val="00765FAB"/>
    <w:rsid w:val="00770326"/>
    <w:rsid w:val="0078484B"/>
    <w:rsid w:val="00795C60"/>
    <w:rsid w:val="007B42DB"/>
    <w:rsid w:val="007F1086"/>
    <w:rsid w:val="007F303B"/>
    <w:rsid w:val="007F4477"/>
    <w:rsid w:val="007F72AC"/>
    <w:rsid w:val="0081218D"/>
    <w:rsid w:val="008156B1"/>
    <w:rsid w:val="00817F6F"/>
    <w:rsid w:val="008371DE"/>
    <w:rsid w:val="0085055F"/>
    <w:rsid w:val="00865D8B"/>
    <w:rsid w:val="00866B78"/>
    <w:rsid w:val="0088105B"/>
    <w:rsid w:val="00894D16"/>
    <w:rsid w:val="008A3E34"/>
    <w:rsid w:val="008D552F"/>
    <w:rsid w:val="008E42D3"/>
    <w:rsid w:val="008F7D6D"/>
    <w:rsid w:val="00901B10"/>
    <w:rsid w:val="00912D99"/>
    <w:rsid w:val="00913999"/>
    <w:rsid w:val="00973D95"/>
    <w:rsid w:val="009B1EB9"/>
    <w:rsid w:val="009B542A"/>
    <w:rsid w:val="009E71BD"/>
    <w:rsid w:val="00A1064C"/>
    <w:rsid w:val="00A13851"/>
    <w:rsid w:val="00A66FC9"/>
    <w:rsid w:val="00A86859"/>
    <w:rsid w:val="00AA6021"/>
    <w:rsid w:val="00AB365A"/>
    <w:rsid w:val="00AC2351"/>
    <w:rsid w:val="00AD0A3E"/>
    <w:rsid w:val="00AE477B"/>
    <w:rsid w:val="00AF211A"/>
    <w:rsid w:val="00B125AC"/>
    <w:rsid w:val="00B17B17"/>
    <w:rsid w:val="00B17FD6"/>
    <w:rsid w:val="00B63557"/>
    <w:rsid w:val="00BC6FB8"/>
    <w:rsid w:val="00BD47ED"/>
    <w:rsid w:val="00C23AEC"/>
    <w:rsid w:val="00C44C12"/>
    <w:rsid w:val="00C67BBD"/>
    <w:rsid w:val="00C778C3"/>
    <w:rsid w:val="00C8635C"/>
    <w:rsid w:val="00C87EA2"/>
    <w:rsid w:val="00C95F77"/>
    <w:rsid w:val="00CC51F6"/>
    <w:rsid w:val="00CC5E82"/>
    <w:rsid w:val="00CC7752"/>
    <w:rsid w:val="00CD1972"/>
    <w:rsid w:val="00CF3211"/>
    <w:rsid w:val="00CF59BA"/>
    <w:rsid w:val="00D021A2"/>
    <w:rsid w:val="00D045ED"/>
    <w:rsid w:val="00D57C1D"/>
    <w:rsid w:val="00D57EA6"/>
    <w:rsid w:val="00D60307"/>
    <w:rsid w:val="00D7444F"/>
    <w:rsid w:val="00D91F8D"/>
    <w:rsid w:val="00DB786E"/>
    <w:rsid w:val="00DD4DAC"/>
    <w:rsid w:val="00DE56CC"/>
    <w:rsid w:val="00DF7EAD"/>
    <w:rsid w:val="00E03BF8"/>
    <w:rsid w:val="00E04C6B"/>
    <w:rsid w:val="00E30B1B"/>
    <w:rsid w:val="00E31416"/>
    <w:rsid w:val="00E41C50"/>
    <w:rsid w:val="00E4683C"/>
    <w:rsid w:val="00E51554"/>
    <w:rsid w:val="00E5770A"/>
    <w:rsid w:val="00E61724"/>
    <w:rsid w:val="00E8162E"/>
    <w:rsid w:val="00EA1B91"/>
    <w:rsid w:val="00EE2EAB"/>
    <w:rsid w:val="00EF4DBB"/>
    <w:rsid w:val="00EF547A"/>
    <w:rsid w:val="00EF5BB1"/>
    <w:rsid w:val="00F4226C"/>
    <w:rsid w:val="00F52757"/>
    <w:rsid w:val="00F67CEE"/>
    <w:rsid w:val="00F76EC7"/>
    <w:rsid w:val="00F80D3B"/>
    <w:rsid w:val="00F83C8C"/>
    <w:rsid w:val="00F87646"/>
    <w:rsid w:val="00FE411B"/>
    <w:rsid w:val="00FE75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1A8D7"/>
  <w15:chartTrackingRefBased/>
  <w15:docId w15:val="{BECE13F4-F9A5-445C-822E-4527EEBD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912D99"/>
    <w:pPr>
      <w:spacing w:before="100" w:beforeAutospacing="1" w:after="100" w:afterAutospacing="1" w:line="276" w:lineRule="auto"/>
      <w:contextualSpacing/>
      <w:jc w:val="both"/>
    </w:pPr>
    <w:rPr>
      <w:rFonts w:ascii="Segoe UI" w:eastAsia="PMingLiU" w:hAnsi="Segoe UI" w:cs="Segoe UI"/>
      <w:lang w:eastAsia="zh-TW"/>
    </w:rPr>
  </w:style>
  <w:style w:type="paragraph" w:styleId="Heading5">
    <w:name w:val="heading 5"/>
    <w:basedOn w:val="Normal"/>
    <w:next w:val="Normal"/>
    <w:link w:val="Heading5Char"/>
    <w:qFormat/>
    <w:rsid w:val="002343A2"/>
    <w:pPr>
      <w:spacing w:before="120" w:after="120"/>
      <w:outlineLvl w:val="4"/>
    </w:pPr>
    <w:rPr>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343A2"/>
    <w:rPr>
      <w:rFonts w:ascii="Times New Roman" w:eastAsia="PMingLiU" w:hAnsi="Times New Roman" w:cs="Times New Roman"/>
      <w:b/>
      <w:bCs/>
      <w:i/>
      <w:iCs/>
      <w:sz w:val="24"/>
      <w:szCs w:val="26"/>
      <w:lang w:eastAsia="zh-TW"/>
    </w:rPr>
  </w:style>
  <w:style w:type="paragraph" w:customStyle="1" w:styleId="Indentletter">
    <w:name w:val="Indent letter"/>
    <w:basedOn w:val="Normal"/>
    <w:next w:val="Normal"/>
    <w:autoRedefine/>
    <w:rsid w:val="002343A2"/>
    <w:pPr>
      <w:numPr>
        <w:numId w:val="1"/>
      </w:numPr>
    </w:pPr>
    <w:rPr>
      <w:kern w:val="32"/>
    </w:rPr>
  </w:style>
  <w:style w:type="paragraph" w:customStyle="1" w:styleId="Tableheadingcolumn">
    <w:name w:val="Table heading column"/>
    <w:basedOn w:val="Normal"/>
    <w:autoRedefine/>
    <w:rsid w:val="00020CC3"/>
    <w:pPr>
      <w:tabs>
        <w:tab w:val="left" w:pos="284"/>
      </w:tabs>
      <w:jc w:val="center"/>
    </w:pPr>
    <w:rPr>
      <w:bCs/>
      <w:sz w:val="20"/>
      <w:lang w:eastAsia="es-ES_tradnl"/>
    </w:rPr>
  </w:style>
  <w:style w:type="character" w:styleId="FootnoteReference">
    <w:name w:val="footnote reference"/>
    <w:aliases w:val="ftref,16 Point,Superscript 6 Point,BVI fnr,Normal + Font:9 Point,Superscript 3 Point Times,List Bullet Char1,Footnote Reference Char,List Bullet Char...,List Bullet Char Char,Car Car Char Car Char Car Car Char Char,Ref,4_G,titulo 2,FC"/>
    <w:basedOn w:val="DefaultParagraphFont"/>
    <w:link w:val="Char2"/>
    <w:uiPriority w:val="99"/>
    <w:qFormat/>
    <w:rsid w:val="002343A2"/>
    <w:rPr>
      <w:rFonts w:ascii="Times New Roman" w:hAnsi="Times New Roman"/>
      <w:sz w:val="18"/>
      <w:szCs w:val="18"/>
      <w:vertAlign w:val="superscript"/>
    </w:rPr>
  </w:style>
  <w:style w:type="paragraph" w:styleId="FootnoteText">
    <w:name w:val="footnote text"/>
    <w:aliases w:val="Nbpage Moens,Footnote Text Char2,Footnote Text Char1 Char,Footnote Text Char Char Char1,Footnote Text Char1 Char Char Char1,Footnote Text Char1 Char1 Char,Footnote Text Char Char Char Char,single space,f,Texto nota pie C,ft,Geneva 9,fn,Car"/>
    <w:basedOn w:val="Normal"/>
    <w:link w:val="FootnoteTextChar"/>
    <w:autoRedefine/>
    <w:qFormat/>
    <w:rsid w:val="00CD1972"/>
    <w:pPr>
      <w:tabs>
        <w:tab w:val="left" w:pos="284"/>
      </w:tabs>
    </w:pPr>
    <w:rPr>
      <w:sz w:val="20"/>
      <w:szCs w:val="20"/>
      <w:lang w:val="es-HN"/>
    </w:rPr>
  </w:style>
  <w:style w:type="character" w:customStyle="1" w:styleId="FootnoteTextChar">
    <w:name w:val="Footnote Text Char"/>
    <w:aliases w:val="Nbpage Moens Char,Footnote Text Char2 Char,Footnote Text Char1 Char Char,Footnote Text Char Char Char1 Char,Footnote Text Char1 Char Char Char1 Char,Footnote Text Char1 Char1 Char Char,Footnote Text Char Char Char Char Char,f Char"/>
    <w:basedOn w:val="DefaultParagraphFont"/>
    <w:link w:val="FootnoteText"/>
    <w:rsid w:val="00CD1972"/>
    <w:rPr>
      <w:rFonts w:ascii="Segoe UI" w:eastAsia="PMingLiU" w:hAnsi="Segoe UI" w:cs="Segoe UI"/>
      <w:sz w:val="20"/>
      <w:szCs w:val="20"/>
      <w:lang w:val="es-HN" w:eastAsia="zh-TW"/>
    </w:rPr>
  </w:style>
  <w:style w:type="paragraph" w:customStyle="1" w:styleId="Tableboxleft">
    <w:name w:val="Table box left"/>
    <w:basedOn w:val="Normal"/>
    <w:link w:val="TableboxleftChar"/>
    <w:autoRedefine/>
    <w:rsid w:val="00912D99"/>
    <w:pPr>
      <w:ind w:firstLine="50"/>
    </w:pPr>
    <w:rPr>
      <w:sz w:val="20"/>
      <w:szCs w:val="20"/>
    </w:rPr>
  </w:style>
  <w:style w:type="paragraph" w:customStyle="1" w:styleId="Tableheadingcolumncentred">
    <w:name w:val="Table heading column centred"/>
    <w:basedOn w:val="Normal"/>
    <w:next w:val="Normal"/>
    <w:autoRedefine/>
    <w:rsid w:val="00F76EC7"/>
    <w:pPr>
      <w:tabs>
        <w:tab w:val="left" w:pos="9356"/>
      </w:tabs>
      <w:jc w:val="center"/>
    </w:pPr>
    <w:rPr>
      <w:b/>
      <w:bCs/>
      <w:sz w:val="20"/>
      <w:szCs w:val="20"/>
      <w:lang w:val="en-US" w:eastAsia="en-GB"/>
    </w:rPr>
  </w:style>
  <w:style w:type="character" w:customStyle="1" w:styleId="TableboxleftChar">
    <w:name w:val="Table box left Char"/>
    <w:basedOn w:val="DefaultParagraphFont"/>
    <w:link w:val="Tableboxleft"/>
    <w:rsid w:val="00912D99"/>
    <w:rPr>
      <w:rFonts w:ascii="Segoe UI" w:eastAsia="PMingLiU" w:hAnsi="Segoe UI" w:cs="Segoe UI"/>
      <w:sz w:val="20"/>
      <w:szCs w:val="20"/>
      <w:lang w:eastAsia="zh-TW"/>
    </w:rPr>
  </w:style>
  <w:style w:type="paragraph" w:customStyle="1" w:styleId="Boxnumber">
    <w:name w:val="Box number"/>
    <w:basedOn w:val="Caption"/>
    <w:next w:val="Normal"/>
    <w:autoRedefine/>
    <w:qFormat/>
    <w:rsid w:val="00E03BF8"/>
    <w:pPr>
      <w:keepNext/>
      <w:numPr>
        <w:numId w:val="2"/>
      </w:numPr>
      <w:tabs>
        <w:tab w:val="num" w:pos="360"/>
        <w:tab w:val="left" w:pos="1134"/>
      </w:tabs>
      <w:spacing w:after="120"/>
      <w:ind w:left="1134" w:hanging="1134"/>
    </w:pPr>
    <w:rPr>
      <w:rFonts w:eastAsia="Times New Roman"/>
      <w:b/>
      <w:bCs/>
      <w:i w:val="0"/>
      <w:iCs w:val="0"/>
      <w:color w:val="auto"/>
      <w:sz w:val="22"/>
      <w:szCs w:val="20"/>
      <w:lang w:eastAsia="en-US"/>
    </w:rPr>
  </w:style>
  <w:style w:type="paragraph" w:customStyle="1" w:styleId="Tableofcontents">
    <w:name w:val="Table of contents"/>
    <w:basedOn w:val="TOAHeading"/>
    <w:qFormat/>
    <w:rsid w:val="002343A2"/>
    <w:pPr>
      <w:spacing w:after="120"/>
      <w:jc w:val="center"/>
    </w:pPr>
    <w:rPr>
      <w:rFonts w:ascii="Times New Roman" w:hAnsi="Times New Roman"/>
      <w:lang w:eastAsia="en-US"/>
    </w:rPr>
  </w:style>
  <w:style w:type="paragraph" w:styleId="Caption">
    <w:name w:val="caption"/>
    <w:basedOn w:val="Normal"/>
    <w:next w:val="Normal"/>
    <w:uiPriority w:val="35"/>
    <w:semiHidden/>
    <w:unhideWhenUsed/>
    <w:qFormat/>
    <w:rsid w:val="002343A2"/>
    <w:pPr>
      <w:spacing w:after="200"/>
    </w:pPr>
    <w:rPr>
      <w:i/>
      <w:iCs/>
      <w:color w:val="44546A" w:themeColor="text2"/>
      <w:sz w:val="18"/>
      <w:szCs w:val="18"/>
    </w:rPr>
  </w:style>
  <w:style w:type="paragraph" w:styleId="TOAHeading">
    <w:name w:val="toa heading"/>
    <w:basedOn w:val="Normal"/>
    <w:next w:val="Normal"/>
    <w:uiPriority w:val="99"/>
    <w:semiHidden/>
    <w:unhideWhenUsed/>
    <w:rsid w:val="002343A2"/>
    <w:pPr>
      <w:spacing w:before="120"/>
    </w:pPr>
    <w:rPr>
      <w:rFonts w:asciiTheme="majorHAnsi" w:eastAsiaTheme="majorEastAsia" w:hAnsiTheme="majorHAnsi" w:cstheme="majorBidi"/>
      <w:b/>
      <w:bCs/>
    </w:rPr>
  </w:style>
  <w:style w:type="table" w:styleId="TableGrid">
    <w:name w:val="Table Grid"/>
    <w:basedOn w:val="TableNormal"/>
    <w:uiPriority w:val="39"/>
    <w:rsid w:val="007F4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972"/>
    <w:pPr>
      <w:ind w:left="720"/>
    </w:pPr>
  </w:style>
  <w:style w:type="paragraph" w:customStyle="1" w:styleId="Copy">
    <w:name w:val="Copy"/>
    <w:basedOn w:val="Normal"/>
    <w:rsid w:val="00C87EA2"/>
    <w:pPr>
      <w:tabs>
        <w:tab w:val="left" w:pos="440"/>
      </w:tabs>
      <w:autoSpaceDE w:val="0"/>
      <w:autoSpaceDN w:val="0"/>
      <w:adjustRightInd w:val="0"/>
      <w:spacing w:before="0" w:beforeAutospacing="0" w:after="260" w:afterAutospacing="0" w:line="260" w:lineRule="atLeast"/>
      <w:contextualSpacing w:val="0"/>
      <w:textAlignment w:val="center"/>
    </w:pPr>
    <w:rPr>
      <w:rFonts w:ascii="Adobe Garamond Pro" w:eastAsia="Times New Roman" w:hAnsi="Adobe Garamond Pro" w:cs="Adobe Garamond Pro"/>
      <w:color w:val="000000"/>
      <w:lang w:eastAsia="en-US"/>
    </w:rPr>
  </w:style>
  <w:style w:type="paragraph" w:styleId="Header">
    <w:name w:val="header"/>
    <w:basedOn w:val="Normal"/>
    <w:link w:val="HeaderChar"/>
    <w:uiPriority w:val="99"/>
    <w:unhideWhenUsed/>
    <w:rsid w:val="002A619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A619D"/>
    <w:rPr>
      <w:rFonts w:ascii="Times New Roman" w:eastAsia="PMingLiU" w:hAnsi="Times New Roman" w:cs="Times New Roman"/>
      <w:sz w:val="24"/>
      <w:szCs w:val="24"/>
      <w:lang w:eastAsia="zh-TW"/>
    </w:rPr>
  </w:style>
  <w:style w:type="paragraph" w:styleId="Footer">
    <w:name w:val="footer"/>
    <w:basedOn w:val="Normal"/>
    <w:link w:val="FooterChar"/>
    <w:uiPriority w:val="99"/>
    <w:unhideWhenUsed/>
    <w:rsid w:val="002A619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A619D"/>
    <w:rPr>
      <w:rFonts w:ascii="Times New Roman" w:eastAsia="PMingLiU" w:hAnsi="Times New Roman" w:cs="Times New Roman"/>
      <w:sz w:val="24"/>
      <w:szCs w:val="24"/>
      <w:lang w:eastAsia="zh-TW"/>
    </w:rPr>
  </w:style>
  <w:style w:type="paragraph" w:customStyle="1" w:styleId="Numberedpara">
    <w:name w:val="Numbered para"/>
    <w:basedOn w:val="Normal"/>
    <w:link w:val="NumberedparaChar"/>
    <w:qFormat/>
    <w:rsid w:val="00F87646"/>
    <w:pPr>
      <w:numPr>
        <w:numId w:val="4"/>
      </w:numPr>
      <w:autoSpaceDE w:val="0"/>
      <w:autoSpaceDN w:val="0"/>
      <w:adjustRightInd w:val="0"/>
      <w:spacing w:before="120" w:beforeAutospacing="0" w:after="120" w:afterAutospacing="0" w:line="240" w:lineRule="auto"/>
      <w:contextualSpacing w:val="0"/>
    </w:pPr>
    <w:rPr>
      <w:rFonts w:eastAsiaTheme="minorHAnsi" w:cs="Calibri"/>
      <w:sz w:val="21"/>
      <w:lang w:eastAsia="en-US"/>
    </w:rPr>
  </w:style>
  <w:style w:type="character" w:customStyle="1" w:styleId="NumberedparaChar">
    <w:name w:val="Numbered para Char"/>
    <w:link w:val="Numberedpara"/>
    <w:rsid w:val="00F87646"/>
    <w:rPr>
      <w:rFonts w:ascii="Segoe UI" w:hAnsi="Segoe UI" w:cs="Calibri"/>
      <w:sz w:val="21"/>
    </w:rPr>
  </w:style>
  <w:style w:type="paragraph" w:styleId="Revision">
    <w:name w:val="Revision"/>
    <w:hidden/>
    <w:uiPriority w:val="99"/>
    <w:semiHidden/>
    <w:rsid w:val="00FE7527"/>
    <w:pPr>
      <w:spacing w:after="0" w:line="240" w:lineRule="auto"/>
    </w:pPr>
    <w:rPr>
      <w:rFonts w:ascii="Times New Roman" w:eastAsia="PMingLiU" w:hAnsi="Times New Roman" w:cs="Times New Roman"/>
      <w:sz w:val="24"/>
      <w:szCs w:val="24"/>
      <w:lang w:eastAsia="zh-TW"/>
    </w:rPr>
  </w:style>
  <w:style w:type="character" w:styleId="CommentReference">
    <w:name w:val="annotation reference"/>
    <w:basedOn w:val="DefaultParagraphFont"/>
    <w:uiPriority w:val="99"/>
    <w:semiHidden/>
    <w:unhideWhenUsed/>
    <w:rsid w:val="001723E9"/>
    <w:rPr>
      <w:sz w:val="16"/>
      <w:szCs w:val="16"/>
    </w:rPr>
  </w:style>
  <w:style w:type="paragraph" w:styleId="CommentText">
    <w:name w:val="annotation text"/>
    <w:basedOn w:val="Normal"/>
    <w:link w:val="CommentTextChar"/>
    <w:uiPriority w:val="99"/>
    <w:unhideWhenUsed/>
    <w:rsid w:val="001723E9"/>
    <w:pPr>
      <w:spacing w:line="240" w:lineRule="auto"/>
    </w:pPr>
    <w:rPr>
      <w:sz w:val="20"/>
      <w:szCs w:val="20"/>
    </w:rPr>
  </w:style>
  <w:style w:type="character" w:customStyle="1" w:styleId="CommentTextChar">
    <w:name w:val="Comment Text Char"/>
    <w:basedOn w:val="DefaultParagraphFont"/>
    <w:link w:val="CommentText"/>
    <w:uiPriority w:val="99"/>
    <w:rsid w:val="001723E9"/>
    <w:rPr>
      <w:rFonts w:ascii="Times New Roman" w:eastAsia="PMingLiU" w:hAnsi="Times New Roman" w:cs="Times New Roman"/>
      <w:sz w:val="20"/>
      <w:szCs w:val="20"/>
      <w:lang w:eastAsia="zh-TW"/>
    </w:rPr>
  </w:style>
  <w:style w:type="paragraph" w:styleId="CommentSubject">
    <w:name w:val="annotation subject"/>
    <w:basedOn w:val="CommentText"/>
    <w:next w:val="CommentText"/>
    <w:link w:val="CommentSubjectChar"/>
    <w:uiPriority w:val="99"/>
    <w:semiHidden/>
    <w:unhideWhenUsed/>
    <w:rsid w:val="001723E9"/>
    <w:rPr>
      <w:b/>
      <w:bCs/>
    </w:rPr>
  </w:style>
  <w:style w:type="character" w:customStyle="1" w:styleId="CommentSubjectChar">
    <w:name w:val="Comment Subject Char"/>
    <w:basedOn w:val="CommentTextChar"/>
    <w:link w:val="CommentSubject"/>
    <w:uiPriority w:val="99"/>
    <w:semiHidden/>
    <w:rsid w:val="001723E9"/>
    <w:rPr>
      <w:rFonts w:ascii="Times New Roman" w:eastAsia="PMingLiU" w:hAnsi="Times New Roman" w:cs="Times New Roman"/>
      <w:b/>
      <w:bCs/>
      <w:sz w:val="20"/>
      <w:szCs w:val="20"/>
      <w:lang w:eastAsia="zh-TW"/>
    </w:rPr>
  </w:style>
  <w:style w:type="paragraph" w:customStyle="1" w:styleId="Char2">
    <w:name w:val="Char2"/>
    <w:basedOn w:val="Normal"/>
    <w:link w:val="FootnoteReference"/>
    <w:uiPriority w:val="99"/>
    <w:rsid w:val="002502E4"/>
    <w:pPr>
      <w:spacing w:before="120" w:beforeAutospacing="0" w:after="0" w:afterAutospacing="0" w:line="240" w:lineRule="exact"/>
      <w:contextualSpacing w:val="0"/>
    </w:pPr>
    <w:rPr>
      <w:rFonts w:ascii="Times New Roman" w:eastAsiaTheme="minorHAnsi" w:hAnsi="Times New Roman" w:cstheme="minorBidi"/>
      <w:sz w:val="18"/>
      <w:szCs w:val="18"/>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71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patri\OneDrive\Documents\1.%20Business\UNCTAD%20MSME\Deliverables\Final%20Report\Old\Coherence%20and%20complementarities%20between%20UN%20entities%20and%20outputs_PB.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GB" sz="1050"/>
              <a:t>Number of project outputs</a:t>
            </a:r>
            <a:r>
              <a:rPr lang="en-GB" sz="1050" baseline="0"/>
              <a:t> </a:t>
            </a:r>
            <a:r>
              <a:rPr lang="en-GB" sz="1050" b="1" i="0" u="none" strike="noStrike" kern="1200" baseline="0">
                <a:solidFill>
                  <a:sysClr val="windowText" lastClr="000000">
                    <a:lumMod val="65000"/>
                    <a:lumOff val="35000"/>
                  </a:sysClr>
                </a:solidFill>
              </a:rPr>
              <a:t>delivered </a:t>
            </a:r>
            <a:r>
              <a:rPr lang="en-GB" sz="1050" baseline="0"/>
              <a:t>per phase</a:t>
            </a:r>
            <a:endParaRPr lang="en-GB" sz="1050"/>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Sheet6!$I$2</c:f>
              <c:strCache>
                <c:ptCount val="1"/>
                <c:pt idx="0">
                  <c:v>Phase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Sheet6!$H$3:$H$9</c:f>
              <c:strCache>
                <c:ptCount val="7"/>
                <c:pt idx="0">
                  <c:v>UNCTAD</c:v>
                </c:pt>
                <c:pt idx="1">
                  <c:v>DESA</c:v>
                </c:pt>
                <c:pt idx="2">
                  <c:v>UNECA</c:v>
                </c:pt>
                <c:pt idx="3">
                  <c:v>ESCAP</c:v>
                </c:pt>
                <c:pt idx="4">
                  <c:v>UNECE</c:v>
                </c:pt>
                <c:pt idx="5">
                  <c:v>ESCWA</c:v>
                </c:pt>
                <c:pt idx="6">
                  <c:v>ECLAC</c:v>
                </c:pt>
              </c:strCache>
            </c:strRef>
          </c:cat>
          <c:val>
            <c:numRef>
              <c:f>Sheet6!$I$3:$I$9</c:f>
              <c:numCache>
                <c:formatCode>General</c:formatCode>
                <c:ptCount val="7"/>
                <c:pt idx="0">
                  <c:v>3</c:v>
                </c:pt>
                <c:pt idx="1">
                  <c:v>0</c:v>
                </c:pt>
                <c:pt idx="2">
                  <c:v>0</c:v>
                </c:pt>
                <c:pt idx="3">
                  <c:v>0</c:v>
                </c:pt>
                <c:pt idx="4">
                  <c:v>2</c:v>
                </c:pt>
                <c:pt idx="5">
                  <c:v>2</c:v>
                </c:pt>
                <c:pt idx="6">
                  <c:v>0</c:v>
                </c:pt>
              </c:numCache>
            </c:numRef>
          </c:val>
          <c:extLst>
            <c:ext xmlns:c16="http://schemas.microsoft.com/office/drawing/2014/chart" uri="{C3380CC4-5D6E-409C-BE32-E72D297353CC}">
              <c16:uniqueId val="{00000000-D28C-4A15-9D1C-833CD132D13D}"/>
            </c:ext>
          </c:extLst>
        </c:ser>
        <c:ser>
          <c:idx val="1"/>
          <c:order val="1"/>
          <c:tx>
            <c:strRef>
              <c:f>Sheet6!$J$2</c:f>
              <c:strCache>
                <c:ptCount val="1"/>
                <c:pt idx="0">
                  <c:v>Phase 2</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Sheet6!$H$3:$H$9</c:f>
              <c:strCache>
                <c:ptCount val="7"/>
                <c:pt idx="0">
                  <c:v>UNCTAD</c:v>
                </c:pt>
                <c:pt idx="1">
                  <c:v>DESA</c:v>
                </c:pt>
                <c:pt idx="2">
                  <c:v>UNECA</c:v>
                </c:pt>
                <c:pt idx="3">
                  <c:v>ESCAP</c:v>
                </c:pt>
                <c:pt idx="4">
                  <c:v>UNECE</c:v>
                </c:pt>
                <c:pt idx="5">
                  <c:v>ESCWA</c:v>
                </c:pt>
                <c:pt idx="6">
                  <c:v>ECLAC</c:v>
                </c:pt>
              </c:strCache>
            </c:strRef>
          </c:cat>
          <c:val>
            <c:numRef>
              <c:f>Sheet6!$J$3:$J$9</c:f>
              <c:numCache>
                <c:formatCode>General</c:formatCode>
                <c:ptCount val="7"/>
                <c:pt idx="0">
                  <c:v>19</c:v>
                </c:pt>
                <c:pt idx="1">
                  <c:v>2</c:v>
                </c:pt>
                <c:pt idx="2">
                  <c:v>4</c:v>
                </c:pt>
                <c:pt idx="3">
                  <c:v>4</c:v>
                </c:pt>
                <c:pt idx="4">
                  <c:v>4</c:v>
                </c:pt>
                <c:pt idx="5">
                  <c:v>1</c:v>
                </c:pt>
                <c:pt idx="6">
                  <c:v>2</c:v>
                </c:pt>
              </c:numCache>
            </c:numRef>
          </c:val>
          <c:extLst>
            <c:ext xmlns:c16="http://schemas.microsoft.com/office/drawing/2014/chart" uri="{C3380CC4-5D6E-409C-BE32-E72D297353CC}">
              <c16:uniqueId val="{00000001-D28C-4A15-9D1C-833CD132D13D}"/>
            </c:ext>
          </c:extLst>
        </c:ser>
        <c:ser>
          <c:idx val="2"/>
          <c:order val="2"/>
          <c:tx>
            <c:strRef>
              <c:f>Sheet6!$K$2</c:f>
              <c:strCache>
                <c:ptCount val="1"/>
                <c:pt idx="0">
                  <c:v>Phase 3</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Sheet6!$H$3:$H$9</c:f>
              <c:strCache>
                <c:ptCount val="7"/>
                <c:pt idx="0">
                  <c:v>UNCTAD</c:v>
                </c:pt>
                <c:pt idx="1">
                  <c:v>DESA</c:v>
                </c:pt>
                <c:pt idx="2">
                  <c:v>UNECA</c:v>
                </c:pt>
                <c:pt idx="3">
                  <c:v>ESCAP</c:v>
                </c:pt>
                <c:pt idx="4">
                  <c:v>UNECE</c:v>
                </c:pt>
                <c:pt idx="5">
                  <c:v>ESCWA</c:v>
                </c:pt>
                <c:pt idx="6">
                  <c:v>ECLAC</c:v>
                </c:pt>
              </c:strCache>
            </c:strRef>
          </c:cat>
          <c:val>
            <c:numRef>
              <c:f>Sheet6!$K$3:$K$9</c:f>
              <c:numCache>
                <c:formatCode>General</c:formatCode>
                <c:ptCount val="7"/>
                <c:pt idx="0">
                  <c:v>19</c:v>
                </c:pt>
                <c:pt idx="1">
                  <c:v>1</c:v>
                </c:pt>
                <c:pt idx="2">
                  <c:v>3</c:v>
                </c:pt>
                <c:pt idx="3">
                  <c:v>2</c:v>
                </c:pt>
                <c:pt idx="4">
                  <c:v>9</c:v>
                </c:pt>
                <c:pt idx="5">
                  <c:v>7</c:v>
                </c:pt>
                <c:pt idx="6">
                  <c:v>4</c:v>
                </c:pt>
              </c:numCache>
            </c:numRef>
          </c:val>
          <c:extLst>
            <c:ext xmlns:c16="http://schemas.microsoft.com/office/drawing/2014/chart" uri="{C3380CC4-5D6E-409C-BE32-E72D297353CC}">
              <c16:uniqueId val="{00000002-D28C-4A15-9D1C-833CD132D13D}"/>
            </c:ext>
          </c:extLst>
        </c:ser>
        <c:dLbls>
          <c:showLegendKey val="0"/>
          <c:showVal val="1"/>
          <c:showCatName val="0"/>
          <c:showSerName val="0"/>
          <c:showPercent val="0"/>
          <c:showBubbleSize val="0"/>
        </c:dLbls>
        <c:gapWidth val="150"/>
        <c:shape val="box"/>
        <c:axId val="1097268976"/>
        <c:axId val="1097267896"/>
        <c:axId val="818141432"/>
      </c:bar3DChart>
      <c:catAx>
        <c:axId val="10972689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7267896"/>
        <c:crosses val="autoZero"/>
        <c:auto val="1"/>
        <c:lblAlgn val="ctr"/>
        <c:lblOffset val="100"/>
        <c:noMultiLvlLbl val="0"/>
      </c:catAx>
      <c:valAx>
        <c:axId val="1097267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7268976"/>
        <c:crosses val="autoZero"/>
        <c:crossBetween val="between"/>
      </c:valAx>
      <c:serAx>
        <c:axId val="818141432"/>
        <c:scaling>
          <c:orientation val="minMax"/>
        </c:scaling>
        <c:delete val="0"/>
        <c:axPos val="b"/>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7267896"/>
        <c:crosses val="autoZero"/>
      </c:serAx>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1011FD5C6FA94692668CCBB0B001B7" ma:contentTypeVersion="20" ma:contentTypeDescription="Create a new document." ma:contentTypeScope="" ma:versionID="0e530f7be5577adfbde9556ecf98391f">
  <xsd:schema xmlns:xsd="http://www.w3.org/2001/XMLSchema" xmlns:xs="http://www.w3.org/2001/XMLSchema" xmlns:p="http://schemas.microsoft.com/office/2006/metadata/properties" xmlns:ns2="ab3074b2-a2f2-40d4-95db-4d8bfc6beab8" xmlns:ns3="d7fe1d00-5f92-4dfb-a8df-252d5220b019" xmlns:ns4="985ec44e-1bab-4c0b-9df0-6ba128686fc9" targetNamespace="http://schemas.microsoft.com/office/2006/metadata/properties" ma:root="true" ma:fieldsID="d71b78f324aa5c4626e2f7333b24cf04" ns2:_="" ns3:_="" ns4:_="">
    <xsd:import namespace="ab3074b2-a2f2-40d4-95db-4d8bfc6beab8"/>
    <xsd:import namespace="d7fe1d00-5f92-4dfb-a8df-252d5220b019"/>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074b2-a2f2-40d4-95db-4d8bfc6be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fe1d00-5f92-4dfb-a8df-252d5220b01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bb1b69b-34e0-4913-bead-4b67d93edaaa}" ma:internalName="TaxCatchAll" ma:showField="CatchAllData" ma:web="d7fe1d00-5f92-4dfb-a8df-252d5220b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AE4CA6-DD9F-4C2E-9EFE-971BF8EF7E80}"/>
</file>

<file path=customXml/itemProps2.xml><?xml version="1.0" encoding="utf-8"?>
<ds:datastoreItem xmlns:ds="http://schemas.openxmlformats.org/officeDocument/2006/customXml" ds:itemID="{6415874B-0060-42BD-9044-E53A8DD0BDBE}"/>
</file>

<file path=docProps/app.xml><?xml version="1.0" encoding="utf-8"?>
<Properties xmlns="http://schemas.openxmlformats.org/officeDocument/2006/extended-properties" xmlns:vt="http://schemas.openxmlformats.org/officeDocument/2006/docPropsVTypes">
  <Template>Normal</Template>
  <TotalTime>23</TotalTime>
  <Pages>1</Pages>
  <Words>2067</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Yuen Ching Ho</dc:creator>
  <cp:keywords/>
  <dc:description/>
  <cp:lastModifiedBy>Bineswaree Bolaky</cp:lastModifiedBy>
  <cp:revision>5</cp:revision>
  <cp:lastPrinted>2024-06-05T14:40:00Z</cp:lastPrinted>
  <dcterms:created xsi:type="dcterms:W3CDTF">2024-06-06T09:50:00Z</dcterms:created>
  <dcterms:modified xsi:type="dcterms:W3CDTF">2024-06-06T10:40:00Z</dcterms:modified>
</cp:coreProperties>
</file>