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0184" w14:textId="14AFBCC0" w:rsidR="000F452C" w:rsidRDefault="002D5B0C" w:rsidP="00941F93">
      <w:pPr>
        <w:pStyle w:val="Title"/>
      </w:pPr>
      <w:bookmarkStart w:id="0" w:name="_Hlk120868958"/>
      <w:r>
        <w:rPr>
          <w:color w:val="009EDB"/>
        </w:rPr>
        <w:t>Terminal Evaluation of Project</w:t>
      </w:r>
      <w:r w:rsidR="00A8036C">
        <w:rPr>
          <w:color w:val="009EDB"/>
        </w:rPr>
        <w:t xml:space="preserve"> </w:t>
      </w:r>
      <w:r w:rsidR="00941F93">
        <w:br/>
      </w:r>
      <w:r w:rsidR="00302C47">
        <w:t>(</w:t>
      </w:r>
      <w:r w:rsidR="00441E02">
        <w:t xml:space="preserve">Final </w:t>
      </w:r>
      <w:r w:rsidR="00302C47">
        <w:t>Report)</w:t>
      </w:r>
    </w:p>
    <w:p w14:paraId="66186F6C" w14:textId="691D9333" w:rsidR="002E7B91" w:rsidRPr="00941F93" w:rsidRDefault="00622B58" w:rsidP="00941F93">
      <w:pPr>
        <w:pStyle w:val="Subtitle"/>
      </w:pPr>
      <w:r w:rsidRPr="00622B58">
        <w:t>DA13 INFF Project 2124A ‘</w:t>
      </w:r>
      <w:r w:rsidR="00B23C7F" w:rsidRPr="00622B58">
        <w:t>Towards Integrated National Financing Framework</w:t>
      </w:r>
      <w:r w:rsidRPr="00622B58">
        <w:t>’</w:t>
      </w:r>
      <w:r w:rsidR="00941F93" w:rsidRPr="00622B58">
        <w:br/>
      </w:r>
    </w:p>
    <w:p w14:paraId="1B0D55A7" w14:textId="4B68162D" w:rsidR="002E7B91" w:rsidRPr="002E7B91" w:rsidRDefault="00875969" w:rsidP="00941F93">
      <w:pPr>
        <w:pStyle w:val="CoverAuthor"/>
      </w:pPr>
      <w:r w:rsidRPr="002E7B91">
        <w:rPr>
          <w:noProof/>
        </w:rPr>
        <mc:AlternateContent>
          <mc:Choice Requires="wps">
            <w:drawing>
              <wp:anchor distT="45720" distB="45720" distL="114300" distR="114300" simplePos="0" relativeHeight="251657216" behindDoc="0" locked="0" layoutInCell="1" allowOverlap="1" wp14:anchorId="66786E72" wp14:editId="0CB05620">
                <wp:simplePos x="0" y="0"/>
                <wp:positionH relativeFrom="column">
                  <wp:posOffset>3272010</wp:posOffset>
                </wp:positionH>
                <wp:positionV relativeFrom="paragraph">
                  <wp:posOffset>5933218</wp:posOffset>
                </wp:positionV>
                <wp:extent cx="3128790" cy="483335"/>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790" cy="483335"/>
                        </a:xfrm>
                        <a:prstGeom prst="rect">
                          <a:avLst/>
                        </a:prstGeom>
                        <a:noFill/>
                        <a:ln w="9525">
                          <a:noFill/>
                          <a:miter lim="800000"/>
                          <a:headEnd/>
                          <a:tailEnd/>
                        </a:ln>
                      </wps:spPr>
                      <wps:txbx>
                        <w:txbxContent>
                          <w:p w14:paraId="491AD65F" w14:textId="77777777" w:rsidR="00875969" w:rsidRPr="00847F8C" w:rsidRDefault="00875969" w:rsidP="00875969">
                            <w:pPr>
                              <w:jc w:val="right"/>
                              <w:rPr>
                                <w:i/>
                                <w:iCs/>
                              </w:rPr>
                            </w:pPr>
                            <w:permStart w:id="1581469122" w:edGrp="everyone"/>
                            <w:permEnd w:id="158146912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786E72" id="_x0000_t202" coordsize="21600,21600" o:spt="202" path="m,l,21600r21600,l21600,xe">
                <v:stroke joinstyle="miter"/>
                <v:path gradientshapeok="t" o:connecttype="rect"/>
              </v:shapetype>
              <v:shape id="_x0000_s1026" type="#_x0000_t202" style="position:absolute;margin-left:257.65pt;margin-top:467.2pt;width:246.35pt;height:38.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" filled="f" stroked="f">
                <v:textbox>
                  <w:txbxContent>
                    <w:p w14:paraId="491AD65F" w14:textId="77777777" w:rsidR="00875969" w:rsidRPr="00847F8C" w:rsidRDefault="00875969" w:rsidP="00875969">
                      <w:pPr>
                        <w:jc w:val="right"/>
                        <w:rPr>
                          <w:i/>
                          <w:iCs/>
                        </w:rPr>
                      </w:pPr>
                      <w:permStart w:id="1581469122" w:edGrp="everyone"/>
                      <w:permEnd w:id="1581469122"/>
                    </w:p>
                  </w:txbxContent>
                </v:textbox>
              </v:shape>
            </w:pict>
          </mc:Fallback>
        </mc:AlternateContent>
      </w:r>
      <w:r w:rsidR="002E7B91" w:rsidRPr="002E7B91">
        <w:t xml:space="preserve">Report completed on </w:t>
      </w:r>
      <w:r w:rsidR="00441E02">
        <w:t xml:space="preserve">October </w:t>
      </w:r>
      <w:r w:rsidR="00BC380B">
        <w:t>7</w:t>
      </w:r>
      <w:r w:rsidR="00BE0F0E">
        <w:t>, 2025</w:t>
      </w:r>
    </w:p>
    <w:p w14:paraId="627D22B5" w14:textId="783F4486" w:rsidR="00875969" w:rsidRDefault="002E7B91" w:rsidP="00941F93">
      <w:pPr>
        <w:pStyle w:val="CoverAuthor"/>
      </w:pPr>
      <w:r w:rsidRPr="002E7B91">
        <w:t xml:space="preserve">Evaluation conducted by: </w:t>
      </w:r>
      <w:r w:rsidR="00302C47">
        <w:t>Halcyon Louis</w:t>
      </w:r>
    </w:p>
    <w:p w14:paraId="565018B1" w14:textId="77777777" w:rsidR="00941F93" w:rsidRPr="00941F93" w:rsidRDefault="00941F93" w:rsidP="00941F93"/>
    <w:p w14:paraId="664523D4" w14:textId="77777777" w:rsidR="00941F93" w:rsidRDefault="00941F93" w:rsidP="00875969">
      <w:pPr>
        <w:sectPr w:rsidR="00941F93" w:rsidSect="00F666A1">
          <w:pgSz w:w="12240" w:h="15840"/>
          <w:pgMar w:top="1440" w:right="1440" w:bottom="1588" w:left="1440" w:header="720" w:footer="720" w:gutter="0"/>
          <w:pgBorders w:offsetFrom="page">
            <w:top w:val="single" w:sz="24" w:space="24" w:color="009EDB" w:themeColor="accent1"/>
            <w:left w:val="single" w:sz="24" w:space="24" w:color="009EDB" w:themeColor="accent1"/>
            <w:bottom w:val="single" w:sz="24" w:space="24" w:color="009EDB" w:themeColor="accent1"/>
            <w:right w:val="single" w:sz="24" w:space="24" w:color="009EDB" w:themeColor="accent1"/>
          </w:pgBorders>
          <w:cols w:space="720"/>
          <w:docGrid w:linePitch="360"/>
        </w:sectPr>
      </w:pPr>
    </w:p>
    <w:p w14:paraId="7A29580F" w14:textId="015DA1DC" w:rsidR="002E7B91" w:rsidRPr="00F62EB2" w:rsidRDefault="00E700E5" w:rsidP="00F62EB2">
      <w:pPr>
        <w:pStyle w:val="BodyText"/>
      </w:pPr>
      <w:r w:rsidRPr="00F62EB2">
        <w:lastRenderedPageBreak/>
        <w:t xml:space="preserve">Evaluator: </w:t>
      </w:r>
      <w:r w:rsidR="00302C47" w:rsidRPr="00F62EB2">
        <w:t>Halcyon Louis Ph.D</w:t>
      </w:r>
    </w:p>
    <w:p w14:paraId="0E731898" w14:textId="4B5F68D9" w:rsidR="00E700E5" w:rsidRPr="00073115" w:rsidRDefault="00E700E5" w:rsidP="00F62EB2">
      <w:pPr>
        <w:pStyle w:val="BodyText"/>
      </w:pPr>
      <w:r w:rsidRPr="00073115">
        <w:t xml:space="preserve">Evaluation </w:t>
      </w:r>
      <w:r w:rsidR="004361FF" w:rsidRPr="00073115">
        <w:t>Manager</w:t>
      </w:r>
      <w:r w:rsidRPr="00073115">
        <w:t xml:space="preserve">: </w:t>
      </w:r>
      <w:r w:rsidR="00D62920" w:rsidRPr="00073115">
        <w:t>Peter Chowla</w:t>
      </w:r>
      <w:r w:rsidR="00302C47" w:rsidRPr="00073115">
        <w:t xml:space="preserve">, Senior </w:t>
      </w:r>
      <w:r w:rsidR="00D62920" w:rsidRPr="00073115">
        <w:t xml:space="preserve">Economic Affairs </w:t>
      </w:r>
      <w:r w:rsidR="00302C47" w:rsidRPr="00073115">
        <w:t xml:space="preserve">Officer – United Nations (UN) Department of Social and Economic Affairs (DESA), </w:t>
      </w:r>
      <w:r w:rsidR="00073115" w:rsidRPr="00073115">
        <w:t xml:space="preserve">Financing for Sustainable Development Office </w:t>
      </w:r>
      <w:r w:rsidR="00302C47" w:rsidRPr="00073115">
        <w:t>(</w:t>
      </w:r>
      <w:r w:rsidR="00073115" w:rsidRPr="00073115">
        <w:t>FSDO</w:t>
      </w:r>
      <w:r w:rsidR="00302C47" w:rsidRPr="00073115">
        <w:t>)</w:t>
      </w:r>
    </w:p>
    <w:p w14:paraId="2C30F0AE" w14:textId="02F38451" w:rsidR="00E700E5" w:rsidRPr="00073115" w:rsidRDefault="00073115" w:rsidP="00F62EB2">
      <w:pPr>
        <w:pStyle w:val="BodyText"/>
      </w:pPr>
      <w:r w:rsidRPr="00073115">
        <w:t>Economic Analysis and Policy Division (EAPD)</w:t>
      </w:r>
      <w:r w:rsidR="00302C47" w:rsidRPr="00073115">
        <w:t>, UN Department of Economic and Social Affairs (DESA), United Nations, One UN Plaza, DC-1 25TH Floor, New York, NY 10017</w:t>
      </w:r>
    </w:p>
    <w:p w14:paraId="1F518345" w14:textId="093DCD28" w:rsidR="00302C47" w:rsidRDefault="00302C47" w:rsidP="00F62EB2">
      <w:pPr>
        <w:pStyle w:val="BodyText"/>
      </w:pPr>
      <w:r w:rsidRPr="002C73AA">
        <w:t>The evaluator extends a note of appreciation to</w:t>
      </w:r>
      <w:r w:rsidR="000F0FC9" w:rsidRPr="002C73AA">
        <w:t xml:space="preserve">: </w:t>
      </w:r>
      <w:r w:rsidR="00331F16" w:rsidRPr="002C73AA">
        <w:t>the e</w:t>
      </w:r>
      <w:r w:rsidRPr="002C73AA">
        <w:t>valuation</w:t>
      </w:r>
      <w:r w:rsidR="0020730D" w:rsidRPr="002C73AA">
        <w:t xml:space="preserve"> manager</w:t>
      </w:r>
      <w:r w:rsidR="00100611" w:rsidRPr="002C73AA">
        <w:t>, M</w:t>
      </w:r>
      <w:r w:rsidR="0020730D" w:rsidRPr="002C73AA">
        <w:t>r Peter Chowla</w:t>
      </w:r>
      <w:r w:rsidR="00100611" w:rsidRPr="002C73AA">
        <w:t xml:space="preserve">; </w:t>
      </w:r>
      <w:r w:rsidRPr="002C73AA">
        <w:t>the</w:t>
      </w:r>
      <w:r w:rsidR="00100611" w:rsidRPr="002C73AA">
        <w:t xml:space="preserve"> </w:t>
      </w:r>
      <w:r w:rsidR="0020730D" w:rsidRPr="002C73AA">
        <w:t>Pro</w:t>
      </w:r>
      <w:r w:rsidR="00752468" w:rsidRPr="002C73AA">
        <w:t>gramme Management Assistant, Mr George Meladze</w:t>
      </w:r>
      <w:r w:rsidR="00080256" w:rsidRPr="002C73AA">
        <w:t>; the</w:t>
      </w:r>
      <w:r w:rsidR="004E2E4E" w:rsidRPr="002C73AA">
        <w:t xml:space="preserve"> </w:t>
      </w:r>
      <w:r w:rsidR="004E2E4E" w:rsidRPr="002C73AA">
        <w:rPr>
          <w:lang w:eastAsia="en-CA"/>
        </w:rPr>
        <w:t>Interregional Adviser on Financing for Sustainable Development, Ms Resina Katafono</w:t>
      </w:r>
      <w:r w:rsidR="00100611" w:rsidRPr="002C73AA">
        <w:t xml:space="preserve"> </w:t>
      </w:r>
      <w:r w:rsidRPr="002C73AA">
        <w:t xml:space="preserve">and </w:t>
      </w:r>
      <w:r w:rsidR="003822D5">
        <w:t>the</w:t>
      </w:r>
      <w:r w:rsidR="002C73AA" w:rsidRPr="002C73AA">
        <w:t xml:space="preserve"> </w:t>
      </w:r>
      <w:r w:rsidR="00B83D41">
        <w:t xml:space="preserve">many </w:t>
      </w:r>
      <w:r w:rsidR="008D19DD" w:rsidRPr="002C73AA">
        <w:t xml:space="preserve">project </w:t>
      </w:r>
      <w:r w:rsidRPr="002C73AA">
        <w:t>stakeholder</w:t>
      </w:r>
      <w:r w:rsidR="00100611" w:rsidRPr="002C73AA">
        <w:t xml:space="preserve">s who </w:t>
      </w:r>
      <w:r w:rsidRPr="002C73AA">
        <w:t xml:space="preserve">contributed their time and perspectives </w:t>
      </w:r>
      <w:r w:rsidR="002C73AA" w:rsidRPr="002C73AA">
        <w:t xml:space="preserve">during </w:t>
      </w:r>
      <w:r w:rsidRPr="002C73AA">
        <w:t xml:space="preserve">the </w:t>
      </w:r>
      <w:r w:rsidR="00100611" w:rsidRPr="002C73AA">
        <w:t>evaluation</w:t>
      </w:r>
      <w:r w:rsidRPr="002C73AA">
        <w:t>.</w:t>
      </w:r>
    </w:p>
    <w:p w14:paraId="7E61564E" w14:textId="77777777" w:rsidR="00941F93" w:rsidRDefault="00941F93" w:rsidP="00941F93">
      <w:pPr>
        <w:pStyle w:val="BodyText"/>
        <w:rPr>
          <w:rFonts w:ascii="Roboto" w:hAnsi="Roboto"/>
        </w:rPr>
      </w:pPr>
    </w:p>
    <w:p w14:paraId="5D919D18" w14:textId="77777777" w:rsidR="00941F93" w:rsidRDefault="00941F93" w:rsidP="00941F93">
      <w:pPr>
        <w:pStyle w:val="BodyText"/>
        <w:rPr>
          <w:rFonts w:ascii="Roboto" w:hAnsi="Roboto"/>
        </w:rPr>
        <w:sectPr w:rsidR="00941F93" w:rsidSect="00F666A1">
          <w:headerReference w:type="default" r:id="rId12"/>
          <w:footerReference w:type="default" r:id="rId13"/>
          <w:pgSz w:w="12240" w:h="15840" w:code="1"/>
          <w:pgMar w:top="1440" w:right="1440" w:bottom="1588" w:left="1440" w:header="720" w:footer="720" w:gutter="0"/>
          <w:pgNumType w:fmt="lowerRoman"/>
          <w:cols w:space="720"/>
          <w:vAlign w:val="center"/>
          <w:docGrid w:linePitch="360"/>
        </w:sectPr>
      </w:pPr>
    </w:p>
    <w:p w14:paraId="4BF56638" w14:textId="2927FAAF" w:rsidR="002E7B91" w:rsidRPr="00F62EB2" w:rsidRDefault="002E7B91" w:rsidP="00F62EB2">
      <w:pPr>
        <w:pStyle w:val="BodyText"/>
      </w:pPr>
      <w:r w:rsidRPr="00A027D7">
        <w:lastRenderedPageBreak/>
        <w:t>This report was commissioned by the United Nations Department of Economic and Social Affairs (DESA). The</w:t>
      </w:r>
      <w:r w:rsidRPr="00F62EB2">
        <w:t xml:space="preserve"> findings, conclusions and recommendations of this report are those of the external evaluator and do not necessarily reflect the views of the United Nations.</w:t>
      </w:r>
    </w:p>
    <w:p w14:paraId="355B349D" w14:textId="06FE29C1" w:rsidR="002E7B91" w:rsidRPr="00941F93" w:rsidRDefault="002E7B91" w:rsidP="00941F93">
      <w:pPr>
        <w:pStyle w:val="BodyText"/>
      </w:pPr>
    </w:p>
    <w:p w14:paraId="247D2866" w14:textId="77777777" w:rsidR="00875969" w:rsidRPr="00941F93" w:rsidRDefault="00875969" w:rsidP="00941F93">
      <w:pPr>
        <w:pStyle w:val="BodyText"/>
        <w:sectPr w:rsidR="00875969" w:rsidRPr="00941F93" w:rsidSect="00F666A1">
          <w:pgSz w:w="12240" w:h="15840"/>
          <w:pgMar w:top="1440" w:right="1440" w:bottom="1588" w:left="1440" w:header="720" w:footer="720" w:gutter="0"/>
          <w:pgNumType w:fmt="lowerRoman"/>
          <w:cols w:space="720"/>
          <w:docGrid w:linePitch="360"/>
        </w:sectPr>
      </w:pPr>
    </w:p>
    <w:sdt>
      <w:sdtPr>
        <w:rPr>
          <w:b w:val="0"/>
          <w:bCs w:val="0"/>
          <w:color w:val="auto"/>
          <w:sz w:val="22"/>
          <w:szCs w:val="24"/>
          <w:lang w:val="en-GB" w:eastAsia="en-GB"/>
        </w:rPr>
        <w:id w:val="2066131496"/>
        <w:docPartObj>
          <w:docPartGallery w:val="Table of Contents"/>
          <w:docPartUnique/>
        </w:docPartObj>
      </w:sdtPr>
      <w:sdtEndPr>
        <w:rPr>
          <w:noProof/>
          <w:sz w:val="20"/>
          <w:szCs w:val="20"/>
          <w:lang w:eastAsia="zh-CN"/>
        </w:rPr>
      </w:sdtEndPr>
      <w:sdtContent>
        <w:p w14:paraId="788D67E5" w14:textId="51DA44EE" w:rsidR="00354403" w:rsidRDefault="00354403" w:rsidP="00A65CFC">
          <w:pPr>
            <w:pStyle w:val="TOCHeading"/>
            <w:spacing w:before="0"/>
          </w:pPr>
          <w:r w:rsidRPr="00DC04B4">
            <w:t>Table of Contents</w:t>
          </w:r>
        </w:p>
        <w:p w14:paraId="3747215A" w14:textId="6624A3AC" w:rsidR="00DB1A3D" w:rsidRDefault="00354403">
          <w:pPr>
            <w:pStyle w:val="TOC1"/>
            <w:rPr>
              <w:b w:val="0"/>
              <w:noProof/>
              <w:kern w:val="2"/>
              <w:sz w:val="24"/>
              <w:szCs w:val="24"/>
              <w:lang w:val="en-CA" w:eastAsia="en-CA"/>
              <w14:ligatures w14:val="standardContextual"/>
            </w:rPr>
          </w:pPr>
          <w:r>
            <w:fldChar w:fldCharType="begin"/>
          </w:r>
          <w:r>
            <w:instrText xml:space="preserve"> TOC \o "1-</w:instrText>
          </w:r>
          <w:r w:rsidR="000143F8">
            <w:instrText>2</w:instrText>
          </w:r>
          <w:r>
            <w:instrText xml:space="preserve">" \h \z \u </w:instrText>
          </w:r>
          <w:r>
            <w:fldChar w:fldCharType="separate"/>
          </w:r>
          <w:hyperlink w:anchor="_Toc210730304" w:history="1">
            <w:r w:rsidR="00DB1A3D" w:rsidRPr="00A66A1D">
              <w:rPr>
                <w:rStyle w:val="Hyperlink"/>
                <w:noProof/>
              </w:rPr>
              <w:t>Executive summary</w:t>
            </w:r>
            <w:r w:rsidR="00DB1A3D">
              <w:rPr>
                <w:noProof/>
                <w:webHidden/>
              </w:rPr>
              <w:tab/>
            </w:r>
            <w:r w:rsidR="00DB1A3D">
              <w:rPr>
                <w:noProof/>
                <w:webHidden/>
              </w:rPr>
              <w:fldChar w:fldCharType="begin"/>
            </w:r>
            <w:r w:rsidR="00DB1A3D">
              <w:rPr>
                <w:noProof/>
                <w:webHidden/>
              </w:rPr>
              <w:instrText xml:space="preserve"> PAGEREF _Toc210730304 \h </w:instrText>
            </w:r>
            <w:r w:rsidR="00DB1A3D">
              <w:rPr>
                <w:noProof/>
                <w:webHidden/>
              </w:rPr>
            </w:r>
            <w:r w:rsidR="00DB1A3D">
              <w:rPr>
                <w:noProof/>
                <w:webHidden/>
              </w:rPr>
              <w:fldChar w:fldCharType="separate"/>
            </w:r>
            <w:r w:rsidR="00DB1A3D">
              <w:rPr>
                <w:noProof/>
                <w:webHidden/>
              </w:rPr>
              <w:t>8</w:t>
            </w:r>
            <w:r w:rsidR="00DB1A3D">
              <w:rPr>
                <w:noProof/>
                <w:webHidden/>
              </w:rPr>
              <w:fldChar w:fldCharType="end"/>
            </w:r>
          </w:hyperlink>
        </w:p>
        <w:p w14:paraId="3ED74107" w14:textId="15829D33" w:rsidR="00DB1A3D" w:rsidRDefault="00DB1A3D">
          <w:pPr>
            <w:pStyle w:val="TOC1"/>
            <w:tabs>
              <w:tab w:val="left" w:pos="448"/>
            </w:tabs>
            <w:rPr>
              <w:b w:val="0"/>
              <w:noProof/>
              <w:kern w:val="2"/>
              <w:sz w:val="24"/>
              <w:szCs w:val="24"/>
              <w:lang w:val="en-CA" w:eastAsia="en-CA"/>
              <w14:ligatures w14:val="standardContextual"/>
            </w:rPr>
          </w:pPr>
          <w:hyperlink w:anchor="_Toc210730305" w:history="1">
            <w:r w:rsidRPr="00A66A1D">
              <w:rPr>
                <w:rStyle w:val="Hyperlink"/>
                <w:noProof/>
              </w:rPr>
              <w:t>1.</w:t>
            </w:r>
            <w:r>
              <w:rPr>
                <w:b w:val="0"/>
                <w:noProof/>
                <w:kern w:val="2"/>
                <w:sz w:val="24"/>
                <w:szCs w:val="24"/>
                <w:lang w:val="en-CA" w:eastAsia="en-CA"/>
                <w14:ligatures w14:val="standardContextual"/>
              </w:rPr>
              <w:tab/>
            </w:r>
            <w:r w:rsidRPr="00A66A1D">
              <w:rPr>
                <w:rStyle w:val="Hyperlink"/>
                <w:noProof/>
              </w:rPr>
              <w:t>Introduction</w:t>
            </w:r>
            <w:r>
              <w:rPr>
                <w:noProof/>
                <w:webHidden/>
              </w:rPr>
              <w:tab/>
            </w:r>
            <w:r>
              <w:rPr>
                <w:noProof/>
                <w:webHidden/>
              </w:rPr>
              <w:fldChar w:fldCharType="begin"/>
            </w:r>
            <w:r>
              <w:rPr>
                <w:noProof/>
                <w:webHidden/>
              </w:rPr>
              <w:instrText xml:space="preserve"> PAGEREF _Toc210730305 \h </w:instrText>
            </w:r>
            <w:r>
              <w:rPr>
                <w:noProof/>
                <w:webHidden/>
              </w:rPr>
            </w:r>
            <w:r>
              <w:rPr>
                <w:noProof/>
                <w:webHidden/>
              </w:rPr>
              <w:fldChar w:fldCharType="separate"/>
            </w:r>
            <w:r>
              <w:rPr>
                <w:noProof/>
                <w:webHidden/>
              </w:rPr>
              <w:t>11</w:t>
            </w:r>
            <w:r>
              <w:rPr>
                <w:noProof/>
                <w:webHidden/>
              </w:rPr>
              <w:fldChar w:fldCharType="end"/>
            </w:r>
          </w:hyperlink>
        </w:p>
        <w:p w14:paraId="62E68062" w14:textId="6BC06BFB" w:rsidR="00DB1A3D" w:rsidRDefault="00DB1A3D">
          <w:pPr>
            <w:pStyle w:val="TOC1"/>
            <w:tabs>
              <w:tab w:val="left" w:pos="448"/>
            </w:tabs>
            <w:rPr>
              <w:b w:val="0"/>
              <w:noProof/>
              <w:kern w:val="2"/>
              <w:sz w:val="24"/>
              <w:szCs w:val="24"/>
              <w:lang w:val="en-CA" w:eastAsia="en-CA"/>
              <w14:ligatures w14:val="standardContextual"/>
            </w:rPr>
          </w:pPr>
          <w:hyperlink w:anchor="_Toc210730306" w:history="1">
            <w:r w:rsidRPr="00A66A1D">
              <w:rPr>
                <w:rStyle w:val="Hyperlink"/>
                <w:noProof/>
              </w:rPr>
              <w:t>2.</w:t>
            </w:r>
            <w:r>
              <w:rPr>
                <w:b w:val="0"/>
                <w:noProof/>
                <w:kern w:val="2"/>
                <w:sz w:val="24"/>
                <w:szCs w:val="24"/>
                <w:lang w:val="en-CA" w:eastAsia="en-CA"/>
                <w14:ligatures w14:val="standardContextual"/>
              </w:rPr>
              <w:tab/>
            </w:r>
            <w:r w:rsidRPr="00A66A1D">
              <w:rPr>
                <w:rStyle w:val="Hyperlink"/>
                <w:noProof/>
              </w:rPr>
              <w:t>Description of the Project</w:t>
            </w:r>
            <w:r>
              <w:rPr>
                <w:noProof/>
                <w:webHidden/>
              </w:rPr>
              <w:tab/>
            </w:r>
            <w:r>
              <w:rPr>
                <w:noProof/>
                <w:webHidden/>
              </w:rPr>
              <w:fldChar w:fldCharType="begin"/>
            </w:r>
            <w:r>
              <w:rPr>
                <w:noProof/>
                <w:webHidden/>
              </w:rPr>
              <w:instrText xml:space="preserve"> PAGEREF _Toc210730306 \h </w:instrText>
            </w:r>
            <w:r>
              <w:rPr>
                <w:noProof/>
                <w:webHidden/>
              </w:rPr>
            </w:r>
            <w:r>
              <w:rPr>
                <w:noProof/>
                <w:webHidden/>
              </w:rPr>
              <w:fldChar w:fldCharType="separate"/>
            </w:r>
            <w:r>
              <w:rPr>
                <w:noProof/>
                <w:webHidden/>
              </w:rPr>
              <w:t>12</w:t>
            </w:r>
            <w:r>
              <w:rPr>
                <w:noProof/>
                <w:webHidden/>
              </w:rPr>
              <w:fldChar w:fldCharType="end"/>
            </w:r>
          </w:hyperlink>
        </w:p>
        <w:p w14:paraId="3FD81D72" w14:textId="7AD1D6E3" w:rsidR="00DB1A3D" w:rsidRDefault="00DB1A3D">
          <w:pPr>
            <w:pStyle w:val="TOC2"/>
            <w:rPr>
              <w:sz w:val="24"/>
              <w:lang w:eastAsia="en-CA"/>
            </w:rPr>
          </w:pPr>
          <w:hyperlink w:anchor="_Toc210730307" w:history="1">
            <w:r w:rsidRPr="00A66A1D">
              <w:rPr>
                <w:rStyle w:val="Hyperlink"/>
              </w:rPr>
              <w:t>2.1</w:t>
            </w:r>
            <w:r>
              <w:rPr>
                <w:sz w:val="24"/>
                <w:lang w:eastAsia="en-CA"/>
              </w:rPr>
              <w:tab/>
            </w:r>
            <w:r w:rsidRPr="00A66A1D">
              <w:rPr>
                <w:rStyle w:val="Hyperlink"/>
              </w:rPr>
              <w:t>Background</w:t>
            </w:r>
            <w:r>
              <w:rPr>
                <w:webHidden/>
              </w:rPr>
              <w:tab/>
            </w:r>
            <w:r>
              <w:rPr>
                <w:webHidden/>
              </w:rPr>
              <w:fldChar w:fldCharType="begin"/>
            </w:r>
            <w:r>
              <w:rPr>
                <w:webHidden/>
              </w:rPr>
              <w:instrText xml:space="preserve"> PAGEREF _Toc210730307 \h </w:instrText>
            </w:r>
            <w:r>
              <w:rPr>
                <w:webHidden/>
              </w:rPr>
            </w:r>
            <w:r>
              <w:rPr>
                <w:webHidden/>
              </w:rPr>
              <w:fldChar w:fldCharType="separate"/>
            </w:r>
            <w:r>
              <w:rPr>
                <w:webHidden/>
              </w:rPr>
              <w:t>12</w:t>
            </w:r>
            <w:r>
              <w:rPr>
                <w:webHidden/>
              </w:rPr>
              <w:fldChar w:fldCharType="end"/>
            </w:r>
          </w:hyperlink>
        </w:p>
        <w:p w14:paraId="60EE8331" w14:textId="760E346B" w:rsidR="00DB1A3D" w:rsidRDefault="00DB1A3D">
          <w:pPr>
            <w:pStyle w:val="TOC2"/>
            <w:rPr>
              <w:sz w:val="24"/>
              <w:lang w:eastAsia="en-CA"/>
            </w:rPr>
          </w:pPr>
          <w:hyperlink w:anchor="_Toc210730308" w:history="1">
            <w:r w:rsidRPr="00A66A1D">
              <w:rPr>
                <w:rStyle w:val="Hyperlink"/>
              </w:rPr>
              <w:t>2.2</w:t>
            </w:r>
            <w:r>
              <w:rPr>
                <w:sz w:val="24"/>
                <w:lang w:eastAsia="en-CA"/>
              </w:rPr>
              <w:tab/>
            </w:r>
            <w:r w:rsidRPr="00A66A1D">
              <w:rPr>
                <w:rStyle w:val="Hyperlink"/>
              </w:rPr>
              <w:t>Project objectives and outcomes/results</w:t>
            </w:r>
            <w:r>
              <w:rPr>
                <w:webHidden/>
              </w:rPr>
              <w:tab/>
            </w:r>
            <w:r>
              <w:rPr>
                <w:webHidden/>
              </w:rPr>
              <w:fldChar w:fldCharType="begin"/>
            </w:r>
            <w:r>
              <w:rPr>
                <w:webHidden/>
              </w:rPr>
              <w:instrText xml:space="preserve"> PAGEREF _Toc210730308 \h </w:instrText>
            </w:r>
            <w:r>
              <w:rPr>
                <w:webHidden/>
              </w:rPr>
            </w:r>
            <w:r>
              <w:rPr>
                <w:webHidden/>
              </w:rPr>
              <w:fldChar w:fldCharType="separate"/>
            </w:r>
            <w:r>
              <w:rPr>
                <w:webHidden/>
              </w:rPr>
              <w:t>17</w:t>
            </w:r>
            <w:r>
              <w:rPr>
                <w:webHidden/>
              </w:rPr>
              <w:fldChar w:fldCharType="end"/>
            </w:r>
          </w:hyperlink>
        </w:p>
        <w:p w14:paraId="392BD467" w14:textId="3D576568" w:rsidR="00DB1A3D" w:rsidRDefault="00DB1A3D">
          <w:pPr>
            <w:pStyle w:val="TOC2"/>
            <w:rPr>
              <w:sz w:val="24"/>
              <w:lang w:eastAsia="en-CA"/>
            </w:rPr>
          </w:pPr>
          <w:hyperlink w:anchor="_Toc210730309" w:history="1">
            <w:r w:rsidRPr="00A66A1D">
              <w:rPr>
                <w:rStyle w:val="Hyperlink"/>
              </w:rPr>
              <w:t>2.3</w:t>
            </w:r>
            <w:r>
              <w:rPr>
                <w:sz w:val="24"/>
                <w:lang w:eastAsia="en-CA"/>
              </w:rPr>
              <w:tab/>
            </w:r>
            <w:r w:rsidRPr="00A66A1D">
              <w:rPr>
                <w:rStyle w:val="Hyperlink"/>
              </w:rPr>
              <w:t>Project strategies and key activities</w:t>
            </w:r>
            <w:r>
              <w:rPr>
                <w:webHidden/>
              </w:rPr>
              <w:tab/>
            </w:r>
            <w:r>
              <w:rPr>
                <w:webHidden/>
              </w:rPr>
              <w:fldChar w:fldCharType="begin"/>
            </w:r>
            <w:r>
              <w:rPr>
                <w:webHidden/>
              </w:rPr>
              <w:instrText xml:space="preserve"> PAGEREF _Toc210730309 \h </w:instrText>
            </w:r>
            <w:r>
              <w:rPr>
                <w:webHidden/>
              </w:rPr>
            </w:r>
            <w:r>
              <w:rPr>
                <w:webHidden/>
              </w:rPr>
              <w:fldChar w:fldCharType="separate"/>
            </w:r>
            <w:r>
              <w:rPr>
                <w:webHidden/>
              </w:rPr>
              <w:t>18</w:t>
            </w:r>
            <w:r>
              <w:rPr>
                <w:webHidden/>
              </w:rPr>
              <w:fldChar w:fldCharType="end"/>
            </w:r>
          </w:hyperlink>
        </w:p>
        <w:p w14:paraId="618058F2" w14:textId="35AF761E" w:rsidR="00DB1A3D" w:rsidRDefault="00DB1A3D">
          <w:pPr>
            <w:pStyle w:val="TOC2"/>
            <w:rPr>
              <w:sz w:val="24"/>
              <w:lang w:eastAsia="en-CA"/>
            </w:rPr>
          </w:pPr>
          <w:hyperlink w:anchor="_Toc210730310" w:history="1">
            <w:r w:rsidRPr="00A66A1D">
              <w:rPr>
                <w:rStyle w:val="Hyperlink"/>
              </w:rPr>
              <w:t>2.4</w:t>
            </w:r>
            <w:r>
              <w:rPr>
                <w:sz w:val="24"/>
                <w:lang w:eastAsia="en-CA"/>
              </w:rPr>
              <w:tab/>
            </w:r>
            <w:r w:rsidRPr="00A66A1D">
              <w:rPr>
                <w:rStyle w:val="Hyperlink"/>
              </w:rPr>
              <w:t>Target countries and beneficiaries</w:t>
            </w:r>
            <w:r>
              <w:rPr>
                <w:webHidden/>
              </w:rPr>
              <w:tab/>
            </w:r>
            <w:r>
              <w:rPr>
                <w:webHidden/>
              </w:rPr>
              <w:fldChar w:fldCharType="begin"/>
            </w:r>
            <w:r>
              <w:rPr>
                <w:webHidden/>
              </w:rPr>
              <w:instrText xml:space="preserve"> PAGEREF _Toc210730310 \h </w:instrText>
            </w:r>
            <w:r>
              <w:rPr>
                <w:webHidden/>
              </w:rPr>
            </w:r>
            <w:r>
              <w:rPr>
                <w:webHidden/>
              </w:rPr>
              <w:fldChar w:fldCharType="separate"/>
            </w:r>
            <w:r>
              <w:rPr>
                <w:webHidden/>
              </w:rPr>
              <w:t>20</w:t>
            </w:r>
            <w:r>
              <w:rPr>
                <w:webHidden/>
              </w:rPr>
              <w:fldChar w:fldCharType="end"/>
            </w:r>
          </w:hyperlink>
        </w:p>
        <w:p w14:paraId="13E11A7A" w14:textId="3D84AC8D" w:rsidR="00DB1A3D" w:rsidRDefault="00DB1A3D">
          <w:pPr>
            <w:pStyle w:val="TOC2"/>
            <w:rPr>
              <w:sz w:val="24"/>
              <w:lang w:eastAsia="en-CA"/>
            </w:rPr>
          </w:pPr>
          <w:hyperlink w:anchor="_Toc210730311" w:history="1">
            <w:r w:rsidRPr="00A66A1D">
              <w:rPr>
                <w:rStyle w:val="Hyperlink"/>
              </w:rPr>
              <w:t>2.5</w:t>
            </w:r>
            <w:r>
              <w:rPr>
                <w:sz w:val="24"/>
                <w:lang w:eastAsia="en-CA"/>
              </w:rPr>
              <w:tab/>
            </w:r>
            <w:r w:rsidRPr="00A66A1D">
              <w:rPr>
                <w:rStyle w:val="Hyperlink"/>
              </w:rPr>
              <w:t>Key partners and other key stakeholders</w:t>
            </w:r>
            <w:r>
              <w:rPr>
                <w:webHidden/>
              </w:rPr>
              <w:tab/>
            </w:r>
            <w:r>
              <w:rPr>
                <w:webHidden/>
              </w:rPr>
              <w:fldChar w:fldCharType="begin"/>
            </w:r>
            <w:r>
              <w:rPr>
                <w:webHidden/>
              </w:rPr>
              <w:instrText xml:space="preserve"> PAGEREF _Toc210730311 \h </w:instrText>
            </w:r>
            <w:r>
              <w:rPr>
                <w:webHidden/>
              </w:rPr>
            </w:r>
            <w:r>
              <w:rPr>
                <w:webHidden/>
              </w:rPr>
              <w:fldChar w:fldCharType="separate"/>
            </w:r>
            <w:r>
              <w:rPr>
                <w:webHidden/>
              </w:rPr>
              <w:t>21</w:t>
            </w:r>
            <w:r>
              <w:rPr>
                <w:webHidden/>
              </w:rPr>
              <w:fldChar w:fldCharType="end"/>
            </w:r>
          </w:hyperlink>
        </w:p>
        <w:p w14:paraId="3DC176A3" w14:textId="12CB3547" w:rsidR="00DB1A3D" w:rsidRDefault="00DB1A3D">
          <w:pPr>
            <w:pStyle w:val="TOC2"/>
            <w:rPr>
              <w:sz w:val="24"/>
              <w:lang w:eastAsia="en-CA"/>
            </w:rPr>
          </w:pPr>
          <w:hyperlink w:anchor="_Toc210730312" w:history="1">
            <w:r w:rsidRPr="00A66A1D">
              <w:rPr>
                <w:rStyle w:val="Hyperlink"/>
              </w:rPr>
              <w:t>Resources</w:t>
            </w:r>
            <w:r>
              <w:rPr>
                <w:webHidden/>
              </w:rPr>
              <w:tab/>
            </w:r>
            <w:r>
              <w:rPr>
                <w:webHidden/>
              </w:rPr>
              <w:fldChar w:fldCharType="begin"/>
            </w:r>
            <w:r>
              <w:rPr>
                <w:webHidden/>
              </w:rPr>
              <w:instrText xml:space="preserve"> PAGEREF _Toc210730312 \h </w:instrText>
            </w:r>
            <w:r>
              <w:rPr>
                <w:webHidden/>
              </w:rPr>
            </w:r>
            <w:r>
              <w:rPr>
                <w:webHidden/>
              </w:rPr>
              <w:fldChar w:fldCharType="separate"/>
            </w:r>
            <w:r>
              <w:rPr>
                <w:webHidden/>
              </w:rPr>
              <w:t>21</w:t>
            </w:r>
            <w:r>
              <w:rPr>
                <w:webHidden/>
              </w:rPr>
              <w:fldChar w:fldCharType="end"/>
            </w:r>
          </w:hyperlink>
        </w:p>
        <w:p w14:paraId="41F12D85" w14:textId="3B7FC85E" w:rsidR="00DB1A3D" w:rsidRDefault="00DB1A3D">
          <w:pPr>
            <w:pStyle w:val="TOC2"/>
            <w:rPr>
              <w:sz w:val="24"/>
              <w:lang w:eastAsia="en-CA"/>
            </w:rPr>
          </w:pPr>
          <w:hyperlink w:anchor="_Toc210730313" w:history="1">
            <w:r w:rsidRPr="00A66A1D">
              <w:rPr>
                <w:rStyle w:val="Hyperlink"/>
              </w:rPr>
              <w:t>2.6</w:t>
            </w:r>
            <w:r>
              <w:rPr>
                <w:sz w:val="24"/>
                <w:lang w:eastAsia="en-CA"/>
              </w:rPr>
              <w:tab/>
            </w:r>
            <w:r w:rsidRPr="00A66A1D">
              <w:rPr>
                <w:rStyle w:val="Hyperlink"/>
              </w:rPr>
              <w:t>Link to the Sustainable Development Goals (SDGs)</w:t>
            </w:r>
            <w:r>
              <w:rPr>
                <w:webHidden/>
              </w:rPr>
              <w:tab/>
            </w:r>
            <w:r>
              <w:rPr>
                <w:webHidden/>
              </w:rPr>
              <w:fldChar w:fldCharType="begin"/>
            </w:r>
            <w:r>
              <w:rPr>
                <w:webHidden/>
              </w:rPr>
              <w:instrText xml:space="preserve"> PAGEREF _Toc210730313 \h </w:instrText>
            </w:r>
            <w:r>
              <w:rPr>
                <w:webHidden/>
              </w:rPr>
            </w:r>
            <w:r>
              <w:rPr>
                <w:webHidden/>
              </w:rPr>
              <w:fldChar w:fldCharType="separate"/>
            </w:r>
            <w:r>
              <w:rPr>
                <w:webHidden/>
              </w:rPr>
              <w:t>23</w:t>
            </w:r>
            <w:r>
              <w:rPr>
                <w:webHidden/>
              </w:rPr>
              <w:fldChar w:fldCharType="end"/>
            </w:r>
          </w:hyperlink>
        </w:p>
        <w:p w14:paraId="5C6C2D24" w14:textId="3B51A0FC" w:rsidR="00DB1A3D" w:rsidRDefault="00DB1A3D">
          <w:pPr>
            <w:pStyle w:val="TOC2"/>
            <w:rPr>
              <w:sz w:val="24"/>
              <w:lang w:eastAsia="en-CA"/>
            </w:rPr>
          </w:pPr>
          <w:hyperlink w:anchor="_Toc210730314" w:history="1">
            <w:r w:rsidRPr="00A66A1D">
              <w:rPr>
                <w:rStyle w:val="Hyperlink"/>
              </w:rPr>
              <w:t>2.7</w:t>
            </w:r>
            <w:r>
              <w:rPr>
                <w:sz w:val="24"/>
                <w:lang w:eastAsia="en-CA"/>
              </w:rPr>
              <w:tab/>
            </w:r>
            <w:r w:rsidRPr="00A66A1D">
              <w:rPr>
                <w:rStyle w:val="Hyperlink"/>
              </w:rPr>
              <w:t>Innovative elements</w:t>
            </w:r>
            <w:r>
              <w:rPr>
                <w:webHidden/>
              </w:rPr>
              <w:tab/>
            </w:r>
            <w:r>
              <w:rPr>
                <w:webHidden/>
              </w:rPr>
              <w:fldChar w:fldCharType="begin"/>
            </w:r>
            <w:r>
              <w:rPr>
                <w:webHidden/>
              </w:rPr>
              <w:instrText xml:space="preserve"> PAGEREF _Toc210730314 \h </w:instrText>
            </w:r>
            <w:r>
              <w:rPr>
                <w:webHidden/>
              </w:rPr>
            </w:r>
            <w:r>
              <w:rPr>
                <w:webHidden/>
              </w:rPr>
              <w:fldChar w:fldCharType="separate"/>
            </w:r>
            <w:r>
              <w:rPr>
                <w:webHidden/>
              </w:rPr>
              <w:t>24</w:t>
            </w:r>
            <w:r>
              <w:rPr>
                <w:webHidden/>
              </w:rPr>
              <w:fldChar w:fldCharType="end"/>
            </w:r>
          </w:hyperlink>
        </w:p>
        <w:p w14:paraId="3D0CB883" w14:textId="364B2D68" w:rsidR="00DB1A3D" w:rsidRDefault="00DB1A3D">
          <w:pPr>
            <w:pStyle w:val="TOC1"/>
            <w:tabs>
              <w:tab w:val="left" w:pos="448"/>
            </w:tabs>
            <w:rPr>
              <w:b w:val="0"/>
              <w:noProof/>
              <w:kern w:val="2"/>
              <w:sz w:val="24"/>
              <w:szCs w:val="24"/>
              <w:lang w:val="en-CA" w:eastAsia="en-CA"/>
              <w14:ligatures w14:val="standardContextual"/>
            </w:rPr>
          </w:pPr>
          <w:hyperlink w:anchor="_Toc210730315" w:history="1">
            <w:r w:rsidRPr="00A66A1D">
              <w:rPr>
                <w:rStyle w:val="Hyperlink"/>
                <w:noProof/>
              </w:rPr>
              <w:t>3.</w:t>
            </w:r>
            <w:r>
              <w:rPr>
                <w:b w:val="0"/>
                <w:noProof/>
                <w:kern w:val="2"/>
                <w:sz w:val="24"/>
                <w:szCs w:val="24"/>
                <w:lang w:val="en-CA" w:eastAsia="en-CA"/>
                <w14:ligatures w14:val="standardContextual"/>
              </w:rPr>
              <w:tab/>
            </w:r>
            <w:r w:rsidRPr="00A66A1D">
              <w:rPr>
                <w:rStyle w:val="Hyperlink"/>
                <w:noProof/>
              </w:rPr>
              <w:t>Evaluation objectives, scope and questions</w:t>
            </w:r>
            <w:r>
              <w:rPr>
                <w:noProof/>
                <w:webHidden/>
              </w:rPr>
              <w:tab/>
            </w:r>
            <w:r>
              <w:rPr>
                <w:noProof/>
                <w:webHidden/>
              </w:rPr>
              <w:fldChar w:fldCharType="begin"/>
            </w:r>
            <w:r>
              <w:rPr>
                <w:noProof/>
                <w:webHidden/>
              </w:rPr>
              <w:instrText xml:space="preserve"> PAGEREF _Toc210730315 \h </w:instrText>
            </w:r>
            <w:r>
              <w:rPr>
                <w:noProof/>
                <w:webHidden/>
              </w:rPr>
            </w:r>
            <w:r>
              <w:rPr>
                <w:noProof/>
                <w:webHidden/>
              </w:rPr>
              <w:fldChar w:fldCharType="separate"/>
            </w:r>
            <w:r>
              <w:rPr>
                <w:noProof/>
                <w:webHidden/>
              </w:rPr>
              <w:t>25</w:t>
            </w:r>
            <w:r>
              <w:rPr>
                <w:noProof/>
                <w:webHidden/>
              </w:rPr>
              <w:fldChar w:fldCharType="end"/>
            </w:r>
          </w:hyperlink>
        </w:p>
        <w:p w14:paraId="2C0F4BCA" w14:textId="5D301B9A" w:rsidR="00DB1A3D" w:rsidRDefault="00DB1A3D">
          <w:pPr>
            <w:pStyle w:val="TOC2"/>
            <w:rPr>
              <w:sz w:val="24"/>
              <w:lang w:eastAsia="en-CA"/>
            </w:rPr>
          </w:pPr>
          <w:hyperlink w:anchor="_Toc210730316" w:history="1">
            <w:r w:rsidRPr="00A66A1D">
              <w:rPr>
                <w:rStyle w:val="Hyperlink"/>
              </w:rPr>
              <w:t>3.1</w:t>
            </w:r>
            <w:r>
              <w:rPr>
                <w:sz w:val="24"/>
                <w:lang w:eastAsia="en-CA"/>
              </w:rPr>
              <w:tab/>
            </w:r>
            <w:r w:rsidRPr="00A66A1D">
              <w:rPr>
                <w:rStyle w:val="Hyperlink"/>
              </w:rPr>
              <w:t>Purpose and objectives</w:t>
            </w:r>
            <w:r>
              <w:rPr>
                <w:webHidden/>
              </w:rPr>
              <w:tab/>
            </w:r>
            <w:r>
              <w:rPr>
                <w:webHidden/>
              </w:rPr>
              <w:fldChar w:fldCharType="begin"/>
            </w:r>
            <w:r>
              <w:rPr>
                <w:webHidden/>
              </w:rPr>
              <w:instrText xml:space="preserve"> PAGEREF _Toc210730316 \h </w:instrText>
            </w:r>
            <w:r>
              <w:rPr>
                <w:webHidden/>
              </w:rPr>
            </w:r>
            <w:r>
              <w:rPr>
                <w:webHidden/>
              </w:rPr>
              <w:fldChar w:fldCharType="separate"/>
            </w:r>
            <w:r>
              <w:rPr>
                <w:webHidden/>
              </w:rPr>
              <w:t>25</w:t>
            </w:r>
            <w:r>
              <w:rPr>
                <w:webHidden/>
              </w:rPr>
              <w:fldChar w:fldCharType="end"/>
            </w:r>
          </w:hyperlink>
        </w:p>
        <w:p w14:paraId="61DB41D3" w14:textId="220E6631" w:rsidR="00DB1A3D" w:rsidRDefault="00DB1A3D">
          <w:pPr>
            <w:pStyle w:val="TOC2"/>
            <w:rPr>
              <w:sz w:val="24"/>
              <w:lang w:eastAsia="en-CA"/>
            </w:rPr>
          </w:pPr>
          <w:hyperlink w:anchor="_Toc210730317" w:history="1">
            <w:r w:rsidRPr="00A66A1D">
              <w:rPr>
                <w:rStyle w:val="Hyperlink"/>
              </w:rPr>
              <w:t>3.2</w:t>
            </w:r>
            <w:r>
              <w:rPr>
                <w:sz w:val="24"/>
                <w:lang w:eastAsia="en-CA"/>
              </w:rPr>
              <w:tab/>
            </w:r>
            <w:r w:rsidRPr="00A66A1D">
              <w:rPr>
                <w:rStyle w:val="Hyperlink"/>
              </w:rPr>
              <w:t>Evaluation scope, criteria and questions</w:t>
            </w:r>
            <w:r>
              <w:rPr>
                <w:webHidden/>
              </w:rPr>
              <w:tab/>
            </w:r>
            <w:r>
              <w:rPr>
                <w:webHidden/>
              </w:rPr>
              <w:fldChar w:fldCharType="begin"/>
            </w:r>
            <w:r>
              <w:rPr>
                <w:webHidden/>
              </w:rPr>
              <w:instrText xml:space="preserve"> PAGEREF _Toc210730317 \h </w:instrText>
            </w:r>
            <w:r>
              <w:rPr>
                <w:webHidden/>
              </w:rPr>
            </w:r>
            <w:r>
              <w:rPr>
                <w:webHidden/>
              </w:rPr>
              <w:fldChar w:fldCharType="separate"/>
            </w:r>
            <w:r>
              <w:rPr>
                <w:webHidden/>
              </w:rPr>
              <w:t>25</w:t>
            </w:r>
            <w:r>
              <w:rPr>
                <w:webHidden/>
              </w:rPr>
              <w:fldChar w:fldCharType="end"/>
            </w:r>
          </w:hyperlink>
        </w:p>
        <w:p w14:paraId="33791365" w14:textId="655276CE" w:rsidR="00DB1A3D" w:rsidRDefault="00DB1A3D">
          <w:pPr>
            <w:pStyle w:val="TOC1"/>
            <w:tabs>
              <w:tab w:val="left" w:pos="448"/>
            </w:tabs>
            <w:rPr>
              <w:b w:val="0"/>
              <w:noProof/>
              <w:kern w:val="2"/>
              <w:sz w:val="24"/>
              <w:szCs w:val="24"/>
              <w:lang w:val="en-CA" w:eastAsia="en-CA"/>
              <w14:ligatures w14:val="standardContextual"/>
            </w:rPr>
          </w:pPr>
          <w:hyperlink w:anchor="_Toc210730318" w:history="1">
            <w:r w:rsidRPr="00A66A1D">
              <w:rPr>
                <w:rStyle w:val="Hyperlink"/>
                <w:noProof/>
              </w:rPr>
              <w:t>4.</w:t>
            </w:r>
            <w:r>
              <w:rPr>
                <w:b w:val="0"/>
                <w:noProof/>
                <w:kern w:val="2"/>
                <w:sz w:val="24"/>
                <w:szCs w:val="24"/>
                <w:lang w:val="en-CA" w:eastAsia="en-CA"/>
                <w14:ligatures w14:val="standardContextual"/>
              </w:rPr>
              <w:tab/>
            </w:r>
            <w:r w:rsidRPr="00A66A1D">
              <w:rPr>
                <w:rStyle w:val="Hyperlink"/>
                <w:noProof/>
              </w:rPr>
              <w:t>Methodology</w:t>
            </w:r>
            <w:r>
              <w:rPr>
                <w:noProof/>
                <w:webHidden/>
              </w:rPr>
              <w:tab/>
            </w:r>
            <w:r>
              <w:rPr>
                <w:noProof/>
                <w:webHidden/>
              </w:rPr>
              <w:fldChar w:fldCharType="begin"/>
            </w:r>
            <w:r>
              <w:rPr>
                <w:noProof/>
                <w:webHidden/>
              </w:rPr>
              <w:instrText xml:space="preserve"> PAGEREF _Toc210730318 \h </w:instrText>
            </w:r>
            <w:r>
              <w:rPr>
                <w:noProof/>
                <w:webHidden/>
              </w:rPr>
            </w:r>
            <w:r>
              <w:rPr>
                <w:noProof/>
                <w:webHidden/>
              </w:rPr>
              <w:fldChar w:fldCharType="separate"/>
            </w:r>
            <w:r>
              <w:rPr>
                <w:noProof/>
                <w:webHidden/>
              </w:rPr>
              <w:t>26</w:t>
            </w:r>
            <w:r>
              <w:rPr>
                <w:noProof/>
                <w:webHidden/>
              </w:rPr>
              <w:fldChar w:fldCharType="end"/>
            </w:r>
          </w:hyperlink>
        </w:p>
        <w:p w14:paraId="46E9D811" w14:textId="7400D0CE" w:rsidR="00DB1A3D" w:rsidRDefault="00DB1A3D">
          <w:pPr>
            <w:pStyle w:val="TOC2"/>
            <w:rPr>
              <w:sz w:val="24"/>
              <w:lang w:eastAsia="en-CA"/>
            </w:rPr>
          </w:pPr>
          <w:hyperlink w:anchor="_Toc210730319" w:history="1">
            <w:r w:rsidRPr="00A66A1D">
              <w:rPr>
                <w:rStyle w:val="Hyperlink"/>
              </w:rPr>
              <w:t>4.1</w:t>
            </w:r>
            <w:r>
              <w:rPr>
                <w:sz w:val="24"/>
                <w:lang w:eastAsia="en-CA"/>
              </w:rPr>
              <w:tab/>
            </w:r>
            <w:r w:rsidRPr="00A66A1D">
              <w:rPr>
                <w:rStyle w:val="Hyperlink"/>
              </w:rPr>
              <w:t>Technical approach</w:t>
            </w:r>
            <w:r>
              <w:rPr>
                <w:webHidden/>
              </w:rPr>
              <w:tab/>
            </w:r>
            <w:r>
              <w:rPr>
                <w:webHidden/>
              </w:rPr>
              <w:fldChar w:fldCharType="begin"/>
            </w:r>
            <w:r>
              <w:rPr>
                <w:webHidden/>
              </w:rPr>
              <w:instrText xml:space="preserve"> PAGEREF _Toc210730319 \h </w:instrText>
            </w:r>
            <w:r>
              <w:rPr>
                <w:webHidden/>
              </w:rPr>
            </w:r>
            <w:r>
              <w:rPr>
                <w:webHidden/>
              </w:rPr>
              <w:fldChar w:fldCharType="separate"/>
            </w:r>
            <w:r>
              <w:rPr>
                <w:webHidden/>
              </w:rPr>
              <w:t>26</w:t>
            </w:r>
            <w:r>
              <w:rPr>
                <w:webHidden/>
              </w:rPr>
              <w:fldChar w:fldCharType="end"/>
            </w:r>
          </w:hyperlink>
        </w:p>
        <w:p w14:paraId="1412DDDE" w14:textId="59743996" w:rsidR="00DB1A3D" w:rsidRDefault="00DB1A3D">
          <w:pPr>
            <w:pStyle w:val="TOC2"/>
            <w:rPr>
              <w:sz w:val="24"/>
              <w:lang w:eastAsia="en-CA"/>
            </w:rPr>
          </w:pPr>
          <w:hyperlink w:anchor="_Toc210730320" w:history="1">
            <w:r w:rsidRPr="00A66A1D">
              <w:rPr>
                <w:rStyle w:val="Hyperlink"/>
              </w:rPr>
              <w:t>4.2</w:t>
            </w:r>
            <w:r>
              <w:rPr>
                <w:sz w:val="24"/>
                <w:lang w:eastAsia="en-CA"/>
              </w:rPr>
              <w:tab/>
            </w:r>
            <w:r w:rsidRPr="00A66A1D">
              <w:rPr>
                <w:rStyle w:val="Hyperlink"/>
              </w:rPr>
              <w:t>Methods</w:t>
            </w:r>
            <w:r>
              <w:rPr>
                <w:webHidden/>
              </w:rPr>
              <w:tab/>
            </w:r>
            <w:r>
              <w:rPr>
                <w:webHidden/>
              </w:rPr>
              <w:fldChar w:fldCharType="begin"/>
            </w:r>
            <w:r>
              <w:rPr>
                <w:webHidden/>
              </w:rPr>
              <w:instrText xml:space="preserve"> PAGEREF _Toc210730320 \h </w:instrText>
            </w:r>
            <w:r>
              <w:rPr>
                <w:webHidden/>
              </w:rPr>
            </w:r>
            <w:r>
              <w:rPr>
                <w:webHidden/>
              </w:rPr>
              <w:fldChar w:fldCharType="separate"/>
            </w:r>
            <w:r>
              <w:rPr>
                <w:webHidden/>
              </w:rPr>
              <w:t>28</w:t>
            </w:r>
            <w:r>
              <w:rPr>
                <w:webHidden/>
              </w:rPr>
              <w:fldChar w:fldCharType="end"/>
            </w:r>
          </w:hyperlink>
        </w:p>
        <w:p w14:paraId="32D65162" w14:textId="4B433F6F" w:rsidR="00DB1A3D" w:rsidRDefault="00DB1A3D">
          <w:pPr>
            <w:pStyle w:val="TOC1"/>
            <w:tabs>
              <w:tab w:val="left" w:pos="448"/>
            </w:tabs>
            <w:rPr>
              <w:b w:val="0"/>
              <w:noProof/>
              <w:kern w:val="2"/>
              <w:sz w:val="24"/>
              <w:szCs w:val="24"/>
              <w:lang w:val="en-CA" w:eastAsia="en-CA"/>
              <w14:ligatures w14:val="standardContextual"/>
            </w:rPr>
          </w:pPr>
          <w:hyperlink w:anchor="_Toc210730321" w:history="1">
            <w:r w:rsidRPr="00A66A1D">
              <w:rPr>
                <w:rStyle w:val="Hyperlink"/>
                <w:noProof/>
              </w:rPr>
              <w:t>5.</w:t>
            </w:r>
            <w:r>
              <w:rPr>
                <w:b w:val="0"/>
                <w:noProof/>
                <w:kern w:val="2"/>
                <w:sz w:val="24"/>
                <w:szCs w:val="24"/>
                <w:lang w:val="en-CA" w:eastAsia="en-CA"/>
                <w14:ligatures w14:val="standardContextual"/>
              </w:rPr>
              <w:tab/>
            </w:r>
            <w:r w:rsidRPr="00A66A1D">
              <w:rPr>
                <w:rStyle w:val="Hyperlink"/>
                <w:noProof/>
              </w:rPr>
              <w:t>Findings</w:t>
            </w:r>
            <w:r>
              <w:rPr>
                <w:noProof/>
                <w:webHidden/>
              </w:rPr>
              <w:tab/>
            </w:r>
            <w:r>
              <w:rPr>
                <w:noProof/>
                <w:webHidden/>
              </w:rPr>
              <w:fldChar w:fldCharType="begin"/>
            </w:r>
            <w:r>
              <w:rPr>
                <w:noProof/>
                <w:webHidden/>
              </w:rPr>
              <w:instrText xml:space="preserve"> PAGEREF _Toc210730321 \h </w:instrText>
            </w:r>
            <w:r>
              <w:rPr>
                <w:noProof/>
                <w:webHidden/>
              </w:rPr>
            </w:r>
            <w:r>
              <w:rPr>
                <w:noProof/>
                <w:webHidden/>
              </w:rPr>
              <w:fldChar w:fldCharType="separate"/>
            </w:r>
            <w:r>
              <w:rPr>
                <w:noProof/>
                <w:webHidden/>
              </w:rPr>
              <w:t>32</w:t>
            </w:r>
            <w:r>
              <w:rPr>
                <w:noProof/>
                <w:webHidden/>
              </w:rPr>
              <w:fldChar w:fldCharType="end"/>
            </w:r>
          </w:hyperlink>
        </w:p>
        <w:p w14:paraId="62FCFE3B" w14:textId="11C313FA" w:rsidR="00DB1A3D" w:rsidRDefault="00DB1A3D">
          <w:pPr>
            <w:pStyle w:val="TOC2"/>
            <w:rPr>
              <w:sz w:val="24"/>
              <w:lang w:eastAsia="en-CA"/>
            </w:rPr>
          </w:pPr>
          <w:hyperlink w:anchor="_Toc210730322" w:history="1">
            <w:r w:rsidRPr="00A66A1D">
              <w:rPr>
                <w:rStyle w:val="Hyperlink"/>
              </w:rPr>
              <w:t>5.1</w:t>
            </w:r>
            <w:r>
              <w:rPr>
                <w:sz w:val="24"/>
                <w:lang w:eastAsia="en-CA"/>
              </w:rPr>
              <w:tab/>
            </w:r>
            <w:r w:rsidRPr="00A66A1D">
              <w:rPr>
                <w:rStyle w:val="Hyperlink"/>
              </w:rPr>
              <w:t>Relevance</w:t>
            </w:r>
            <w:r>
              <w:rPr>
                <w:webHidden/>
              </w:rPr>
              <w:tab/>
            </w:r>
            <w:r>
              <w:rPr>
                <w:webHidden/>
              </w:rPr>
              <w:fldChar w:fldCharType="begin"/>
            </w:r>
            <w:r>
              <w:rPr>
                <w:webHidden/>
              </w:rPr>
              <w:instrText xml:space="preserve"> PAGEREF _Toc210730322 \h </w:instrText>
            </w:r>
            <w:r>
              <w:rPr>
                <w:webHidden/>
              </w:rPr>
            </w:r>
            <w:r>
              <w:rPr>
                <w:webHidden/>
              </w:rPr>
              <w:fldChar w:fldCharType="separate"/>
            </w:r>
            <w:r>
              <w:rPr>
                <w:webHidden/>
              </w:rPr>
              <w:t>32</w:t>
            </w:r>
            <w:r>
              <w:rPr>
                <w:webHidden/>
              </w:rPr>
              <w:fldChar w:fldCharType="end"/>
            </w:r>
          </w:hyperlink>
        </w:p>
        <w:p w14:paraId="1EB21146" w14:textId="166D37DD" w:rsidR="00DB1A3D" w:rsidRDefault="00DB1A3D">
          <w:pPr>
            <w:pStyle w:val="TOC2"/>
            <w:rPr>
              <w:sz w:val="24"/>
              <w:lang w:eastAsia="en-CA"/>
            </w:rPr>
          </w:pPr>
          <w:hyperlink w:anchor="_Toc210730323" w:history="1">
            <w:r w:rsidRPr="00A66A1D">
              <w:rPr>
                <w:rStyle w:val="Hyperlink"/>
              </w:rPr>
              <w:t>5.2</w:t>
            </w:r>
            <w:r>
              <w:rPr>
                <w:sz w:val="24"/>
                <w:lang w:eastAsia="en-CA"/>
              </w:rPr>
              <w:tab/>
            </w:r>
            <w:r w:rsidRPr="00A66A1D">
              <w:rPr>
                <w:rStyle w:val="Hyperlink"/>
              </w:rPr>
              <w:t>Coherence</w:t>
            </w:r>
            <w:r>
              <w:rPr>
                <w:webHidden/>
              </w:rPr>
              <w:tab/>
            </w:r>
            <w:r>
              <w:rPr>
                <w:webHidden/>
              </w:rPr>
              <w:fldChar w:fldCharType="begin"/>
            </w:r>
            <w:r>
              <w:rPr>
                <w:webHidden/>
              </w:rPr>
              <w:instrText xml:space="preserve"> PAGEREF _Toc210730323 \h </w:instrText>
            </w:r>
            <w:r>
              <w:rPr>
                <w:webHidden/>
              </w:rPr>
            </w:r>
            <w:r>
              <w:rPr>
                <w:webHidden/>
              </w:rPr>
              <w:fldChar w:fldCharType="separate"/>
            </w:r>
            <w:r>
              <w:rPr>
                <w:webHidden/>
              </w:rPr>
              <w:t>38</w:t>
            </w:r>
            <w:r>
              <w:rPr>
                <w:webHidden/>
              </w:rPr>
              <w:fldChar w:fldCharType="end"/>
            </w:r>
          </w:hyperlink>
        </w:p>
        <w:p w14:paraId="304D7D3A" w14:textId="1285B498" w:rsidR="00DB1A3D" w:rsidRDefault="00DB1A3D">
          <w:pPr>
            <w:pStyle w:val="TOC2"/>
            <w:rPr>
              <w:sz w:val="24"/>
              <w:lang w:eastAsia="en-CA"/>
            </w:rPr>
          </w:pPr>
          <w:hyperlink w:anchor="_Toc210730324" w:history="1">
            <w:r w:rsidRPr="00A66A1D">
              <w:rPr>
                <w:rStyle w:val="Hyperlink"/>
              </w:rPr>
              <w:t>5.3</w:t>
            </w:r>
            <w:r>
              <w:rPr>
                <w:sz w:val="24"/>
                <w:lang w:eastAsia="en-CA"/>
              </w:rPr>
              <w:tab/>
            </w:r>
            <w:r w:rsidRPr="00A66A1D">
              <w:rPr>
                <w:rStyle w:val="Hyperlink"/>
              </w:rPr>
              <w:t>Effectiveness</w:t>
            </w:r>
            <w:r>
              <w:rPr>
                <w:webHidden/>
              </w:rPr>
              <w:tab/>
            </w:r>
            <w:r>
              <w:rPr>
                <w:webHidden/>
              </w:rPr>
              <w:fldChar w:fldCharType="begin"/>
            </w:r>
            <w:r>
              <w:rPr>
                <w:webHidden/>
              </w:rPr>
              <w:instrText xml:space="preserve"> PAGEREF _Toc210730324 \h </w:instrText>
            </w:r>
            <w:r>
              <w:rPr>
                <w:webHidden/>
              </w:rPr>
            </w:r>
            <w:r>
              <w:rPr>
                <w:webHidden/>
              </w:rPr>
              <w:fldChar w:fldCharType="separate"/>
            </w:r>
            <w:r>
              <w:rPr>
                <w:webHidden/>
              </w:rPr>
              <w:t>46</w:t>
            </w:r>
            <w:r>
              <w:rPr>
                <w:webHidden/>
              </w:rPr>
              <w:fldChar w:fldCharType="end"/>
            </w:r>
          </w:hyperlink>
        </w:p>
        <w:p w14:paraId="27C9E8E6" w14:textId="4B0781AD" w:rsidR="00DB1A3D" w:rsidRDefault="00DB1A3D">
          <w:pPr>
            <w:pStyle w:val="TOC2"/>
            <w:rPr>
              <w:sz w:val="24"/>
              <w:lang w:eastAsia="en-CA"/>
            </w:rPr>
          </w:pPr>
          <w:hyperlink w:anchor="_Toc210730325" w:history="1">
            <w:r w:rsidRPr="00A66A1D">
              <w:rPr>
                <w:rStyle w:val="Hyperlink"/>
              </w:rPr>
              <w:t>5.4</w:t>
            </w:r>
            <w:r>
              <w:rPr>
                <w:sz w:val="24"/>
                <w:lang w:eastAsia="en-CA"/>
              </w:rPr>
              <w:tab/>
            </w:r>
            <w:r w:rsidRPr="00A66A1D">
              <w:rPr>
                <w:rStyle w:val="Hyperlink"/>
              </w:rPr>
              <w:t>Efficiency</w:t>
            </w:r>
            <w:r>
              <w:rPr>
                <w:webHidden/>
              </w:rPr>
              <w:tab/>
            </w:r>
            <w:r>
              <w:rPr>
                <w:webHidden/>
              </w:rPr>
              <w:fldChar w:fldCharType="begin"/>
            </w:r>
            <w:r>
              <w:rPr>
                <w:webHidden/>
              </w:rPr>
              <w:instrText xml:space="preserve"> PAGEREF _Toc210730325 \h </w:instrText>
            </w:r>
            <w:r>
              <w:rPr>
                <w:webHidden/>
              </w:rPr>
            </w:r>
            <w:r>
              <w:rPr>
                <w:webHidden/>
              </w:rPr>
              <w:fldChar w:fldCharType="separate"/>
            </w:r>
            <w:r>
              <w:rPr>
                <w:webHidden/>
              </w:rPr>
              <w:t>58</w:t>
            </w:r>
            <w:r>
              <w:rPr>
                <w:webHidden/>
              </w:rPr>
              <w:fldChar w:fldCharType="end"/>
            </w:r>
          </w:hyperlink>
        </w:p>
        <w:p w14:paraId="07F87655" w14:textId="6CE79B6A" w:rsidR="00DB1A3D" w:rsidRDefault="00DB1A3D">
          <w:pPr>
            <w:pStyle w:val="TOC2"/>
            <w:rPr>
              <w:sz w:val="24"/>
              <w:lang w:eastAsia="en-CA"/>
            </w:rPr>
          </w:pPr>
          <w:hyperlink w:anchor="_Toc210730326" w:history="1">
            <w:r w:rsidRPr="00A66A1D">
              <w:rPr>
                <w:rStyle w:val="Hyperlink"/>
              </w:rPr>
              <w:t>5.5</w:t>
            </w:r>
            <w:r>
              <w:rPr>
                <w:sz w:val="24"/>
                <w:lang w:eastAsia="en-CA"/>
              </w:rPr>
              <w:tab/>
            </w:r>
            <w:r w:rsidRPr="00A66A1D">
              <w:rPr>
                <w:rStyle w:val="Hyperlink"/>
              </w:rPr>
              <w:t>Impact</w:t>
            </w:r>
            <w:r>
              <w:rPr>
                <w:webHidden/>
              </w:rPr>
              <w:tab/>
            </w:r>
            <w:r>
              <w:rPr>
                <w:webHidden/>
              </w:rPr>
              <w:fldChar w:fldCharType="begin"/>
            </w:r>
            <w:r>
              <w:rPr>
                <w:webHidden/>
              </w:rPr>
              <w:instrText xml:space="preserve"> PAGEREF _Toc210730326 \h </w:instrText>
            </w:r>
            <w:r>
              <w:rPr>
                <w:webHidden/>
              </w:rPr>
            </w:r>
            <w:r>
              <w:rPr>
                <w:webHidden/>
              </w:rPr>
              <w:fldChar w:fldCharType="separate"/>
            </w:r>
            <w:r>
              <w:rPr>
                <w:webHidden/>
              </w:rPr>
              <w:t>65</w:t>
            </w:r>
            <w:r>
              <w:rPr>
                <w:webHidden/>
              </w:rPr>
              <w:fldChar w:fldCharType="end"/>
            </w:r>
          </w:hyperlink>
        </w:p>
        <w:p w14:paraId="61E045E3" w14:textId="62A7E2CB" w:rsidR="00DB1A3D" w:rsidRDefault="00DB1A3D">
          <w:pPr>
            <w:pStyle w:val="TOC2"/>
            <w:rPr>
              <w:sz w:val="24"/>
              <w:lang w:eastAsia="en-CA"/>
            </w:rPr>
          </w:pPr>
          <w:hyperlink w:anchor="_Toc210730327" w:history="1">
            <w:r w:rsidRPr="00A66A1D">
              <w:rPr>
                <w:rStyle w:val="Hyperlink"/>
              </w:rPr>
              <w:t>5.6</w:t>
            </w:r>
            <w:r>
              <w:rPr>
                <w:sz w:val="24"/>
                <w:lang w:eastAsia="en-CA"/>
              </w:rPr>
              <w:tab/>
            </w:r>
            <w:r w:rsidRPr="00A66A1D">
              <w:rPr>
                <w:rStyle w:val="Hyperlink"/>
              </w:rPr>
              <w:t>Cross-cutting themes</w:t>
            </w:r>
            <w:r>
              <w:rPr>
                <w:webHidden/>
              </w:rPr>
              <w:tab/>
            </w:r>
            <w:r>
              <w:rPr>
                <w:webHidden/>
              </w:rPr>
              <w:fldChar w:fldCharType="begin"/>
            </w:r>
            <w:r>
              <w:rPr>
                <w:webHidden/>
              </w:rPr>
              <w:instrText xml:space="preserve"> PAGEREF _Toc210730327 \h </w:instrText>
            </w:r>
            <w:r>
              <w:rPr>
                <w:webHidden/>
              </w:rPr>
            </w:r>
            <w:r>
              <w:rPr>
                <w:webHidden/>
              </w:rPr>
              <w:fldChar w:fldCharType="separate"/>
            </w:r>
            <w:r>
              <w:rPr>
                <w:webHidden/>
              </w:rPr>
              <w:t>69</w:t>
            </w:r>
            <w:r>
              <w:rPr>
                <w:webHidden/>
              </w:rPr>
              <w:fldChar w:fldCharType="end"/>
            </w:r>
          </w:hyperlink>
        </w:p>
        <w:p w14:paraId="73E5F957" w14:textId="6E5BD14A" w:rsidR="00DB1A3D" w:rsidRDefault="00DB1A3D">
          <w:pPr>
            <w:pStyle w:val="TOC2"/>
            <w:rPr>
              <w:sz w:val="24"/>
              <w:lang w:eastAsia="en-CA"/>
            </w:rPr>
          </w:pPr>
          <w:hyperlink w:anchor="_Toc210730328" w:history="1">
            <w:r w:rsidRPr="00A66A1D">
              <w:rPr>
                <w:rStyle w:val="Hyperlink"/>
              </w:rPr>
              <w:t>5.7</w:t>
            </w:r>
            <w:r>
              <w:rPr>
                <w:sz w:val="24"/>
                <w:lang w:eastAsia="en-CA"/>
              </w:rPr>
              <w:tab/>
            </w:r>
            <w:r w:rsidRPr="00A66A1D">
              <w:rPr>
                <w:rStyle w:val="Hyperlink"/>
              </w:rPr>
              <w:t>Sustainability</w:t>
            </w:r>
            <w:r>
              <w:rPr>
                <w:webHidden/>
              </w:rPr>
              <w:tab/>
            </w:r>
            <w:r>
              <w:rPr>
                <w:webHidden/>
              </w:rPr>
              <w:fldChar w:fldCharType="begin"/>
            </w:r>
            <w:r>
              <w:rPr>
                <w:webHidden/>
              </w:rPr>
              <w:instrText xml:space="preserve"> PAGEREF _Toc210730328 \h </w:instrText>
            </w:r>
            <w:r>
              <w:rPr>
                <w:webHidden/>
              </w:rPr>
            </w:r>
            <w:r>
              <w:rPr>
                <w:webHidden/>
              </w:rPr>
              <w:fldChar w:fldCharType="separate"/>
            </w:r>
            <w:r>
              <w:rPr>
                <w:webHidden/>
              </w:rPr>
              <w:t>71</w:t>
            </w:r>
            <w:r>
              <w:rPr>
                <w:webHidden/>
              </w:rPr>
              <w:fldChar w:fldCharType="end"/>
            </w:r>
          </w:hyperlink>
        </w:p>
        <w:p w14:paraId="589B83AD" w14:textId="5FDEA85E" w:rsidR="00DB1A3D" w:rsidRDefault="00DB1A3D">
          <w:pPr>
            <w:pStyle w:val="TOC1"/>
            <w:tabs>
              <w:tab w:val="left" w:pos="448"/>
            </w:tabs>
            <w:rPr>
              <w:b w:val="0"/>
              <w:noProof/>
              <w:kern w:val="2"/>
              <w:sz w:val="24"/>
              <w:szCs w:val="24"/>
              <w:lang w:val="en-CA" w:eastAsia="en-CA"/>
              <w14:ligatures w14:val="standardContextual"/>
            </w:rPr>
          </w:pPr>
          <w:hyperlink w:anchor="_Toc210730329" w:history="1">
            <w:r w:rsidRPr="00A66A1D">
              <w:rPr>
                <w:rStyle w:val="Hyperlink"/>
                <w:noProof/>
              </w:rPr>
              <w:t>6.</w:t>
            </w:r>
            <w:r>
              <w:rPr>
                <w:b w:val="0"/>
                <w:noProof/>
                <w:kern w:val="2"/>
                <w:sz w:val="24"/>
                <w:szCs w:val="24"/>
                <w:lang w:val="en-CA" w:eastAsia="en-CA"/>
                <w14:ligatures w14:val="standardContextual"/>
              </w:rPr>
              <w:tab/>
            </w:r>
            <w:r w:rsidRPr="00A66A1D">
              <w:rPr>
                <w:rStyle w:val="Hyperlink"/>
                <w:noProof/>
              </w:rPr>
              <w:t>Conclusions</w:t>
            </w:r>
            <w:r>
              <w:rPr>
                <w:noProof/>
                <w:webHidden/>
              </w:rPr>
              <w:tab/>
            </w:r>
            <w:r>
              <w:rPr>
                <w:noProof/>
                <w:webHidden/>
              </w:rPr>
              <w:fldChar w:fldCharType="begin"/>
            </w:r>
            <w:r>
              <w:rPr>
                <w:noProof/>
                <w:webHidden/>
              </w:rPr>
              <w:instrText xml:space="preserve"> PAGEREF _Toc210730329 \h </w:instrText>
            </w:r>
            <w:r>
              <w:rPr>
                <w:noProof/>
                <w:webHidden/>
              </w:rPr>
            </w:r>
            <w:r>
              <w:rPr>
                <w:noProof/>
                <w:webHidden/>
              </w:rPr>
              <w:fldChar w:fldCharType="separate"/>
            </w:r>
            <w:r>
              <w:rPr>
                <w:noProof/>
                <w:webHidden/>
              </w:rPr>
              <w:t>75</w:t>
            </w:r>
            <w:r>
              <w:rPr>
                <w:noProof/>
                <w:webHidden/>
              </w:rPr>
              <w:fldChar w:fldCharType="end"/>
            </w:r>
          </w:hyperlink>
        </w:p>
        <w:p w14:paraId="61177477" w14:textId="75C4FA42" w:rsidR="00DB1A3D" w:rsidRDefault="00DB1A3D">
          <w:pPr>
            <w:pStyle w:val="TOC1"/>
            <w:tabs>
              <w:tab w:val="left" w:pos="448"/>
            </w:tabs>
            <w:rPr>
              <w:b w:val="0"/>
              <w:noProof/>
              <w:kern w:val="2"/>
              <w:sz w:val="24"/>
              <w:szCs w:val="24"/>
              <w:lang w:val="en-CA" w:eastAsia="en-CA"/>
              <w14:ligatures w14:val="standardContextual"/>
            </w:rPr>
          </w:pPr>
          <w:hyperlink w:anchor="_Toc210730330" w:history="1">
            <w:r w:rsidRPr="00A66A1D">
              <w:rPr>
                <w:rStyle w:val="Hyperlink"/>
                <w:noProof/>
              </w:rPr>
              <w:t>7.</w:t>
            </w:r>
            <w:r>
              <w:rPr>
                <w:b w:val="0"/>
                <w:noProof/>
                <w:kern w:val="2"/>
                <w:sz w:val="24"/>
                <w:szCs w:val="24"/>
                <w:lang w:val="en-CA" w:eastAsia="en-CA"/>
                <w14:ligatures w14:val="standardContextual"/>
              </w:rPr>
              <w:tab/>
            </w:r>
            <w:r w:rsidRPr="00A66A1D">
              <w:rPr>
                <w:rStyle w:val="Hyperlink"/>
                <w:noProof/>
              </w:rPr>
              <w:t>Recommendations</w:t>
            </w:r>
            <w:r>
              <w:rPr>
                <w:noProof/>
                <w:webHidden/>
              </w:rPr>
              <w:tab/>
            </w:r>
            <w:r>
              <w:rPr>
                <w:noProof/>
                <w:webHidden/>
              </w:rPr>
              <w:fldChar w:fldCharType="begin"/>
            </w:r>
            <w:r>
              <w:rPr>
                <w:noProof/>
                <w:webHidden/>
              </w:rPr>
              <w:instrText xml:space="preserve"> PAGEREF _Toc210730330 \h </w:instrText>
            </w:r>
            <w:r>
              <w:rPr>
                <w:noProof/>
                <w:webHidden/>
              </w:rPr>
            </w:r>
            <w:r>
              <w:rPr>
                <w:noProof/>
                <w:webHidden/>
              </w:rPr>
              <w:fldChar w:fldCharType="separate"/>
            </w:r>
            <w:r>
              <w:rPr>
                <w:noProof/>
                <w:webHidden/>
              </w:rPr>
              <w:t>77</w:t>
            </w:r>
            <w:r>
              <w:rPr>
                <w:noProof/>
                <w:webHidden/>
              </w:rPr>
              <w:fldChar w:fldCharType="end"/>
            </w:r>
          </w:hyperlink>
        </w:p>
        <w:p w14:paraId="5BDBD34B" w14:textId="3F6337E5" w:rsidR="00DB1A3D" w:rsidRDefault="00DB1A3D">
          <w:pPr>
            <w:pStyle w:val="TOC1"/>
            <w:tabs>
              <w:tab w:val="left" w:pos="448"/>
            </w:tabs>
            <w:rPr>
              <w:b w:val="0"/>
              <w:noProof/>
              <w:kern w:val="2"/>
              <w:sz w:val="24"/>
              <w:szCs w:val="24"/>
              <w:lang w:val="en-CA" w:eastAsia="en-CA"/>
              <w14:ligatures w14:val="standardContextual"/>
            </w:rPr>
          </w:pPr>
          <w:hyperlink w:anchor="_Toc210730331" w:history="1">
            <w:r w:rsidRPr="00A66A1D">
              <w:rPr>
                <w:rStyle w:val="Hyperlink"/>
                <w:noProof/>
              </w:rPr>
              <w:t>8.</w:t>
            </w:r>
            <w:r>
              <w:rPr>
                <w:b w:val="0"/>
                <w:noProof/>
                <w:kern w:val="2"/>
                <w:sz w:val="24"/>
                <w:szCs w:val="24"/>
                <w:lang w:val="en-CA" w:eastAsia="en-CA"/>
                <w14:ligatures w14:val="standardContextual"/>
              </w:rPr>
              <w:tab/>
            </w:r>
            <w:r w:rsidRPr="00A66A1D">
              <w:rPr>
                <w:rStyle w:val="Hyperlink"/>
                <w:noProof/>
              </w:rPr>
              <w:t>Lessons learned and good practices</w:t>
            </w:r>
            <w:r>
              <w:rPr>
                <w:noProof/>
                <w:webHidden/>
              </w:rPr>
              <w:tab/>
            </w:r>
            <w:r>
              <w:rPr>
                <w:noProof/>
                <w:webHidden/>
              </w:rPr>
              <w:fldChar w:fldCharType="begin"/>
            </w:r>
            <w:r>
              <w:rPr>
                <w:noProof/>
                <w:webHidden/>
              </w:rPr>
              <w:instrText xml:space="preserve"> PAGEREF _Toc210730331 \h </w:instrText>
            </w:r>
            <w:r>
              <w:rPr>
                <w:noProof/>
                <w:webHidden/>
              </w:rPr>
            </w:r>
            <w:r>
              <w:rPr>
                <w:noProof/>
                <w:webHidden/>
              </w:rPr>
              <w:fldChar w:fldCharType="separate"/>
            </w:r>
            <w:r>
              <w:rPr>
                <w:noProof/>
                <w:webHidden/>
              </w:rPr>
              <w:t>79</w:t>
            </w:r>
            <w:r>
              <w:rPr>
                <w:noProof/>
                <w:webHidden/>
              </w:rPr>
              <w:fldChar w:fldCharType="end"/>
            </w:r>
          </w:hyperlink>
        </w:p>
        <w:p w14:paraId="1B45CAD3" w14:textId="06CC4CD6" w:rsidR="00DB1A3D" w:rsidRDefault="00DB1A3D">
          <w:pPr>
            <w:pStyle w:val="TOC2"/>
            <w:rPr>
              <w:sz w:val="24"/>
              <w:lang w:eastAsia="en-CA"/>
            </w:rPr>
          </w:pPr>
          <w:hyperlink w:anchor="_Toc210730332" w:history="1">
            <w:r w:rsidRPr="00A66A1D">
              <w:rPr>
                <w:rStyle w:val="Hyperlink"/>
              </w:rPr>
              <w:t>8.1</w:t>
            </w:r>
            <w:r>
              <w:rPr>
                <w:sz w:val="24"/>
                <w:lang w:eastAsia="en-CA"/>
              </w:rPr>
              <w:tab/>
            </w:r>
            <w:r w:rsidRPr="00A66A1D">
              <w:rPr>
                <w:rStyle w:val="Hyperlink"/>
              </w:rPr>
              <w:t>Lessons learned</w:t>
            </w:r>
            <w:r>
              <w:rPr>
                <w:webHidden/>
              </w:rPr>
              <w:tab/>
            </w:r>
            <w:r>
              <w:rPr>
                <w:webHidden/>
              </w:rPr>
              <w:fldChar w:fldCharType="begin"/>
            </w:r>
            <w:r>
              <w:rPr>
                <w:webHidden/>
              </w:rPr>
              <w:instrText xml:space="preserve"> PAGEREF _Toc210730332 \h </w:instrText>
            </w:r>
            <w:r>
              <w:rPr>
                <w:webHidden/>
              </w:rPr>
            </w:r>
            <w:r>
              <w:rPr>
                <w:webHidden/>
              </w:rPr>
              <w:fldChar w:fldCharType="separate"/>
            </w:r>
            <w:r>
              <w:rPr>
                <w:webHidden/>
              </w:rPr>
              <w:t>79</w:t>
            </w:r>
            <w:r>
              <w:rPr>
                <w:webHidden/>
              </w:rPr>
              <w:fldChar w:fldCharType="end"/>
            </w:r>
          </w:hyperlink>
        </w:p>
        <w:p w14:paraId="5F82CDAD" w14:textId="7CECA097" w:rsidR="00DB1A3D" w:rsidRDefault="00DB1A3D">
          <w:pPr>
            <w:pStyle w:val="TOC2"/>
            <w:rPr>
              <w:sz w:val="24"/>
              <w:lang w:eastAsia="en-CA"/>
            </w:rPr>
          </w:pPr>
          <w:hyperlink w:anchor="_Toc210730333" w:history="1">
            <w:r w:rsidRPr="00A66A1D">
              <w:rPr>
                <w:rStyle w:val="Hyperlink"/>
              </w:rPr>
              <w:t>8.2</w:t>
            </w:r>
            <w:r>
              <w:rPr>
                <w:sz w:val="24"/>
                <w:lang w:eastAsia="en-CA"/>
              </w:rPr>
              <w:tab/>
            </w:r>
            <w:r w:rsidRPr="00A66A1D">
              <w:rPr>
                <w:rStyle w:val="Hyperlink"/>
              </w:rPr>
              <w:t>Good practices</w:t>
            </w:r>
            <w:r>
              <w:rPr>
                <w:webHidden/>
              </w:rPr>
              <w:tab/>
            </w:r>
            <w:r>
              <w:rPr>
                <w:webHidden/>
              </w:rPr>
              <w:fldChar w:fldCharType="begin"/>
            </w:r>
            <w:r>
              <w:rPr>
                <w:webHidden/>
              </w:rPr>
              <w:instrText xml:space="preserve"> PAGEREF _Toc210730333 \h </w:instrText>
            </w:r>
            <w:r>
              <w:rPr>
                <w:webHidden/>
              </w:rPr>
            </w:r>
            <w:r>
              <w:rPr>
                <w:webHidden/>
              </w:rPr>
              <w:fldChar w:fldCharType="separate"/>
            </w:r>
            <w:r>
              <w:rPr>
                <w:webHidden/>
              </w:rPr>
              <w:t>79</w:t>
            </w:r>
            <w:r>
              <w:rPr>
                <w:webHidden/>
              </w:rPr>
              <w:fldChar w:fldCharType="end"/>
            </w:r>
          </w:hyperlink>
        </w:p>
        <w:p w14:paraId="63D7ADB5" w14:textId="38195B90" w:rsidR="00354403" w:rsidRDefault="00354403">
          <w:r>
            <w:rPr>
              <w:b/>
              <w:bCs/>
              <w:noProof/>
            </w:rPr>
            <w:fldChar w:fldCharType="end"/>
          </w:r>
        </w:p>
      </w:sdtContent>
    </w:sdt>
    <w:p w14:paraId="39B5EEA8" w14:textId="77777777" w:rsidR="009C637A" w:rsidRPr="009C637A" w:rsidRDefault="009C637A" w:rsidP="009C637A">
      <w:r w:rsidRPr="009C637A">
        <w:br w:type="page"/>
      </w:r>
    </w:p>
    <w:p w14:paraId="51CC404E" w14:textId="3143CA17" w:rsidR="00616305" w:rsidRDefault="00616305" w:rsidP="005E4CD6">
      <w:pPr>
        <w:pStyle w:val="TOCHeading"/>
      </w:pPr>
      <w:r w:rsidRPr="00DC04B4">
        <w:lastRenderedPageBreak/>
        <w:t>Exhibits</w:t>
      </w:r>
    </w:p>
    <w:p w14:paraId="6BADB8F6" w14:textId="22B996CC" w:rsidR="00293207" w:rsidRDefault="00616305">
      <w:pPr>
        <w:pStyle w:val="TableofFigures"/>
        <w:rPr>
          <w:rFonts w:eastAsiaTheme="minorEastAsia"/>
          <w:sz w:val="24"/>
          <w:szCs w:val="24"/>
          <w:lang w:eastAsia="en-CA"/>
        </w:rPr>
      </w:pPr>
      <w:r>
        <w:rPr>
          <w:lang w:val="en-US"/>
        </w:rPr>
        <w:fldChar w:fldCharType="begin"/>
      </w:r>
      <w:r>
        <w:rPr>
          <w:lang w:val="en-US"/>
        </w:rPr>
        <w:instrText xml:space="preserve"> TOC \h \z \c "Table" </w:instrText>
      </w:r>
      <w:r>
        <w:rPr>
          <w:lang w:val="en-US"/>
        </w:rPr>
        <w:fldChar w:fldCharType="separate"/>
      </w:r>
      <w:hyperlink w:anchor="_Toc210730334" w:history="1">
        <w:r w:rsidR="00293207" w:rsidRPr="00CD60E5">
          <w:rPr>
            <w:rStyle w:val="Hyperlink"/>
          </w:rPr>
          <w:t>Exhibit 1 The INFF building blocks</w:t>
        </w:r>
        <w:r w:rsidR="00293207">
          <w:rPr>
            <w:webHidden/>
          </w:rPr>
          <w:tab/>
        </w:r>
        <w:r w:rsidR="00293207">
          <w:rPr>
            <w:webHidden/>
          </w:rPr>
          <w:fldChar w:fldCharType="begin"/>
        </w:r>
        <w:r w:rsidR="00293207">
          <w:rPr>
            <w:webHidden/>
          </w:rPr>
          <w:instrText xml:space="preserve"> PAGEREF _Toc210730334 \h </w:instrText>
        </w:r>
        <w:r w:rsidR="00293207">
          <w:rPr>
            <w:webHidden/>
          </w:rPr>
        </w:r>
        <w:r w:rsidR="00293207">
          <w:rPr>
            <w:webHidden/>
          </w:rPr>
          <w:fldChar w:fldCharType="separate"/>
        </w:r>
        <w:r w:rsidR="00293207">
          <w:rPr>
            <w:webHidden/>
          </w:rPr>
          <w:t>13</w:t>
        </w:r>
        <w:r w:rsidR="00293207">
          <w:rPr>
            <w:webHidden/>
          </w:rPr>
          <w:fldChar w:fldCharType="end"/>
        </w:r>
      </w:hyperlink>
    </w:p>
    <w:p w14:paraId="029DB070" w14:textId="1CEF0538" w:rsidR="00293207" w:rsidRDefault="00293207">
      <w:pPr>
        <w:pStyle w:val="TableofFigures"/>
        <w:rPr>
          <w:rFonts w:eastAsiaTheme="minorEastAsia"/>
          <w:sz w:val="24"/>
          <w:szCs w:val="24"/>
          <w:lang w:eastAsia="en-CA"/>
        </w:rPr>
      </w:pPr>
      <w:hyperlink w:anchor="_Toc210730335" w:history="1">
        <w:r w:rsidRPr="00CD60E5">
          <w:rPr>
            <w:rStyle w:val="Hyperlink"/>
          </w:rPr>
          <w:t>Exhibit 2 Elements of the INFF process</w:t>
        </w:r>
        <w:r>
          <w:rPr>
            <w:webHidden/>
          </w:rPr>
          <w:tab/>
        </w:r>
        <w:r>
          <w:rPr>
            <w:webHidden/>
          </w:rPr>
          <w:fldChar w:fldCharType="begin"/>
        </w:r>
        <w:r>
          <w:rPr>
            <w:webHidden/>
          </w:rPr>
          <w:instrText xml:space="preserve"> PAGEREF _Toc210730335 \h </w:instrText>
        </w:r>
        <w:r>
          <w:rPr>
            <w:webHidden/>
          </w:rPr>
        </w:r>
        <w:r>
          <w:rPr>
            <w:webHidden/>
          </w:rPr>
          <w:fldChar w:fldCharType="separate"/>
        </w:r>
        <w:r>
          <w:rPr>
            <w:webHidden/>
          </w:rPr>
          <w:t>14</w:t>
        </w:r>
        <w:r>
          <w:rPr>
            <w:webHidden/>
          </w:rPr>
          <w:fldChar w:fldCharType="end"/>
        </w:r>
      </w:hyperlink>
    </w:p>
    <w:p w14:paraId="76867873" w14:textId="7FAC4EA7" w:rsidR="00293207" w:rsidRDefault="00293207">
      <w:pPr>
        <w:pStyle w:val="TableofFigures"/>
        <w:rPr>
          <w:rFonts w:eastAsiaTheme="minorEastAsia"/>
          <w:sz w:val="24"/>
          <w:szCs w:val="24"/>
          <w:lang w:eastAsia="en-CA"/>
        </w:rPr>
      </w:pPr>
      <w:hyperlink w:anchor="_Toc210730336" w:history="1">
        <w:r w:rsidRPr="00CD60E5">
          <w:rPr>
            <w:rStyle w:val="Hyperlink"/>
          </w:rPr>
          <w:t>Exhibit 3 Comparative advantage of executing entities</w:t>
        </w:r>
        <w:r>
          <w:rPr>
            <w:webHidden/>
          </w:rPr>
          <w:tab/>
        </w:r>
        <w:r>
          <w:rPr>
            <w:webHidden/>
          </w:rPr>
          <w:fldChar w:fldCharType="begin"/>
        </w:r>
        <w:r>
          <w:rPr>
            <w:webHidden/>
          </w:rPr>
          <w:instrText xml:space="preserve"> PAGEREF _Toc210730336 \h </w:instrText>
        </w:r>
        <w:r>
          <w:rPr>
            <w:webHidden/>
          </w:rPr>
        </w:r>
        <w:r>
          <w:rPr>
            <w:webHidden/>
          </w:rPr>
          <w:fldChar w:fldCharType="separate"/>
        </w:r>
        <w:r>
          <w:rPr>
            <w:webHidden/>
          </w:rPr>
          <w:t>15</w:t>
        </w:r>
        <w:r>
          <w:rPr>
            <w:webHidden/>
          </w:rPr>
          <w:fldChar w:fldCharType="end"/>
        </w:r>
      </w:hyperlink>
    </w:p>
    <w:p w14:paraId="1FC7C3BA" w14:textId="40D05F35" w:rsidR="00293207" w:rsidRDefault="00293207">
      <w:pPr>
        <w:pStyle w:val="TableofFigures"/>
        <w:rPr>
          <w:rFonts w:eastAsiaTheme="minorEastAsia"/>
          <w:sz w:val="24"/>
          <w:szCs w:val="24"/>
          <w:lang w:eastAsia="en-CA"/>
        </w:rPr>
      </w:pPr>
      <w:hyperlink w:anchor="_Toc210730337" w:history="1">
        <w:r w:rsidRPr="00CD60E5">
          <w:rPr>
            <w:rStyle w:val="Hyperlink"/>
          </w:rPr>
          <w:t>Exhibit 4 INFF-related work within the target countries</w:t>
        </w:r>
        <w:r>
          <w:rPr>
            <w:webHidden/>
          </w:rPr>
          <w:tab/>
        </w:r>
        <w:r>
          <w:rPr>
            <w:webHidden/>
          </w:rPr>
          <w:fldChar w:fldCharType="begin"/>
        </w:r>
        <w:r>
          <w:rPr>
            <w:webHidden/>
          </w:rPr>
          <w:instrText xml:space="preserve"> PAGEREF _Toc210730337 \h </w:instrText>
        </w:r>
        <w:r>
          <w:rPr>
            <w:webHidden/>
          </w:rPr>
        </w:r>
        <w:r>
          <w:rPr>
            <w:webHidden/>
          </w:rPr>
          <w:fldChar w:fldCharType="separate"/>
        </w:r>
        <w:r>
          <w:rPr>
            <w:webHidden/>
          </w:rPr>
          <w:t>16</w:t>
        </w:r>
        <w:r>
          <w:rPr>
            <w:webHidden/>
          </w:rPr>
          <w:fldChar w:fldCharType="end"/>
        </w:r>
      </w:hyperlink>
    </w:p>
    <w:p w14:paraId="4DAC68FF" w14:textId="221EE4A9" w:rsidR="00293207" w:rsidRDefault="00293207">
      <w:pPr>
        <w:pStyle w:val="TableofFigures"/>
        <w:rPr>
          <w:rFonts w:eastAsiaTheme="minorEastAsia"/>
          <w:sz w:val="24"/>
          <w:szCs w:val="24"/>
          <w:lang w:eastAsia="en-CA"/>
        </w:rPr>
      </w:pPr>
      <w:hyperlink w:anchor="_Toc210730338" w:history="1">
        <w:r w:rsidRPr="00CD60E5">
          <w:rPr>
            <w:rStyle w:val="Hyperlink"/>
          </w:rPr>
          <w:t>Exhibit 5 Target countries</w:t>
        </w:r>
        <w:r>
          <w:rPr>
            <w:webHidden/>
          </w:rPr>
          <w:tab/>
        </w:r>
        <w:r>
          <w:rPr>
            <w:webHidden/>
          </w:rPr>
          <w:fldChar w:fldCharType="begin"/>
        </w:r>
        <w:r>
          <w:rPr>
            <w:webHidden/>
          </w:rPr>
          <w:instrText xml:space="preserve"> PAGEREF _Toc210730338 \h </w:instrText>
        </w:r>
        <w:r>
          <w:rPr>
            <w:webHidden/>
          </w:rPr>
        </w:r>
        <w:r>
          <w:rPr>
            <w:webHidden/>
          </w:rPr>
          <w:fldChar w:fldCharType="separate"/>
        </w:r>
        <w:r>
          <w:rPr>
            <w:webHidden/>
          </w:rPr>
          <w:t>20</w:t>
        </w:r>
        <w:r>
          <w:rPr>
            <w:webHidden/>
          </w:rPr>
          <w:fldChar w:fldCharType="end"/>
        </w:r>
      </w:hyperlink>
    </w:p>
    <w:p w14:paraId="6A44E1D7" w14:textId="54882B60" w:rsidR="00293207" w:rsidRDefault="00293207">
      <w:pPr>
        <w:pStyle w:val="TableofFigures"/>
        <w:rPr>
          <w:rFonts w:eastAsiaTheme="minorEastAsia"/>
          <w:sz w:val="24"/>
          <w:szCs w:val="24"/>
          <w:lang w:eastAsia="en-CA"/>
        </w:rPr>
      </w:pPr>
      <w:hyperlink w:anchor="_Toc210730339" w:history="1">
        <w:r w:rsidRPr="00CD60E5">
          <w:rPr>
            <w:rStyle w:val="Hyperlink"/>
          </w:rPr>
          <w:t>Exhibit 6 Budget vs expenditure</w:t>
        </w:r>
        <w:r>
          <w:rPr>
            <w:webHidden/>
          </w:rPr>
          <w:tab/>
        </w:r>
        <w:r>
          <w:rPr>
            <w:webHidden/>
          </w:rPr>
          <w:fldChar w:fldCharType="begin"/>
        </w:r>
        <w:r>
          <w:rPr>
            <w:webHidden/>
          </w:rPr>
          <w:instrText xml:space="preserve"> PAGEREF _Toc210730339 \h </w:instrText>
        </w:r>
        <w:r>
          <w:rPr>
            <w:webHidden/>
          </w:rPr>
        </w:r>
        <w:r>
          <w:rPr>
            <w:webHidden/>
          </w:rPr>
          <w:fldChar w:fldCharType="separate"/>
        </w:r>
        <w:r>
          <w:rPr>
            <w:webHidden/>
          </w:rPr>
          <w:t>22</w:t>
        </w:r>
        <w:r>
          <w:rPr>
            <w:webHidden/>
          </w:rPr>
          <w:fldChar w:fldCharType="end"/>
        </w:r>
      </w:hyperlink>
    </w:p>
    <w:p w14:paraId="6F98E1D3" w14:textId="7E6C414F" w:rsidR="00293207" w:rsidRDefault="00293207">
      <w:pPr>
        <w:pStyle w:val="TableofFigures"/>
        <w:rPr>
          <w:rFonts w:eastAsiaTheme="minorEastAsia"/>
          <w:sz w:val="24"/>
          <w:szCs w:val="24"/>
          <w:lang w:eastAsia="en-CA"/>
        </w:rPr>
      </w:pPr>
      <w:hyperlink w:anchor="_Toc210730340" w:history="1">
        <w:r w:rsidRPr="00CD60E5">
          <w:rPr>
            <w:rStyle w:val="Hyperlink"/>
          </w:rPr>
          <w:t>Exhibit 7 Project linkage to SDGs and targets</w:t>
        </w:r>
        <w:r>
          <w:rPr>
            <w:webHidden/>
          </w:rPr>
          <w:tab/>
        </w:r>
        <w:r>
          <w:rPr>
            <w:webHidden/>
          </w:rPr>
          <w:fldChar w:fldCharType="begin"/>
        </w:r>
        <w:r>
          <w:rPr>
            <w:webHidden/>
          </w:rPr>
          <w:instrText xml:space="preserve"> PAGEREF _Toc210730340 \h </w:instrText>
        </w:r>
        <w:r>
          <w:rPr>
            <w:webHidden/>
          </w:rPr>
        </w:r>
        <w:r>
          <w:rPr>
            <w:webHidden/>
          </w:rPr>
          <w:fldChar w:fldCharType="separate"/>
        </w:r>
        <w:r>
          <w:rPr>
            <w:webHidden/>
          </w:rPr>
          <w:t>23</w:t>
        </w:r>
        <w:r>
          <w:rPr>
            <w:webHidden/>
          </w:rPr>
          <w:fldChar w:fldCharType="end"/>
        </w:r>
      </w:hyperlink>
    </w:p>
    <w:p w14:paraId="571C4AFF" w14:textId="4E7FB2E9" w:rsidR="00293207" w:rsidRDefault="00293207">
      <w:pPr>
        <w:pStyle w:val="TableofFigures"/>
        <w:rPr>
          <w:rFonts w:eastAsiaTheme="minorEastAsia"/>
          <w:sz w:val="24"/>
          <w:szCs w:val="24"/>
          <w:lang w:eastAsia="en-CA"/>
        </w:rPr>
      </w:pPr>
      <w:hyperlink w:anchor="_Toc210730341" w:history="1">
        <w:r w:rsidRPr="00CD60E5">
          <w:rPr>
            <w:rStyle w:val="Hyperlink"/>
          </w:rPr>
          <w:t>Exhibit 8 Key sources of primary and secondary data</w:t>
        </w:r>
        <w:r>
          <w:rPr>
            <w:webHidden/>
          </w:rPr>
          <w:tab/>
        </w:r>
        <w:r>
          <w:rPr>
            <w:webHidden/>
          </w:rPr>
          <w:fldChar w:fldCharType="begin"/>
        </w:r>
        <w:r>
          <w:rPr>
            <w:webHidden/>
          </w:rPr>
          <w:instrText xml:space="preserve"> PAGEREF _Toc210730341 \h </w:instrText>
        </w:r>
        <w:r>
          <w:rPr>
            <w:webHidden/>
          </w:rPr>
        </w:r>
        <w:r>
          <w:rPr>
            <w:webHidden/>
          </w:rPr>
          <w:fldChar w:fldCharType="separate"/>
        </w:r>
        <w:r>
          <w:rPr>
            <w:webHidden/>
          </w:rPr>
          <w:t>28</w:t>
        </w:r>
        <w:r>
          <w:rPr>
            <w:webHidden/>
          </w:rPr>
          <w:fldChar w:fldCharType="end"/>
        </w:r>
      </w:hyperlink>
    </w:p>
    <w:p w14:paraId="7375EF7A" w14:textId="4C325AB5" w:rsidR="00293207" w:rsidRDefault="00293207">
      <w:pPr>
        <w:pStyle w:val="TableofFigures"/>
        <w:rPr>
          <w:rFonts w:eastAsiaTheme="minorEastAsia"/>
          <w:sz w:val="24"/>
          <w:szCs w:val="24"/>
          <w:lang w:eastAsia="en-CA"/>
        </w:rPr>
      </w:pPr>
      <w:hyperlink w:anchor="_Toc210730342" w:history="1">
        <w:r w:rsidRPr="00CD60E5">
          <w:rPr>
            <w:rStyle w:val="Hyperlink"/>
          </w:rPr>
          <w:t>Exhibit 9 Overview of stakeholder engagement</w:t>
        </w:r>
        <w:r>
          <w:rPr>
            <w:webHidden/>
          </w:rPr>
          <w:tab/>
        </w:r>
        <w:r>
          <w:rPr>
            <w:webHidden/>
          </w:rPr>
          <w:fldChar w:fldCharType="begin"/>
        </w:r>
        <w:r>
          <w:rPr>
            <w:webHidden/>
          </w:rPr>
          <w:instrText xml:space="preserve"> PAGEREF _Toc210730342 \h </w:instrText>
        </w:r>
        <w:r>
          <w:rPr>
            <w:webHidden/>
          </w:rPr>
        </w:r>
        <w:r>
          <w:rPr>
            <w:webHidden/>
          </w:rPr>
          <w:fldChar w:fldCharType="separate"/>
        </w:r>
        <w:r>
          <w:rPr>
            <w:webHidden/>
          </w:rPr>
          <w:t>29</w:t>
        </w:r>
        <w:r>
          <w:rPr>
            <w:webHidden/>
          </w:rPr>
          <w:fldChar w:fldCharType="end"/>
        </w:r>
      </w:hyperlink>
    </w:p>
    <w:p w14:paraId="0E71092B" w14:textId="0C15A95A" w:rsidR="00293207" w:rsidRDefault="00293207">
      <w:pPr>
        <w:pStyle w:val="TableofFigures"/>
        <w:rPr>
          <w:rFonts w:eastAsiaTheme="minorEastAsia"/>
          <w:sz w:val="24"/>
          <w:szCs w:val="24"/>
          <w:lang w:eastAsia="en-CA"/>
        </w:rPr>
      </w:pPr>
      <w:hyperlink w:anchor="_Toc210730343" w:history="1">
        <w:r w:rsidRPr="00CD60E5">
          <w:rPr>
            <w:rStyle w:val="Hyperlink"/>
          </w:rPr>
          <w:t>Exhibit 10 Methods of data analysis</w:t>
        </w:r>
        <w:r>
          <w:rPr>
            <w:webHidden/>
          </w:rPr>
          <w:tab/>
        </w:r>
        <w:r>
          <w:rPr>
            <w:webHidden/>
          </w:rPr>
          <w:fldChar w:fldCharType="begin"/>
        </w:r>
        <w:r>
          <w:rPr>
            <w:webHidden/>
          </w:rPr>
          <w:instrText xml:space="preserve"> PAGEREF _Toc210730343 \h </w:instrText>
        </w:r>
        <w:r>
          <w:rPr>
            <w:webHidden/>
          </w:rPr>
        </w:r>
        <w:r>
          <w:rPr>
            <w:webHidden/>
          </w:rPr>
          <w:fldChar w:fldCharType="separate"/>
        </w:r>
        <w:r>
          <w:rPr>
            <w:webHidden/>
          </w:rPr>
          <w:t>30</w:t>
        </w:r>
        <w:r>
          <w:rPr>
            <w:webHidden/>
          </w:rPr>
          <w:fldChar w:fldCharType="end"/>
        </w:r>
      </w:hyperlink>
    </w:p>
    <w:p w14:paraId="21797530" w14:textId="6B4F0A31" w:rsidR="00293207" w:rsidRDefault="00293207">
      <w:pPr>
        <w:pStyle w:val="TableofFigures"/>
        <w:rPr>
          <w:rFonts w:eastAsiaTheme="minorEastAsia"/>
          <w:sz w:val="24"/>
          <w:szCs w:val="24"/>
          <w:lang w:eastAsia="en-CA"/>
        </w:rPr>
      </w:pPr>
      <w:hyperlink w:anchor="_Toc210730344" w:history="1">
        <w:r w:rsidRPr="00CD60E5">
          <w:rPr>
            <w:rStyle w:val="Hyperlink"/>
          </w:rPr>
          <w:t>Exhibit 11 Capacity gaps by target country</w:t>
        </w:r>
        <w:r>
          <w:rPr>
            <w:webHidden/>
          </w:rPr>
          <w:tab/>
        </w:r>
        <w:r>
          <w:rPr>
            <w:webHidden/>
          </w:rPr>
          <w:fldChar w:fldCharType="begin"/>
        </w:r>
        <w:r>
          <w:rPr>
            <w:webHidden/>
          </w:rPr>
          <w:instrText xml:space="preserve"> PAGEREF _Toc210730344 \h </w:instrText>
        </w:r>
        <w:r>
          <w:rPr>
            <w:webHidden/>
          </w:rPr>
        </w:r>
        <w:r>
          <w:rPr>
            <w:webHidden/>
          </w:rPr>
          <w:fldChar w:fldCharType="separate"/>
        </w:r>
        <w:r>
          <w:rPr>
            <w:webHidden/>
          </w:rPr>
          <w:t>33</w:t>
        </w:r>
        <w:r>
          <w:rPr>
            <w:webHidden/>
          </w:rPr>
          <w:fldChar w:fldCharType="end"/>
        </w:r>
      </w:hyperlink>
    </w:p>
    <w:p w14:paraId="4B917F9D" w14:textId="0817285C" w:rsidR="00293207" w:rsidRDefault="00293207">
      <w:pPr>
        <w:pStyle w:val="TableofFigures"/>
        <w:rPr>
          <w:rFonts w:eastAsiaTheme="minorEastAsia"/>
          <w:sz w:val="24"/>
          <w:szCs w:val="24"/>
          <w:lang w:eastAsia="en-CA"/>
        </w:rPr>
      </w:pPr>
      <w:hyperlink w:anchor="_Toc210730345" w:history="1">
        <w:r w:rsidRPr="00CD60E5">
          <w:rPr>
            <w:rStyle w:val="Hyperlink"/>
          </w:rPr>
          <w:t>Exhibit 12 Overview of strategic programming - Executing entities</w:t>
        </w:r>
        <w:r>
          <w:rPr>
            <w:webHidden/>
          </w:rPr>
          <w:tab/>
        </w:r>
        <w:r>
          <w:rPr>
            <w:webHidden/>
          </w:rPr>
          <w:fldChar w:fldCharType="begin"/>
        </w:r>
        <w:r>
          <w:rPr>
            <w:webHidden/>
          </w:rPr>
          <w:instrText xml:space="preserve"> PAGEREF _Toc210730345 \h </w:instrText>
        </w:r>
        <w:r>
          <w:rPr>
            <w:webHidden/>
          </w:rPr>
        </w:r>
        <w:r>
          <w:rPr>
            <w:webHidden/>
          </w:rPr>
          <w:fldChar w:fldCharType="separate"/>
        </w:r>
        <w:r>
          <w:rPr>
            <w:webHidden/>
          </w:rPr>
          <w:t>35</w:t>
        </w:r>
        <w:r>
          <w:rPr>
            <w:webHidden/>
          </w:rPr>
          <w:fldChar w:fldCharType="end"/>
        </w:r>
      </w:hyperlink>
    </w:p>
    <w:p w14:paraId="27D98753" w14:textId="2A93F842" w:rsidR="00293207" w:rsidRDefault="00293207">
      <w:pPr>
        <w:pStyle w:val="TableofFigures"/>
        <w:rPr>
          <w:rFonts w:eastAsiaTheme="minorEastAsia"/>
          <w:sz w:val="24"/>
          <w:szCs w:val="24"/>
          <w:lang w:eastAsia="en-CA"/>
        </w:rPr>
      </w:pPr>
      <w:hyperlink w:anchor="_Toc210730346" w:history="1">
        <w:r w:rsidRPr="00CD60E5">
          <w:rPr>
            <w:rStyle w:val="Hyperlink"/>
          </w:rPr>
          <w:t>Exhibit 13 Summary of results – Outcome 1</w:t>
        </w:r>
        <w:r>
          <w:rPr>
            <w:webHidden/>
          </w:rPr>
          <w:tab/>
        </w:r>
        <w:r>
          <w:rPr>
            <w:webHidden/>
          </w:rPr>
          <w:fldChar w:fldCharType="begin"/>
        </w:r>
        <w:r>
          <w:rPr>
            <w:webHidden/>
          </w:rPr>
          <w:instrText xml:space="preserve"> PAGEREF _Toc210730346 \h </w:instrText>
        </w:r>
        <w:r>
          <w:rPr>
            <w:webHidden/>
          </w:rPr>
        </w:r>
        <w:r>
          <w:rPr>
            <w:webHidden/>
          </w:rPr>
          <w:fldChar w:fldCharType="separate"/>
        </w:r>
        <w:r>
          <w:rPr>
            <w:webHidden/>
          </w:rPr>
          <w:t>48</w:t>
        </w:r>
        <w:r>
          <w:rPr>
            <w:webHidden/>
          </w:rPr>
          <w:fldChar w:fldCharType="end"/>
        </w:r>
      </w:hyperlink>
    </w:p>
    <w:p w14:paraId="5F293419" w14:textId="038C6997" w:rsidR="00293207" w:rsidRDefault="00293207">
      <w:pPr>
        <w:pStyle w:val="TableofFigures"/>
        <w:rPr>
          <w:rFonts w:eastAsiaTheme="minorEastAsia"/>
          <w:sz w:val="24"/>
          <w:szCs w:val="24"/>
          <w:lang w:eastAsia="en-CA"/>
        </w:rPr>
      </w:pPr>
      <w:hyperlink w:anchor="_Toc210730347" w:history="1">
        <w:r w:rsidRPr="00CD60E5">
          <w:rPr>
            <w:rStyle w:val="Hyperlink"/>
          </w:rPr>
          <w:t>Exhibit 14 Summary of results – Outcome 2</w:t>
        </w:r>
        <w:r>
          <w:rPr>
            <w:webHidden/>
          </w:rPr>
          <w:tab/>
        </w:r>
        <w:r>
          <w:rPr>
            <w:webHidden/>
          </w:rPr>
          <w:fldChar w:fldCharType="begin"/>
        </w:r>
        <w:r>
          <w:rPr>
            <w:webHidden/>
          </w:rPr>
          <w:instrText xml:space="preserve"> PAGEREF _Toc210730347 \h </w:instrText>
        </w:r>
        <w:r>
          <w:rPr>
            <w:webHidden/>
          </w:rPr>
        </w:r>
        <w:r>
          <w:rPr>
            <w:webHidden/>
          </w:rPr>
          <w:fldChar w:fldCharType="separate"/>
        </w:r>
        <w:r>
          <w:rPr>
            <w:webHidden/>
          </w:rPr>
          <w:t>50</w:t>
        </w:r>
        <w:r>
          <w:rPr>
            <w:webHidden/>
          </w:rPr>
          <w:fldChar w:fldCharType="end"/>
        </w:r>
      </w:hyperlink>
    </w:p>
    <w:p w14:paraId="4AC07EB8" w14:textId="7D8116B0" w:rsidR="00293207" w:rsidRDefault="00293207">
      <w:pPr>
        <w:pStyle w:val="TableofFigures"/>
        <w:rPr>
          <w:rFonts w:eastAsiaTheme="minorEastAsia"/>
          <w:sz w:val="24"/>
          <w:szCs w:val="24"/>
          <w:lang w:eastAsia="en-CA"/>
        </w:rPr>
      </w:pPr>
      <w:hyperlink w:anchor="_Toc210730348" w:history="1">
        <w:r w:rsidRPr="00CD60E5">
          <w:rPr>
            <w:rStyle w:val="Hyperlink"/>
          </w:rPr>
          <w:t>Exhibit 15 Participant perception of the most useful session</w:t>
        </w:r>
        <w:r>
          <w:rPr>
            <w:webHidden/>
          </w:rPr>
          <w:tab/>
        </w:r>
        <w:r>
          <w:rPr>
            <w:webHidden/>
          </w:rPr>
          <w:fldChar w:fldCharType="begin"/>
        </w:r>
        <w:r>
          <w:rPr>
            <w:webHidden/>
          </w:rPr>
          <w:instrText xml:space="preserve"> PAGEREF _Toc210730348 \h </w:instrText>
        </w:r>
        <w:r>
          <w:rPr>
            <w:webHidden/>
          </w:rPr>
        </w:r>
        <w:r>
          <w:rPr>
            <w:webHidden/>
          </w:rPr>
          <w:fldChar w:fldCharType="separate"/>
        </w:r>
        <w:r>
          <w:rPr>
            <w:webHidden/>
          </w:rPr>
          <w:t>52</w:t>
        </w:r>
        <w:r>
          <w:rPr>
            <w:webHidden/>
          </w:rPr>
          <w:fldChar w:fldCharType="end"/>
        </w:r>
      </w:hyperlink>
    </w:p>
    <w:p w14:paraId="55CA384D" w14:textId="1191A454" w:rsidR="00293207" w:rsidRDefault="00293207">
      <w:pPr>
        <w:pStyle w:val="TableofFigures"/>
        <w:rPr>
          <w:rFonts w:eastAsiaTheme="minorEastAsia"/>
          <w:sz w:val="24"/>
          <w:szCs w:val="24"/>
          <w:lang w:eastAsia="en-CA"/>
        </w:rPr>
      </w:pPr>
      <w:hyperlink w:anchor="_Toc210730349" w:history="1">
        <w:r w:rsidRPr="00CD60E5">
          <w:rPr>
            <w:rStyle w:val="Hyperlink"/>
          </w:rPr>
          <w:t>Exhibit 16 Likelihood of incorporating INFF strategies or approaches into country development plans</w:t>
        </w:r>
        <w:r>
          <w:rPr>
            <w:webHidden/>
          </w:rPr>
          <w:tab/>
        </w:r>
        <w:r>
          <w:rPr>
            <w:webHidden/>
          </w:rPr>
          <w:fldChar w:fldCharType="begin"/>
        </w:r>
        <w:r>
          <w:rPr>
            <w:webHidden/>
          </w:rPr>
          <w:instrText xml:space="preserve"> PAGEREF _Toc210730349 \h </w:instrText>
        </w:r>
        <w:r>
          <w:rPr>
            <w:webHidden/>
          </w:rPr>
        </w:r>
        <w:r>
          <w:rPr>
            <w:webHidden/>
          </w:rPr>
          <w:fldChar w:fldCharType="separate"/>
        </w:r>
        <w:r>
          <w:rPr>
            <w:webHidden/>
          </w:rPr>
          <w:t>52</w:t>
        </w:r>
        <w:r>
          <w:rPr>
            <w:webHidden/>
          </w:rPr>
          <w:fldChar w:fldCharType="end"/>
        </w:r>
      </w:hyperlink>
    </w:p>
    <w:p w14:paraId="49DECB8C" w14:textId="63F3706E" w:rsidR="00293207" w:rsidRDefault="00293207">
      <w:pPr>
        <w:pStyle w:val="TableofFigures"/>
        <w:rPr>
          <w:rFonts w:eastAsiaTheme="minorEastAsia"/>
          <w:sz w:val="24"/>
          <w:szCs w:val="24"/>
          <w:lang w:eastAsia="en-CA"/>
        </w:rPr>
      </w:pPr>
      <w:hyperlink w:anchor="_Toc210730350" w:history="1">
        <w:r w:rsidRPr="00CD60E5">
          <w:rPr>
            <w:rStyle w:val="Hyperlink"/>
          </w:rPr>
          <w:t>Exhibit 17 Participation perception of training relevance – INFF inception workshop, Africa region</w:t>
        </w:r>
        <w:r>
          <w:rPr>
            <w:webHidden/>
          </w:rPr>
          <w:tab/>
        </w:r>
        <w:r>
          <w:rPr>
            <w:webHidden/>
          </w:rPr>
          <w:fldChar w:fldCharType="begin"/>
        </w:r>
        <w:r>
          <w:rPr>
            <w:webHidden/>
          </w:rPr>
          <w:instrText xml:space="preserve"> PAGEREF _Toc210730350 \h </w:instrText>
        </w:r>
        <w:r>
          <w:rPr>
            <w:webHidden/>
          </w:rPr>
        </w:r>
        <w:r>
          <w:rPr>
            <w:webHidden/>
          </w:rPr>
          <w:fldChar w:fldCharType="separate"/>
        </w:r>
        <w:r>
          <w:rPr>
            <w:webHidden/>
          </w:rPr>
          <w:t>52</w:t>
        </w:r>
        <w:r>
          <w:rPr>
            <w:webHidden/>
          </w:rPr>
          <w:fldChar w:fldCharType="end"/>
        </w:r>
      </w:hyperlink>
    </w:p>
    <w:p w14:paraId="03339114" w14:textId="18D33B22" w:rsidR="00293207" w:rsidRDefault="00293207">
      <w:pPr>
        <w:pStyle w:val="TableofFigures"/>
        <w:rPr>
          <w:rFonts w:eastAsiaTheme="minorEastAsia"/>
          <w:sz w:val="24"/>
          <w:szCs w:val="24"/>
          <w:lang w:eastAsia="en-CA"/>
        </w:rPr>
      </w:pPr>
      <w:hyperlink w:anchor="_Toc210730351" w:history="1">
        <w:r w:rsidRPr="00CD60E5">
          <w:rPr>
            <w:rStyle w:val="Hyperlink"/>
          </w:rPr>
          <w:t>Exhibit 18 Impact of UNESCWA regional events in the Arab sub-region</w:t>
        </w:r>
        <w:r>
          <w:rPr>
            <w:webHidden/>
          </w:rPr>
          <w:tab/>
        </w:r>
        <w:r>
          <w:rPr>
            <w:webHidden/>
          </w:rPr>
          <w:fldChar w:fldCharType="begin"/>
        </w:r>
        <w:r>
          <w:rPr>
            <w:webHidden/>
          </w:rPr>
          <w:instrText xml:space="preserve"> PAGEREF _Toc210730351 \h </w:instrText>
        </w:r>
        <w:r>
          <w:rPr>
            <w:webHidden/>
          </w:rPr>
        </w:r>
        <w:r>
          <w:rPr>
            <w:webHidden/>
          </w:rPr>
          <w:fldChar w:fldCharType="separate"/>
        </w:r>
        <w:r>
          <w:rPr>
            <w:webHidden/>
          </w:rPr>
          <w:t>67</w:t>
        </w:r>
        <w:r>
          <w:rPr>
            <w:webHidden/>
          </w:rPr>
          <w:fldChar w:fldCharType="end"/>
        </w:r>
      </w:hyperlink>
    </w:p>
    <w:p w14:paraId="6C517039" w14:textId="091C94FA" w:rsidR="00293207" w:rsidRDefault="00293207">
      <w:pPr>
        <w:pStyle w:val="TableofFigures"/>
        <w:rPr>
          <w:rFonts w:eastAsiaTheme="minorEastAsia"/>
          <w:sz w:val="24"/>
          <w:szCs w:val="24"/>
          <w:lang w:eastAsia="en-CA"/>
        </w:rPr>
      </w:pPr>
      <w:hyperlink w:anchor="_Toc210730352" w:history="1">
        <w:r w:rsidRPr="00CD60E5">
          <w:rPr>
            <w:rStyle w:val="Hyperlink"/>
          </w:rPr>
          <w:t>Exhibit 19 Adoption potential of INFF project tools</w:t>
        </w:r>
        <w:r>
          <w:rPr>
            <w:webHidden/>
          </w:rPr>
          <w:tab/>
        </w:r>
        <w:r>
          <w:rPr>
            <w:webHidden/>
          </w:rPr>
          <w:fldChar w:fldCharType="begin"/>
        </w:r>
        <w:r>
          <w:rPr>
            <w:webHidden/>
          </w:rPr>
          <w:instrText xml:space="preserve"> PAGEREF _Toc210730352 \h </w:instrText>
        </w:r>
        <w:r>
          <w:rPr>
            <w:webHidden/>
          </w:rPr>
        </w:r>
        <w:r>
          <w:rPr>
            <w:webHidden/>
          </w:rPr>
          <w:fldChar w:fldCharType="separate"/>
        </w:r>
        <w:r>
          <w:rPr>
            <w:webHidden/>
          </w:rPr>
          <w:t>73</w:t>
        </w:r>
        <w:r>
          <w:rPr>
            <w:webHidden/>
          </w:rPr>
          <w:fldChar w:fldCharType="end"/>
        </w:r>
      </w:hyperlink>
    </w:p>
    <w:p w14:paraId="4BB7A4EE" w14:textId="0B4B3140" w:rsidR="00616305" w:rsidRPr="00616305" w:rsidRDefault="00616305" w:rsidP="00616305">
      <w:pPr>
        <w:rPr>
          <w:lang w:val="en-US" w:eastAsia="en-US"/>
        </w:rPr>
      </w:pPr>
      <w:r>
        <w:rPr>
          <w:lang w:val="en-US" w:eastAsia="en-US"/>
        </w:rPr>
        <w:fldChar w:fldCharType="end"/>
      </w:r>
    </w:p>
    <w:p w14:paraId="7D92D19E" w14:textId="4DB5C826" w:rsidR="00875969" w:rsidRDefault="005E4CD6" w:rsidP="005E4CD6">
      <w:pPr>
        <w:pStyle w:val="TOCHeading"/>
      </w:pPr>
      <w:r w:rsidRPr="00DC04B4">
        <w:t>List of Annexes</w:t>
      </w:r>
    </w:p>
    <w:p w14:paraId="4618ADF3" w14:textId="328EF412" w:rsidR="00293207" w:rsidRDefault="00111E86">
      <w:pPr>
        <w:pStyle w:val="TOC9"/>
        <w:rPr>
          <w:rFonts w:eastAsiaTheme="minorEastAsia" w:cstheme="minorBidi"/>
          <w:sz w:val="24"/>
          <w:szCs w:val="24"/>
          <w:lang w:eastAsia="en-CA"/>
        </w:rPr>
      </w:pPr>
      <w:r>
        <w:rPr>
          <w:rFonts w:eastAsiaTheme="minorEastAsia" w:cstheme="minorBidi"/>
          <w:b/>
          <w:sz w:val="21"/>
          <w:szCs w:val="22"/>
        </w:rPr>
        <w:fldChar w:fldCharType="begin"/>
      </w:r>
      <w:r>
        <w:instrText xml:space="preserve"> TOC \o "</w:instrText>
      </w:r>
      <w:r w:rsidR="00A65CFC">
        <w:instrText>9</w:instrText>
      </w:r>
      <w:r>
        <w:instrText>-</w:instrText>
      </w:r>
      <w:r w:rsidR="00A65CFC">
        <w:instrText>9</w:instrText>
      </w:r>
      <w:r>
        <w:instrText xml:space="preserve">" \h \z \t  </w:instrText>
      </w:r>
      <w:r>
        <w:rPr>
          <w:rFonts w:eastAsiaTheme="minorEastAsia" w:cstheme="minorBidi"/>
          <w:b/>
          <w:sz w:val="21"/>
          <w:szCs w:val="22"/>
        </w:rPr>
        <w:fldChar w:fldCharType="separate"/>
      </w:r>
      <w:hyperlink w:anchor="_Toc210730353" w:history="1">
        <w:r w:rsidR="00293207" w:rsidRPr="00CC4642">
          <w:rPr>
            <w:rStyle w:val="Hyperlink"/>
          </w:rPr>
          <w:t>Annex 1 Terms of Reference</w:t>
        </w:r>
        <w:r w:rsidR="00293207">
          <w:rPr>
            <w:webHidden/>
          </w:rPr>
          <w:tab/>
        </w:r>
        <w:r w:rsidR="00293207">
          <w:rPr>
            <w:webHidden/>
          </w:rPr>
          <w:fldChar w:fldCharType="begin"/>
        </w:r>
        <w:r w:rsidR="00293207">
          <w:rPr>
            <w:webHidden/>
          </w:rPr>
          <w:instrText xml:space="preserve"> PAGEREF _Toc210730353 \h </w:instrText>
        </w:r>
        <w:r w:rsidR="00293207">
          <w:rPr>
            <w:webHidden/>
          </w:rPr>
        </w:r>
        <w:r w:rsidR="00293207">
          <w:rPr>
            <w:webHidden/>
          </w:rPr>
          <w:fldChar w:fldCharType="separate"/>
        </w:r>
        <w:r w:rsidR="00293207">
          <w:rPr>
            <w:webHidden/>
          </w:rPr>
          <w:t>81</w:t>
        </w:r>
        <w:r w:rsidR="00293207">
          <w:rPr>
            <w:webHidden/>
          </w:rPr>
          <w:fldChar w:fldCharType="end"/>
        </w:r>
      </w:hyperlink>
    </w:p>
    <w:p w14:paraId="3BD61B05" w14:textId="02925CF7" w:rsidR="00293207" w:rsidRDefault="00293207">
      <w:pPr>
        <w:pStyle w:val="TOC9"/>
        <w:rPr>
          <w:rFonts w:eastAsiaTheme="minorEastAsia" w:cstheme="minorBidi"/>
          <w:sz w:val="24"/>
          <w:szCs w:val="24"/>
          <w:lang w:eastAsia="en-CA"/>
        </w:rPr>
      </w:pPr>
      <w:hyperlink w:anchor="_Toc210730354" w:history="1">
        <w:r w:rsidRPr="00CC4642">
          <w:rPr>
            <w:rStyle w:val="Hyperlink"/>
          </w:rPr>
          <w:t>Annex 2 Theory of Change/ Results Framework</w:t>
        </w:r>
        <w:r>
          <w:rPr>
            <w:webHidden/>
          </w:rPr>
          <w:tab/>
        </w:r>
        <w:r>
          <w:rPr>
            <w:webHidden/>
          </w:rPr>
          <w:fldChar w:fldCharType="begin"/>
        </w:r>
        <w:r>
          <w:rPr>
            <w:webHidden/>
          </w:rPr>
          <w:instrText xml:space="preserve"> PAGEREF _Toc210730354 \h </w:instrText>
        </w:r>
        <w:r>
          <w:rPr>
            <w:webHidden/>
          </w:rPr>
        </w:r>
        <w:r>
          <w:rPr>
            <w:webHidden/>
          </w:rPr>
          <w:fldChar w:fldCharType="separate"/>
        </w:r>
        <w:r>
          <w:rPr>
            <w:webHidden/>
          </w:rPr>
          <w:t>93</w:t>
        </w:r>
        <w:r>
          <w:rPr>
            <w:webHidden/>
          </w:rPr>
          <w:fldChar w:fldCharType="end"/>
        </w:r>
      </w:hyperlink>
    </w:p>
    <w:p w14:paraId="1FD75D32" w14:textId="119DB708" w:rsidR="00293207" w:rsidRDefault="00293207">
      <w:pPr>
        <w:pStyle w:val="TOC9"/>
        <w:rPr>
          <w:rFonts w:eastAsiaTheme="minorEastAsia" w:cstheme="minorBidi"/>
          <w:sz w:val="24"/>
          <w:szCs w:val="24"/>
          <w:lang w:eastAsia="en-CA"/>
        </w:rPr>
      </w:pPr>
      <w:hyperlink w:anchor="_Toc210730355" w:history="1">
        <w:r w:rsidRPr="00CC4642">
          <w:rPr>
            <w:rStyle w:val="Hyperlink"/>
          </w:rPr>
          <w:t>Annex 3 Target Project Beneficiaries</w:t>
        </w:r>
        <w:r>
          <w:rPr>
            <w:webHidden/>
          </w:rPr>
          <w:tab/>
        </w:r>
        <w:r>
          <w:rPr>
            <w:webHidden/>
          </w:rPr>
          <w:fldChar w:fldCharType="begin"/>
        </w:r>
        <w:r>
          <w:rPr>
            <w:webHidden/>
          </w:rPr>
          <w:instrText xml:space="preserve"> PAGEREF _Toc210730355 \h </w:instrText>
        </w:r>
        <w:r>
          <w:rPr>
            <w:webHidden/>
          </w:rPr>
        </w:r>
        <w:r>
          <w:rPr>
            <w:webHidden/>
          </w:rPr>
          <w:fldChar w:fldCharType="separate"/>
        </w:r>
        <w:r>
          <w:rPr>
            <w:webHidden/>
          </w:rPr>
          <w:t>101</w:t>
        </w:r>
        <w:r>
          <w:rPr>
            <w:webHidden/>
          </w:rPr>
          <w:fldChar w:fldCharType="end"/>
        </w:r>
      </w:hyperlink>
    </w:p>
    <w:p w14:paraId="241EFA7E" w14:textId="4BD74E4F" w:rsidR="00293207" w:rsidRDefault="00293207">
      <w:pPr>
        <w:pStyle w:val="TOC9"/>
        <w:rPr>
          <w:rFonts w:eastAsiaTheme="minorEastAsia" w:cstheme="minorBidi"/>
          <w:sz w:val="24"/>
          <w:szCs w:val="24"/>
          <w:lang w:eastAsia="en-CA"/>
        </w:rPr>
      </w:pPr>
      <w:hyperlink w:anchor="_Toc210730356" w:history="1">
        <w:r w:rsidRPr="00CC4642">
          <w:rPr>
            <w:rStyle w:val="Hyperlink"/>
          </w:rPr>
          <w:t>Annex 4 Definition of Evaluation Criteria</w:t>
        </w:r>
        <w:r>
          <w:rPr>
            <w:webHidden/>
          </w:rPr>
          <w:tab/>
        </w:r>
        <w:r>
          <w:rPr>
            <w:webHidden/>
          </w:rPr>
          <w:fldChar w:fldCharType="begin"/>
        </w:r>
        <w:r>
          <w:rPr>
            <w:webHidden/>
          </w:rPr>
          <w:instrText xml:space="preserve"> PAGEREF _Toc210730356 \h </w:instrText>
        </w:r>
        <w:r>
          <w:rPr>
            <w:webHidden/>
          </w:rPr>
        </w:r>
        <w:r>
          <w:rPr>
            <w:webHidden/>
          </w:rPr>
          <w:fldChar w:fldCharType="separate"/>
        </w:r>
        <w:r>
          <w:rPr>
            <w:webHidden/>
          </w:rPr>
          <w:t>103</w:t>
        </w:r>
        <w:r>
          <w:rPr>
            <w:webHidden/>
          </w:rPr>
          <w:fldChar w:fldCharType="end"/>
        </w:r>
      </w:hyperlink>
    </w:p>
    <w:p w14:paraId="537C7782" w14:textId="51A1D95F" w:rsidR="00293207" w:rsidRDefault="00293207">
      <w:pPr>
        <w:pStyle w:val="TOC9"/>
        <w:rPr>
          <w:rFonts w:eastAsiaTheme="minorEastAsia" w:cstheme="minorBidi"/>
          <w:sz w:val="24"/>
          <w:szCs w:val="24"/>
          <w:lang w:eastAsia="en-CA"/>
        </w:rPr>
      </w:pPr>
      <w:hyperlink w:anchor="_Toc210730357" w:history="1">
        <w:r w:rsidRPr="00CC4642">
          <w:rPr>
            <w:rStyle w:val="Hyperlink"/>
          </w:rPr>
          <w:t>Annex 5 Evaluation Matrix</w:t>
        </w:r>
        <w:r>
          <w:rPr>
            <w:webHidden/>
          </w:rPr>
          <w:tab/>
        </w:r>
        <w:r>
          <w:rPr>
            <w:webHidden/>
          </w:rPr>
          <w:fldChar w:fldCharType="begin"/>
        </w:r>
        <w:r>
          <w:rPr>
            <w:webHidden/>
          </w:rPr>
          <w:instrText xml:space="preserve"> PAGEREF _Toc210730357 \h </w:instrText>
        </w:r>
        <w:r>
          <w:rPr>
            <w:webHidden/>
          </w:rPr>
        </w:r>
        <w:r>
          <w:rPr>
            <w:webHidden/>
          </w:rPr>
          <w:fldChar w:fldCharType="separate"/>
        </w:r>
        <w:r>
          <w:rPr>
            <w:webHidden/>
          </w:rPr>
          <w:t>105</w:t>
        </w:r>
        <w:r>
          <w:rPr>
            <w:webHidden/>
          </w:rPr>
          <w:fldChar w:fldCharType="end"/>
        </w:r>
      </w:hyperlink>
    </w:p>
    <w:p w14:paraId="690197DB" w14:textId="7594AC54" w:rsidR="00293207" w:rsidRDefault="00293207">
      <w:pPr>
        <w:pStyle w:val="TOC9"/>
        <w:rPr>
          <w:rFonts w:eastAsiaTheme="minorEastAsia" w:cstheme="minorBidi"/>
          <w:sz w:val="24"/>
          <w:szCs w:val="24"/>
          <w:lang w:eastAsia="en-CA"/>
        </w:rPr>
      </w:pPr>
      <w:hyperlink w:anchor="_Toc210730358" w:history="1">
        <w:r w:rsidRPr="00CC4642">
          <w:rPr>
            <w:rStyle w:val="Hyperlink"/>
          </w:rPr>
          <w:t>Annex 6 List of Data Collection Instruments</w:t>
        </w:r>
        <w:r>
          <w:rPr>
            <w:webHidden/>
          </w:rPr>
          <w:tab/>
        </w:r>
        <w:r>
          <w:rPr>
            <w:webHidden/>
          </w:rPr>
          <w:fldChar w:fldCharType="begin"/>
        </w:r>
        <w:r>
          <w:rPr>
            <w:webHidden/>
          </w:rPr>
          <w:instrText xml:space="preserve"> PAGEREF _Toc210730358 \h </w:instrText>
        </w:r>
        <w:r>
          <w:rPr>
            <w:webHidden/>
          </w:rPr>
        </w:r>
        <w:r>
          <w:rPr>
            <w:webHidden/>
          </w:rPr>
          <w:fldChar w:fldCharType="separate"/>
        </w:r>
        <w:r>
          <w:rPr>
            <w:webHidden/>
          </w:rPr>
          <w:t>122</w:t>
        </w:r>
        <w:r>
          <w:rPr>
            <w:webHidden/>
          </w:rPr>
          <w:fldChar w:fldCharType="end"/>
        </w:r>
      </w:hyperlink>
    </w:p>
    <w:p w14:paraId="7D2BA065" w14:textId="292CA60F" w:rsidR="00293207" w:rsidRDefault="00293207">
      <w:pPr>
        <w:pStyle w:val="TOC9"/>
        <w:rPr>
          <w:rFonts w:eastAsiaTheme="minorEastAsia" w:cstheme="minorBidi"/>
          <w:sz w:val="24"/>
          <w:szCs w:val="24"/>
          <w:lang w:eastAsia="en-CA"/>
        </w:rPr>
      </w:pPr>
      <w:hyperlink w:anchor="_Toc210730359" w:history="1">
        <w:r w:rsidRPr="00CC4642">
          <w:rPr>
            <w:rStyle w:val="Hyperlink"/>
          </w:rPr>
          <w:t>Annex 7 List of Individuals Interviewed</w:t>
        </w:r>
        <w:r>
          <w:rPr>
            <w:webHidden/>
          </w:rPr>
          <w:tab/>
        </w:r>
        <w:r>
          <w:rPr>
            <w:webHidden/>
          </w:rPr>
          <w:fldChar w:fldCharType="begin"/>
        </w:r>
        <w:r>
          <w:rPr>
            <w:webHidden/>
          </w:rPr>
          <w:instrText xml:space="preserve"> PAGEREF _Toc210730359 \h </w:instrText>
        </w:r>
        <w:r>
          <w:rPr>
            <w:webHidden/>
          </w:rPr>
        </w:r>
        <w:r>
          <w:rPr>
            <w:webHidden/>
          </w:rPr>
          <w:fldChar w:fldCharType="separate"/>
        </w:r>
        <w:r>
          <w:rPr>
            <w:webHidden/>
          </w:rPr>
          <w:t>137</w:t>
        </w:r>
        <w:r>
          <w:rPr>
            <w:webHidden/>
          </w:rPr>
          <w:fldChar w:fldCharType="end"/>
        </w:r>
      </w:hyperlink>
    </w:p>
    <w:p w14:paraId="0DB53BDB" w14:textId="4C9C7077" w:rsidR="00293207" w:rsidRDefault="00293207">
      <w:pPr>
        <w:pStyle w:val="TOC9"/>
        <w:rPr>
          <w:rFonts w:eastAsiaTheme="minorEastAsia" w:cstheme="minorBidi"/>
          <w:sz w:val="24"/>
          <w:szCs w:val="24"/>
          <w:lang w:eastAsia="en-CA"/>
        </w:rPr>
      </w:pPr>
      <w:hyperlink w:anchor="_Toc210730360" w:history="1">
        <w:r w:rsidRPr="00CC4642">
          <w:rPr>
            <w:rStyle w:val="Hyperlink"/>
          </w:rPr>
          <w:t>Annex 8 List of Documents and Websites Reviewed</w:t>
        </w:r>
        <w:r>
          <w:rPr>
            <w:webHidden/>
          </w:rPr>
          <w:tab/>
        </w:r>
        <w:r>
          <w:rPr>
            <w:webHidden/>
          </w:rPr>
          <w:fldChar w:fldCharType="begin"/>
        </w:r>
        <w:r>
          <w:rPr>
            <w:webHidden/>
          </w:rPr>
          <w:instrText xml:space="preserve"> PAGEREF _Toc210730360 \h </w:instrText>
        </w:r>
        <w:r>
          <w:rPr>
            <w:webHidden/>
          </w:rPr>
        </w:r>
        <w:r>
          <w:rPr>
            <w:webHidden/>
          </w:rPr>
          <w:fldChar w:fldCharType="separate"/>
        </w:r>
        <w:r>
          <w:rPr>
            <w:webHidden/>
          </w:rPr>
          <w:t>141</w:t>
        </w:r>
        <w:r>
          <w:rPr>
            <w:webHidden/>
          </w:rPr>
          <w:fldChar w:fldCharType="end"/>
        </w:r>
      </w:hyperlink>
    </w:p>
    <w:p w14:paraId="7CC5E917" w14:textId="3C0E808B" w:rsidR="00293207" w:rsidRDefault="00293207">
      <w:pPr>
        <w:pStyle w:val="TOC9"/>
        <w:rPr>
          <w:rFonts w:eastAsiaTheme="minorEastAsia" w:cstheme="minorBidi"/>
          <w:sz w:val="24"/>
          <w:szCs w:val="24"/>
          <w:lang w:eastAsia="en-CA"/>
        </w:rPr>
      </w:pPr>
      <w:hyperlink w:anchor="_Toc210730361" w:history="1">
        <w:r w:rsidRPr="00CC4642">
          <w:rPr>
            <w:rStyle w:val="Hyperlink"/>
          </w:rPr>
          <w:t>Annex 9 Case Studies</w:t>
        </w:r>
        <w:r>
          <w:rPr>
            <w:webHidden/>
          </w:rPr>
          <w:tab/>
        </w:r>
        <w:r>
          <w:rPr>
            <w:webHidden/>
          </w:rPr>
          <w:fldChar w:fldCharType="begin"/>
        </w:r>
        <w:r>
          <w:rPr>
            <w:webHidden/>
          </w:rPr>
          <w:instrText xml:space="preserve"> PAGEREF _Toc210730361 \h </w:instrText>
        </w:r>
        <w:r>
          <w:rPr>
            <w:webHidden/>
          </w:rPr>
        </w:r>
        <w:r>
          <w:rPr>
            <w:webHidden/>
          </w:rPr>
          <w:fldChar w:fldCharType="separate"/>
        </w:r>
        <w:r>
          <w:rPr>
            <w:webHidden/>
          </w:rPr>
          <w:t>148</w:t>
        </w:r>
        <w:r>
          <w:rPr>
            <w:webHidden/>
          </w:rPr>
          <w:fldChar w:fldCharType="end"/>
        </w:r>
      </w:hyperlink>
    </w:p>
    <w:p w14:paraId="4F8C21D3" w14:textId="514BD394" w:rsidR="00293207" w:rsidRDefault="00293207">
      <w:pPr>
        <w:pStyle w:val="TOC9"/>
        <w:rPr>
          <w:rFonts w:eastAsiaTheme="minorEastAsia" w:cstheme="minorBidi"/>
          <w:sz w:val="24"/>
          <w:szCs w:val="24"/>
          <w:lang w:eastAsia="en-CA"/>
        </w:rPr>
      </w:pPr>
      <w:hyperlink w:anchor="_Toc210730362" w:history="1">
        <w:r w:rsidRPr="00CC4642">
          <w:rPr>
            <w:rStyle w:val="Hyperlink"/>
          </w:rPr>
          <w:t>Annex 10 Management Response</w:t>
        </w:r>
        <w:r>
          <w:rPr>
            <w:webHidden/>
          </w:rPr>
          <w:tab/>
        </w:r>
        <w:r>
          <w:rPr>
            <w:webHidden/>
          </w:rPr>
          <w:fldChar w:fldCharType="begin"/>
        </w:r>
        <w:r>
          <w:rPr>
            <w:webHidden/>
          </w:rPr>
          <w:instrText xml:space="preserve"> PAGEREF _Toc210730362 \h </w:instrText>
        </w:r>
        <w:r>
          <w:rPr>
            <w:webHidden/>
          </w:rPr>
        </w:r>
        <w:r>
          <w:rPr>
            <w:webHidden/>
          </w:rPr>
          <w:fldChar w:fldCharType="separate"/>
        </w:r>
        <w:r>
          <w:rPr>
            <w:webHidden/>
          </w:rPr>
          <w:t>163</w:t>
        </w:r>
        <w:r>
          <w:rPr>
            <w:webHidden/>
          </w:rPr>
          <w:fldChar w:fldCharType="end"/>
        </w:r>
      </w:hyperlink>
    </w:p>
    <w:p w14:paraId="52C3AE32" w14:textId="4DFA68E7" w:rsidR="00875969" w:rsidRPr="00086E49" w:rsidRDefault="00111E86" w:rsidP="00875969">
      <w:pPr>
        <w:rPr>
          <w:rFonts w:cstheme="minorHAnsi"/>
          <w:szCs w:val="22"/>
        </w:rPr>
      </w:pPr>
      <w:r>
        <w:rPr>
          <w:lang w:val="en-US" w:eastAsia="en-US"/>
        </w:rPr>
        <w:fldChar w:fldCharType="end"/>
      </w:r>
      <w:r w:rsidR="00875969" w:rsidRPr="00086E49">
        <w:rPr>
          <w:rFonts w:cstheme="minorHAnsi"/>
          <w:szCs w:val="22"/>
        </w:rPr>
        <w:br w:type="page"/>
      </w:r>
    </w:p>
    <w:p w14:paraId="37FE88AF" w14:textId="77777777" w:rsidR="00875969" w:rsidRPr="00663BAE" w:rsidRDefault="00875969" w:rsidP="00663BAE">
      <w:pPr>
        <w:pStyle w:val="FrontMatterH1"/>
      </w:pPr>
      <w:r w:rsidRPr="00DC04B4">
        <w:lastRenderedPageBreak/>
        <w:t>List of Acronyms and Abbreviations</w:t>
      </w:r>
    </w:p>
    <w:tbl>
      <w:tblPr>
        <w:tblStyle w:val="BlueTable"/>
        <w:tblW w:w="5000" w:type="pct"/>
        <w:tblLook w:val="0680" w:firstRow="0" w:lastRow="0" w:firstColumn="1" w:lastColumn="0" w:noHBand="1" w:noVBand="1"/>
      </w:tblPr>
      <w:tblGrid>
        <w:gridCol w:w="1463"/>
        <w:gridCol w:w="8215"/>
      </w:tblGrid>
      <w:tr w:rsidR="005D0D97" w:rsidRPr="00354403" w14:paraId="67BB45C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FD89CED" w14:textId="1C400E81" w:rsidR="005D0D97" w:rsidRPr="00354403" w:rsidRDefault="005D0D97" w:rsidP="00354403">
            <w:r>
              <w:t>AfDB</w:t>
            </w:r>
          </w:p>
        </w:tc>
        <w:tc>
          <w:tcPr>
            <w:tcW w:w="8215" w:type="dxa"/>
          </w:tcPr>
          <w:p w14:paraId="0408FC14" w14:textId="2043F09C" w:rsidR="005D0D97" w:rsidRPr="00354403" w:rsidRDefault="001F7990" w:rsidP="00354403">
            <w:pPr>
              <w:cnfStyle w:val="000000000000" w:firstRow="0" w:lastRow="0" w:firstColumn="0" w:lastColumn="0" w:oddVBand="0" w:evenVBand="0" w:oddHBand="0" w:evenHBand="0" w:firstRowFirstColumn="0" w:firstRowLastColumn="0" w:lastRowFirstColumn="0" w:lastRowLastColumn="0"/>
            </w:pPr>
            <w:r>
              <w:t>African Development Bank</w:t>
            </w:r>
          </w:p>
        </w:tc>
      </w:tr>
      <w:tr w:rsidR="005D0D97" w:rsidRPr="00354403" w14:paraId="689DDE1D"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C49E420" w14:textId="31E5E1A8" w:rsidR="005D0D97" w:rsidRPr="00354403" w:rsidRDefault="001F7990" w:rsidP="00354403">
            <w:r>
              <w:t>AFRODAD</w:t>
            </w:r>
          </w:p>
        </w:tc>
        <w:tc>
          <w:tcPr>
            <w:tcW w:w="8215" w:type="dxa"/>
          </w:tcPr>
          <w:p w14:paraId="59C15319" w14:textId="382B928C" w:rsidR="005D0D97" w:rsidRPr="00354403" w:rsidRDefault="00E11433" w:rsidP="00354403">
            <w:pPr>
              <w:cnfStyle w:val="000000000000" w:firstRow="0" w:lastRow="0" w:firstColumn="0" w:lastColumn="0" w:oddVBand="0" w:evenVBand="0" w:oddHBand="0" w:evenHBand="0" w:firstRowFirstColumn="0" w:firstRowLastColumn="0" w:lastRowFirstColumn="0" w:lastRowLastColumn="0"/>
            </w:pPr>
            <w:r w:rsidRPr="00724521">
              <w:t>African Forum and Network on Debt and Development</w:t>
            </w:r>
          </w:p>
        </w:tc>
      </w:tr>
      <w:tr w:rsidR="005D0D97" w:rsidRPr="00354403" w14:paraId="2AC1AB00"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3FCF5AB" w14:textId="56DBB509" w:rsidR="005D0D97" w:rsidRPr="00354403" w:rsidRDefault="001F7990" w:rsidP="00354403">
            <w:r>
              <w:t>ATAF</w:t>
            </w:r>
          </w:p>
        </w:tc>
        <w:tc>
          <w:tcPr>
            <w:tcW w:w="8215" w:type="dxa"/>
          </w:tcPr>
          <w:p w14:paraId="2A697531" w14:textId="37CB8B17" w:rsidR="005D0D97" w:rsidRPr="00354403" w:rsidRDefault="00E11433" w:rsidP="00354403">
            <w:pPr>
              <w:cnfStyle w:val="000000000000" w:firstRow="0" w:lastRow="0" w:firstColumn="0" w:lastColumn="0" w:oddVBand="0" w:evenVBand="0" w:oddHBand="0" w:evenHBand="0" w:firstRowFirstColumn="0" w:firstRowLastColumn="0" w:lastRowFirstColumn="0" w:lastRowLastColumn="0"/>
            </w:pPr>
            <w:r w:rsidRPr="00724521">
              <w:t>African Tax Administration Forum</w:t>
            </w:r>
          </w:p>
        </w:tc>
      </w:tr>
      <w:tr w:rsidR="00AB1897" w:rsidRPr="00354403" w14:paraId="70122BE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1FFA589" w14:textId="010F7842" w:rsidR="00AB1897" w:rsidRPr="00354403" w:rsidRDefault="001F7990" w:rsidP="00354403">
            <w:r>
              <w:t>AU</w:t>
            </w:r>
          </w:p>
        </w:tc>
        <w:tc>
          <w:tcPr>
            <w:tcW w:w="8215" w:type="dxa"/>
          </w:tcPr>
          <w:p w14:paraId="677E3708" w14:textId="41F95D3C" w:rsidR="00AB1897" w:rsidRPr="00354403" w:rsidRDefault="001F7990" w:rsidP="00354403">
            <w:pPr>
              <w:cnfStyle w:val="000000000000" w:firstRow="0" w:lastRow="0" w:firstColumn="0" w:lastColumn="0" w:oddVBand="0" w:evenVBand="0" w:oddHBand="0" w:evenHBand="0" w:firstRowFirstColumn="0" w:firstRowLastColumn="0" w:lastRowFirstColumn="0" w:lastRowLastColumn="0"/>
            </w:pPr>
            <w:r>
              <w:t>African Union</w:t>
            </w:r>
          </w:p>
        </w:tc>
      </w:tr>
      <w:tr w:rsidR="008A5A5A" w:rsidRPr="00354403" w14:paraId="68A92B0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0F39F63" w14:textId="5D1D6F81" w:rsidR="008A5A5A" w:rsidRPr="00354403" w:rsidRDefault="008A5A5A" w:rsidP="00354403">
            <w:r>
              <w:t>CoE</w:t>
            </w:r>
          </w:p>
        </w:tc>
        <w:tc>
          <w:tcPr>
            <w:tcW w:w="8215" w:type="dxa"/>
          </w:tcPr>
          <w:p w14:paraId="3D3656B5" w14:textId="161A7D84" w:rsidR="008A5A5A" w:rsidRPr="00354403" w:rsidRDefault="00995D35" w:rsidP="00354403">
            <w:pPr>
              <w:cnfStyle w:val="000000000000" w:firstRow="0" w:lastRow="0" w:firstColumn="0" w:lastColumn="0" w:oddVBand="0" w:evenVBand="0" w:oddHBand="0" w:evenHBand="0" w:firstRowFirstColumn="0" w:firstRowLastColumn="0" w:lastRowFirstColumn="0" w:lastRowLastColumn="0"/>
            </w:pPr>
            <w:r>
              <w:t>Compendium of Experiences</w:t>
            </w:r>
          </w:p>
        </w:tc>
      </w:tr>
      <w:tr w:rsidR="00A373D9" w:rsidRPr="00354403" w14:paraId="5CC480F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E985989" w14:textId="4836CC18" w:rsidR="00A373D9" w:rsidRPr="00354403" w:rsidRDefault="00A373D9" w:rsidP="00354403">
            <w:r w:rsidRPr="00354403">
              <w:t>COVID-19</w:t>
            </w:r>
          </w:p>
        </w:tc>
        <w:tc>
          <w:tcPr>
            <w:tcW w:w="8215" w:type="dxa"/>
          </w:tcPr>
          <w:p w14:paraId="25AF9A70" w14:textId="29733161" w:rsidR="00A373D9"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Coronavirus 2019</w:t>
            </w:r>
          </w:p>
        </w:tc>
      </w:tr>
      <w:tr w:rsidR="002755DD" w:rsidRPr="00354403" w14:paraId="28DF1363"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FC86C72" w14:textId="2DA42E4D" w:rsidR="002755DD" w:rsidRDefault="002755DD" w:rsidP="00354403">
            <w:r>
              <w:t>DA-PMT</w:t>
            </w:r>
          </w:p>
        </w:tc>
        <w:tc>
          <w:tcPr>
            <w:tcW w:w="8215" w:type="dxa"/>
          </w:tcPr>
          <w:p w14:paraId="26F53AD7" w14:textId="3C191755" w:rsidR="002755DD" w:rsidRDefault="00995D35" w:rsidP="00354403">
            <w:pPr>
              <w:cnfStyle w:val="000000000000" w:firstRow="0" w:lastRow="0" w:firstColumn="0" w:lastColumn="0" w:oddVBand="0" w:evenVBand="0" w:oddHBand="0" w:evenHBand="0" w:firstRowFirstColumn="0" w:firstRowLastColumn="0" w:lastRowFirstColumn="0" w:lastRowLastColumn="0"/>
            </w:pPr>
            <w:r>
              <w:t>Development Account Programme Management Team</w:t>
            </w:r>
          </w:p>
        </w:tc>
      </w:tr>
      <w:tr w:rsidR="00A62F63" w:rsidRPr="00354403" w14:paraId="0341714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2D776BC" w14:textId="2046CE3B" w:rsidR="00A62F63" w:rsidRDefault="00A62F63" w:rsidP="00354403">
            <w:r>
              <w:t>DFA</w:t>
            </w:r>
          </w:p>
        </w:tc>
        <w:tc>
          <w:tcPr>
            <w:tcW w:w="8215" w:type="dxa"/>
          </w:tcPr>
          <w:p w14:paraId="3EF2CA23" w14:textId="4194FC3E" w:rsidR="00A62F63" w:rsidRDefault="00A62F63" w:rsidP="00354403">
            <w:pPr>
              <w:cnfStyle w:val="000000000000" w:firstRow="0" w:lastRow="0" w:firstColumn="0" w:lastColumn="0" w:oddVBand="0" w:evenVBand="0" w:oddHBand="0" w:evenHBand="0" w:firstRowFirstColumn="0" w:firstRowLastColumn="0" w:lastRowFirstColumn="0" w:lastRowLastColumn="0"/>
            </w:pPr>
            <w:r>
              <w:t>Developmen</w:t>
            </w:r>
            <w:r w:rsidR="007146E0">
              <w:t>t</w:t>
            </w:r>
            <w:r>
              <w:t xml:space="preserve"> Finance Assessment</w:t>
            </w:r>
          </w:p>
        </w:tc>
      </w:tr>
      <w:tr w:rsidR="001B6DE5" w:rsidRPr="00354403" w14:paraId="246708B7"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89D5133" w14:textId="4DB458F7" w:rsidR="001B6DE5" w:rsidRPr="00354403" w:rsidRDefault="008A5A5A" w:rsidP="00354403">
            <w:r>
              <w:t>ERG</w:t>
            </w:r>
          </w:p>
        </w:tc>
        <w:tc>
          <w:tcPr>
            <w:tcW w:w="8215" w:type="dxa"/>
          </w:tcPr>
          <w:p w14:paraId="2640F0EA" w14:textId="320EF3CA" w:rsidR="001B6DE5" w:rsidRPr="00354403" w:rsidRDefault="008A5A5A" w:rsidP="00354403">
            <w:pPr>
              <w:cnfStyle w:val="000000000000" w:firstRow="0" w:lastRow="0" w:firstColumn="0" w:lastColumn="0" w:oddVBand="0" w:evenVBand="0" w:oddHBand="0" w:evenHBand="0" w:firstRowFirstColumn="0" w:firstRowLastColumn="0" w:lastRowFirstColumn="0" w:lastRowLastColumn="0"/>
            </w:pPr>
            <w:r>
              <w:t>Evaluation Reference Group</w:t>
            </w:r>
          </w:p>
        </w:tc>
      </w:tr>
      <w:tr w:rsidR="00704E66" w:rsidRPr="00354403" w14:paraId="45DE0B80"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DEBAE0D" w14:textId="30FE5DEC" w:rsidR="00704E66" w:rsidRDefault="00704E66" w:rsidP="00354403">
            <w:r>
              <w:t>ERP</w:t>
            </w:r>
          </w:p>
        </w:tc>
        <w:tc>
          <w:tcPr>
            <w:tcW w:w="8215" w:type="dxa"/>
          </w:tcPr>
          <w:p w14:paraId="05812110" w14:textId="487BB1D7" w:rsidR="00704E66" w:rsidRDefault="00A153B3" w:rsidP="00354403">
            <w:pPr>
              <w:cnfStyle w:val="000000000000" w:firstRow="0" w:lastRow="0" w:firstColumn="0" w:lastColumn="0" w:oddVBand="0" w:evenVBand="0" w:oddHBand="0" w:evenHBand="0" w:firstRowFirstColumn="0" w:firstRowLastColumn="0" w:lastRowFirstColumn="0" w:lastRowLastColumn="0"/>
            </w:pPr>
            <w:r>
              <w:t>Eurasian Regional Partnership</w:t>
            </w:r>
          </w:p>
        </w:tc>
      </w:tr>
      <w:tr w:rsidR="00576381" w:rsidRPr="00354403" w14:paraId="6A587999"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AB2EEE0" w14:textId="63A53107" w:rsidR="00576381" w:rsidRDefault="00576381" w:rsidP="00354403">
            <w:r>
              <w:t>EU</w:t>
            </w:r>
          </w:p>
        </w:tc>
        <w:tc>
          <w:tcPr>
            <w:tcW w:w="8215" w:type="dxa"/>
          </w:tcPr>
          <w:p w14:paraId="0D82B4A3" w14:textId="186EDDEB" w:rsidR="00576381" w:rsidRDefault="00576381" w:rsidP="00354403">
            <w:pPr>
              <w:cnfStyle w:val="000000000000" w:firstRow="0" w:lastRow="0" w:firstColumn="0" w:lastColumn="0" w:oddVBand="0" w:evenVBand="0" w:oddHBand="0" w:evenHBand="0" w:firstRowFirstColumn="0" w:firstRowLastColumn="0" w:lastRowFirstColumn="0" w:lastRowLastColumn="0"/>
            </w:pPr>
            <w:r>
              <w:t>European Union</w:t>
            </w:r>
          </w:p>
        </w:tc>
      </w:tr>
      <w:tr w:rsidR="00714197" w:rsidRPr="00354403" w14:paraId="3260E94B"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892C436" w14:textId="531F60E5" w:rsidR="00714197" w:rsidRDefault="00714197" w:rsidP="00354403">
            <w:r>
              <w:t>FBR</w:t>
            </w:r>
          </w:p>
        </w:tc>
        <w:tc>
          <w:tcPr>
            <w:tcW w:w="8215" w:type="dxa"/>
          </w:tcPr>
          <w:p w14:paraId="117E3917" w14:textId="6EA9BEBF" w:rsidR="00714197" w:rsidRDefault="00714197" w:rsidP="00354403">
            <w:pPr>
              <w:cnfStyle w:val="000000000000" w:firstRow="0" w:lastRow="0" w:firstColumn="0" w:lastColumn="0" w:oddVBand="0" w:evenVBand="0" w:oddHBand="0" w:evenHBand="0" w:firstRowFirstColumn="0" w:firstRowLastColumn="0" w:lastRowFirstColumn="0" w:lastRowLastColumn="0"/>
            </w:pPr>
            <w:r>
              <w:t>Federal Board of Revenue</w:t>
            </w:r>
          </w:p>
        </w:tc>
      </w:tr>
      <w:tr w:rsidR="002755DD" w:rsidRPr="00354403" w14:paraId="141F3DEB"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0B13BFF" w14:textId="22E72411" w:rsidR="002755DD" w:rsidRDefault="002755DD" w:rsidP="00354403">
            <w:r>
              <w:t>FfD</w:t>
            </w:r>
          </w:p>
        </w:tc>
        <w:tc>
          <w:tcPr>
            <w:tcW w:w="8215" w:type="dxa"/>
          </w:tcPr>
          <w:p w14:paraId="4A5759DD" w14:textId="704210D6" w:rsidR="002755DD" w:rsidRPr="00354403" w:rsidRDefault="002755DD" w:rsidP="00354403">
            <w:pPr>
              <w:cnfStyle w:val="000000000000" w:firstRow="0" w:lastRow="0" w:firstColumn="0" w:lastColumn="0" w:oddVBand="0" w:evenVBand="0" w:oddHBand="0" w:evenHBand="0" w:firstRowFirstColumn="0" w:firstRowLastColumn="0" w:lastRowFirstColumn="0" w:lastRowLastColumn="0"/>
            </w:pPr>
            <w:r>
              <w:t>Financing for Development</w:t>
            </w:r>
          </w:p>
        </w:tc>
      </w:tr>
      <w:tr w:rsidR="000F6445" w:rsidRPr="00354403" w14:paraId="163C9ABA"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5FC37C2" w14:textId="3D881EF4" w:rsidR="000F6445" w:rsidRDefault="000F6445" w:rsidP="00354403">
            <w:r>
              <w:t>FINS</w:t>
            </w:r>
          </w:p>
        </w:tc>
        <w:tc>
          <w:tcPr>
            <w:tcW w:w="8215" w:type="dxa"/>
          </w:tcPr>
          <w:p w14:paraId="67F3FCF8" w14:textId="79C12814" w:rsidR="000F6445" w:rsidRDefault="000F6445" w:rsidP="00354403">
            <w:pPr>
              <w:cnfStyle w:val="000000000000" w:firstRow="0" w:lastRow="0" w:firstColumn="0" w:lastColumn="0" w:oddVBand="0" w:evenVBand="0" w:oddHBand="0" w:evenHBand="0" w:firstRowFirstColumn="0" w:firstRowLastColumn="0" w:lastRowFirstColumn="0" w:lastRowLastColumn="0"/>
            </w:pPr>
            <w:r>
              <w:t>Support to INFFs in Small Island Developing States</w:t>
            </w:r>
          </w:p>
        </w:tc>
      </w:tr>
      <w:tr w:rsidR="001246CE" w:rsidRPr="00354403" w14:paraId="2DEF4503"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B9A5B94" w14:textId="0440170F" w:rsidR="001246CE" w:rsidRDefault="001246CE" w:rsidP="00354403">
            <w:r>
              <w:t>FSDO</w:t>
            </w:r>
          </w:p>
        </w:tc>
        <w:tc>
          <w:tcPr>
            <w:tcW w:w="8215" w:type="dxa"/>
          </w:tcPr>
          <w:p w14:paraId="0BB806F3" w14:textId="19B70F68" w:rsidR="001246CE" w:rsidRPr="00354403" w:rsidRDefault="00DF1C0F" w:rsidP="00354403">
            <w:pPr>
              <w:cnfStyle w:val="000000000000" w:firstRow="0" w:lastRow="0" w:firstColumn="0" w:lastColumn="0" w:oddVBand="0" w:evenVBand="0" w:oddHBand="0" w:evenHBand="0" w:firstRowFirstColumn="0" w:firstRowLastColumn="0" w:lastRowFirstColumn="0" w:lastRowLastColumn="0"/>
            </w:pPr>
            <w:r>
              <w:t>Financing for Sustainable Development Office</w:t>
            </w:r>
          </w:p>
        </w:tc>
      </w:tr>
      <w:tr w:rsidR="00CD6A69" w:rsidRPr="00354403" w14:paraId="7561467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7BF4CA8" w14:textId="0C28D157" w:rsidR="00CD6A69" w:rsidRDefault="00CD6A69" w:rsidP="00354403">
            <w:r>
              <w:t>GDPR</w:t>
            </w:r>
          </w:p>
        </w:tc>
        <w:tc>
          <w:tcPr>
            <w:tcW w:w="8215" w:type="dxa"/>
          </w:tcPr>
          <w:p w14:paraId="60ECBED1" w14:textId="3F1E8135" w:rsidR="00CD6A69" w:rsidRDefault="00CD6A69" w:rsidP="00354403">
            <w:pPr>
              <w:cnfStyle w:val="000000000000" w:firstRow="0" w:lastRow="0" w:firstColumn="0" w:lastColumn="0" w:oddVBand="0" w:evenVBand="0" w:oddHBand="0" w:evenHBand="0" w:firstRowFirstColumn="0" w:firstRowLastColumn="0" w:lastRowFirstColumn="0" w:lastRowLastColumn="0"/>
            </w:pPr>
            <w:r>
              <w:t>General Data Protection Regulation</w:t>
            </w:r>
          </w:p>
        </w:tc>
      </w:tr>
      <w:tr w:rsidR="002521FE" w:rsidRPr="00354403" w14:paraId="4C1F7E3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9E6A1FD" w14:textId="417E1662" w:rsidR="002521FE" w:rsidRDefault="004860EC" w:rsidP="00354403">
            <w:r>
              <w:t>HLDF</w:t>
            </w:r>
          </w:p>
        </w:tc>
        <w:tc>
          <w:tcPr>
            <w:tcW w:w="8215" w:type="dxa"/>
          </w:tcPr>
          <w:p w14:paraId="0FE12A46" w14:textId="7433FCC4" w:rsidR="002521FE" w:rsidRPr="00421D64" w:rsidRDefault="002521FE" w:rsidP="00354403">
            <w:pPr>
              <w:cnfStyle w:val="000000000000" w:firstRow="0" w:lastRow="0" w:firstColumn="0" w:lastColumn="0" w:oddVBand="0" w:evenVBand="0" w:oddHBand="0" w:evenHBand="0" w:firstRowFirstColumn="0" w:firstRowLastColumn="0" w:lastRowFirstColumn="0" w:lastRowLastColumn="0"/>
              <w:rPr>
                <w:lang w:val="en-CA"/>
              </w:rPr>
            </w:pPr>
            <w:r>
              <w:t xml:space="preserve">High-level Dialogue on Financing for Development </w:t>
            </w:r>
          </w:p>
        </w:tc>
      </w:tr>
      <w:tr w:rsidR="001B6DE5" w:rsidRPr="00354403" w14:paraId="2191B876"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371662A" w14:textId="46C13C29" w:rsidR="001B6DE5" w:rsidRPr="00354403" w:rsidRDefault="00361E35" w:rsidP="00354403">
            <w:r>
              <w:t>IATF</w:t>
            </w:r>
          </w:p>
        </w:tc>
        <w:tc>
          <w:tcPr>
            <w:tcW w:w="8215" w:type="dxa"/>
          </w:tcPr>
          <w:p w14:paraId="4069453B" w14:textId="07344652" w:rsidR="001B6DE5" w:rsidRPr="00354403" w:rsidRDefault="00DF1C0F" w:rsidP="00354403">
            <w:pPr>
              <w:cnfStyle w:val="000000000000" w:firstRow="0" w:lastRow="0" w:firstColumn="0" w:lastColumn="0" w:oddVBand="0" w:evenVBand="0" w:oddHBand="0" w:evenHBand="0" w:firstRowFirstColumn="0" w:firstRowLastColumn="0" w:lastRowFirstColumn="0" w:lastRowLastColumn="0"/>
            </w:pPr>
            <w:r w:rsidRPr="00421D64">
              <w:rPr>
                <w:lang w:val="en-CA"/>
              </w:rPr>
              <w:t>Inter-agency Task Force on Financing for Development</w:t>
            </w:r>
          </w:p>
        </w:tc>
      </w:tr>
      <w:tr w:rsidR="0066365D" w:rsidRPr="00354403" w14:paraId="33F21A02"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96A2633" w14:textId="0B93F9D6" w:rsidR="0066365D" w:rsidRDefault="0066365D" w:rsidP="00354403">
            <w:r>
              <w:t>IBP</w:t>
            </w:r>
          </w:p>
        </w:tc>
        <w:tc>
          <w:tcPr>
            <w:tcW w:w="8215" w:type="dxa"/>
          </w:tcPr>
          <w:p w14:paraId="68482CF8" w14:textId="177A726B" w:rsidR="0066365D" w:rsidRPr="00354403" w:rsidRDefault="00DF1C0F" w:rsidP="00354403">
            <w:pPr>
              <w:cnfStyle w:val="000000000000" w:firstRow="0" w:lastRow="0" w:firstColumn="0" w:lastColumn="0" w:oddVBand="0" w:evenVBand="0" w:oddHBand="0" w:evenHBand="0" w:firstRowFirstColumn="0" w:firstRowLastColumn="0" w:lastRowFirstColumn="0" w:lastRowLastColumn="0"/>
            </w:pPr>
            <w:r>
              <w:t>I</w:t>
            </w:r>
            <w:r w:rsidRPr="00724521">
              <w:t>nternational Budget Partnership</w:t>
            </w:r>
          </w:p>
        </w:tc>
      </w:tr>
      <w:tr w:rsidR="00A153B3" w:rsidRPr="00354403" w14:paraId="71F71C6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EE36DF5" w14:textId="55E927AB" w:rsidR="00A153B3" w:rsidRDefault="00A153B3" w:rsidP="00354403">
            <w:r>
              <w:t>IFFs</w:t>
            </w:r>
          </w:p>
        </w:tc>
        <w:tc>
          <w:tcPr>
            <w:tcW w:w="8215" w:type="dxa"/>
          </w:tcPr>
          <w:p w14:paraId="35FE25A6" w14:textId="29FF3046" w:rsidR="00A153B3" w:rsidRDefault="00A153B3" w:rsidP="00354403">
            <w:pPr>
              <w:cnfStyle w:val="000000000000" w:firstRow="0" w:lastRow="0" w:firstColumn="0" w:lastColumn="0" w:oddVBand="0" w:evenVBand="0" w:oddHBand="0" w:evenHBand="0" w:firstRowFirstColumn="0" w:firstRowLastColumn="0" w:lastRowFirstColumn="0" w:lastRowLastColumn="0"/>
            </w:pPr>
            <w:r>
              <w:t>Illicit Financial Flows</w:t>
            </w:r>
          </w:p>
        </w:tc>
      </w:tr>
      <w:tr w:rsidR="004E2D2A" w:rsidRPr="00354403" w14:paraId="0884E39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99F79D0" w14:textId="7A187FD1" w:rsidR="004E2D2A" w:rsidRDefault="004E2D2A" w:rsidP="00354403">
            <w:r>
              <w:t>ILO</w:t>
            </w:r>
          </w:p>
        </w:tc>
        <w:tc>
          <w:tcPr>
            <w:tcW w:w="8215" w:type="dxa"/>
          </w:tcPr>
          <w:p w14:paraId="761115F9" w14:textId="6F8EBBCB" w:rsidR="004E2D2A" w:rsidRDefault="004E2D2A" w:rsidP="00354403">
            <w:pPr>
              <w:cnfStyle w:val="000000000000" w:firstRow="0" w:lastRow="0" w:firstColumn="0" w:lastColumn="0" w:oddVBand="0" w:evenVBand="0" w:oddHBand="0" w:evenHBand="0" w:firstRowFirstColumn="0" w:firstRowLastColumn="0" w:lastRowFirstColumn="0" w:lastRowLastColumn="0"/>
            </w:pPr>
            <w:r>
              <w:t>International Labour Organisation</w:t>
            </w:r>
          </w:p>
        </w:tc>
      </w:tr>
      <w:tr w:rsidR="0066365D" w:rsidRPr="00354403" w14:paraId="528DC360"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9C76C57" w14:textId="6B5E47D0" w:rsidR="0066365D" w:rsidRDefault="0066365D" w:rsidP="00354403">
            <w:r>
              <w:t>IMF</w:t>
            </w:r>
          </w:p>
        </w:tc>
        <w:tc>
          <w:tcPr>
            <w:tcW w:w="8215" w:type="dxa"/>
          </w:tcPr>
          <w:p w14:paraId="1293FE41" w14:textId="21B940D3" w:rsidR="0066365D" w:rsidRPr="00354403" w:rsidRDefault="0066365D" w:rsidP="00354403">
            <w:pPr>
              <w:cnfStyle w:val="000000000000" w:firstRow="0" w:lastRow="0" w:firstColumn="0" w:lastColumn="0" w:oddVBand="0" w:evenVBand="0" w:oddHBand="0" w:evenHBand="0" w:firstRowFirstColumn="0" w:firstRowLastColumn="0" w:lastRowFirstColumn="0" w:lastRowLastColumn="0"/>
            </w:pPr>
            <w:r>
              <w:t>International Monetary Fund</w:t>
            </w:r>
          </w:p>
        </w:tc>
      </w:tr>
      <w:tr w:rsidR="001B6DE5" w:rsidRPr="00354403" w14:paraId="1571AC8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E5E3A0A" w14:textId="2038A74C" w:rsidR="001B6DE5" w:rsidRPr="00354403" w:rsidRDefault="001B6DE5" w:rsidP="00354403">
            <w:r w:rsidRPr="00354403">
              <w:t>INFF</w:t>
            </w:r>
          </w:p>
        </w:tc>
        <w:tc>
          <w:tcPr>
            <w:tcW w:w="8215" w:type="dxa"/>
          </w:tcPr>
          <w:p w14:paraId="2FE59429" w14:textId="5380CE1F"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Integrated National Financing Framework</w:t>
            </w:r>
          </w:p>
        </w:tc>
      </w:tr>
      <w:tr w:rsidR="001B6DE5" w:rsidRPr="00354403" w14:paraId="22402D4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44F59E40" w14:textId="1D894315" w:rsidR="001B6DE5" w:rsidRPr="00354403" w:rsidRDefault="001B6DE5" w:rsidP="00354403">
            <w:r w:rsidRPr="00354403">
              <w:t>LDCs</w:t>
            </w:r>
          </w:p>
        </w:tc>
        <w:tc>
          <w:tcPr>
            <w:tcW w:w="8215" w:type="dxa"/>
          </w:tcPr>
          <w:p w14:paraId="1DC4CED9" w14:textId="7BA52264"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Least Developed Countries</w:t>
            </w:r>
          </w:p>
        </w:tc>
      </w:tr>
      <w:tr w:rsidR="001B6DE5" w:rsidRPr="00354403" w14:paraId="61B2FD95"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05CE0D0" w14:textId="1DD791FE" w:rsidR="001B6DE5" w:rsidRPr="00354403" w:rsidRDefault="001B6DE5" w:rsidP="00354403">
            <w:r w:rsidRPr="00354403">
              <w:t>LNOB</w:t>
            </w:r>
          </w:p>
        </w:tc>
        <w:tc>
          <w:tcPr>
            <w:tcW w:w="8215" w:type="dxa"/>
          </w:tcPr>
          <w:p w14:paraId="662983D2" w14:textId="754E191D"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Leave No One Behind</w:t>
            </w:r>
          </w:p>
        </w:tc>
      </w:tr>
      <w:tr w:rsidR="009A3B6C" w:rsidRPr="00354403" w14:paraId="0D3961B2"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268A13F" w14:textId="69D3FB62" w:rsidR="009A3B6C" w:rsidRPr="00354403" w:rsidRDefault="009A3B6C" w:rsidP="00354403">
            <w:r>
              <w:t>MAPS</w:t>
            </w:r>
          </w:p>
        </w:tc>
        <w:tc>
          <w:tcPr>
            <w:tcW w:w="8215" w:type="dxa"/>
          </w:tcPr>
          <w:p w14:paraId="52FE9F7D" w14:textId="045FE03B" w:rsidR="009A3B6C" w:rsidRPr="00354403" w:rsidRDefault="009A3B6C" w:rsidP="00354403">
            <w:pPr>
              <w:cnfStyle w:val="000000000000" w:firstRow="0" w:lastRow="0" w:firstColumn="0" w:lastColumn="0" w:oddVBand="0" w:evenVBand="0" w:oddHBand="0" w:evenHBand="0" w:firstRowFirstColumn="0" w:firstRowLastColumn="0" w:lastRowFirstColumn="0" w:lastRowLastColumn="0"/>
            </w:pPr>
            <w:r>
              <w:t>Mainstreaming, Acceleration and Policy Support</w:t>
            </w:r>
          </w:p>
        </w:tc>
      </w:tr>
      <w:tr w:rsidR="009A3B6C" w:rsidRPr="00354403" w14:paraId="7D11B44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F79DFC0" w14:textId="3616C620" w:rsidR="009A3B6C" w:rsidRPr="00354403" w:rsidRDefault="009A3B6C" w:rsidP="00354403">
            <w:r>
              <w:t>MDAs</w:t>
            </w:r>
          </w:p>
        </w:tc>
        <w:tc>
          <w:tcPr>
            <w:tcW w:w="8215" w:type="dxa"/>
          </w:tcPr>
          <w:p w14:paraId="6189C32E" w14:textId="73C9E00A" w:rsidR="009A3B6C" w:rsidRPr="00354403" w:rsidRDefault="009A3B6C" w:rsidP="00354403">
            <w:pPr>
              <w:cnfStyle w:val="000000000000" w:firstRow="0" w:lastRow="0" w:firstColumn="0" w:lastColumn="0" w:oddVBand="0" w:evenVBand="0" w:oddHBand="0" w:evenHBand="0" w:firstRowFirstColumn="0" w:firstRowLastColumn="0" w:lastRowFirstColumn="0" w:lastRowLastColumn="0"/>
            </w:pPr>
            <w:r>
              <w:t>Ministries Departments and Agencies</w:t>
            </w:r>
          </w:p>
        </w:tc>
      </w:tr>
      <w:tr w:rsidR="00EA2905" w:rsidRPr="00354403" w14:paraId="433EFA1C"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B5F8A44" w14:textId="78542DB6" w:rsidR="00EA2905" w:rsidRDefault="00EA2905" w:rsidP="00354403">
            <w:r>
              <w:t>MSME</w:t>
            </w:r>
          </w:p>
        </w:tc>
        <w:tc>
          <w:tcPr>
            <w:tcW w:w="8215" w:type="dxa"/>
          </w:tcPr>
          <w:p w14:paraId="6B47F997" w14:textId="32693F64" w:rsidR="00EA2905" w:rsidRDefault="00EA2905" w:rsidP="00354403">
            <w:pPr>
              <w:cnfStyle w:val="000000000000" w:firstRow="0" w:lastRow="0" w:firstColumn="0" w:lastColumn="0" w:oddVBand="0" w:evenVBand="0" w:oddHBand="0" w:evenHBand="0" w:firstRowFirstColumn="0" w:firstRowLastColumn="0" w:lastRowFirstColumn="0" w:lastRowLastColumn="0"/>
            </w:pPr>
            <w:r>
              <w:t>Micro- Small and Medium Enterprises</w:t>
            </w:r>
          </w:p>
        </w:tc>
      </w:tr>
      <w:tr w:rsidR="001B6DE5" w:rsidRPr="00354403" w14:paraId="3B62189A"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AB7255B" w14:textId="52BBB75B" w:rsidR="001B6DE5" w:rsidRPr="00354403" w:rsidRDefault="00B81BB5" w:rsidP="00354403">
            <w:r>
              <w:t>NCLB</w:t>
            </w:r>
          </w:p>
        </w:tc>
        <w:tc>
          <w:tcPr>
            <w:tcW w:w="8215" w:type="dxa"/>
          </w:tcPr>
          <w:p w14:paraId="4F20E0EF" w14:textId="6A8E5DDF" w:rsidR="001B6DE5" w:rsidRPr="00354403" w:rsidRDefault="00B81BB5" w:rsidP="00354403">
            <w:pPr>
              <w:cnfStyle w:val="000000000000" w:firstRow="0" w:lastRow="0" w:firstColumn="0" w:lastColumn="0" w:oddVBand="0" w:evenVBand="0" w:oddHBand="0" w:evenHBand="0" w:firstRowFirstColumn="0" w:firstRowLastColumn="0" w:lastRowFirstColumn="0" w:lastRowLastColumn="0"/>
            </w:pPr>
            <w:r>
              <w:t>No Country Left Behind</w:t>
            </w:r>
          </w:p>
        </w:tc>
      </w:tr>
      <w:tr w:rsidR="004860EC" w:rsidRPr="00354403" w14:paraId="20069A9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9618E0F" w14:textId="49E3478D" w:rsidR="004860EC" w:rsidRDefault="004860EC" w:rsidP="00354403">
            <w:r>
              <w:t>NDS</w:t>
            </w:r>
          </w:p>
        </w:tc>
        <w:tc>
          <w:tcPr>
            <w:tcW w:w="8215" w:type="dxa"/>
          </w:tcPr>
          <w:p w14:paraId="1E939D4F" w14:textId="75BE5087" w:rsidR="004860EC" w:rsidRDefault="004860EC" w:rsidP="00354403">
            <w:pPr>
              <w:cnfStyle w:val="000000000000" w:firstRow="0" w:lastRow="0" w:firstColumn="0" w:lastColumn="0" w:oddVBand="0" w:evenVBand="0" w:oddHBand="0" w:evenHBand="0" w:firstRowFirstColumn="0" w:firstRowLastColumn="0" w:lastRowFirstColumn="0" w:lastRowLastColumn="0"/>
            </w:pPr>
            <w:r>
              <w:t>National Development Strategy</w:t>
            </w:r>
          </w:p>
        </w:tc>
      </w:tr>
      <w:tr w:rsidR="001B6DE5" w:rsidRPr="00354403" w14:paraId="1075CF9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8C5E41E" w14:textId="08DA1259" w:rsidR="001B6DE5" w:rsidRPr="00354403" w:rsidRDefault="001B6DE5" w:rsidP="00354403">
            <w:r w:rsidRPr="00354403">
              <w:t>OECD</w:t>
            </w:r>
            <w:r w:rsidR="00AB1897">
              <w:t>-DAC</w:t>
            </w:r>
          </w:p>
        </w:tc>
        <w:tc>
          <w:tcPr>
            <w:tcW w:w="8215" w:type="dxa"/>
          </w:tcPr>
          <w:p w14:paraId="5ACD48FC" w14:textId="1ECDFAC4"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Organisation for Economic Cooperation and Development</w:t>
            </w:r>
            <w:r w:rsidR="00AB1897">
              <w:t xml:space="preserve"> – Development Assistance Committee</w:t>
            </w:r>
          </w:p>
        </w:tc>
      </w:tr>
      <w:tr w:rsidR="00097B65" w:rsidRPr="00354403" w14:paraId="7C2E6E75"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211233D" w14:textId="087C1DB4" w:rsidR="00097B65" w:rsidRPr="00354403" w:rsidRDefault="00097B65" w:rsidP="00354403">
            <w:r>
              <w:t>PIFS</w:t>
            </w:r>
          </w:p>
        </w:tc>
        <w:tc>
          <w:tcPr>
            <w:tcW w:w="8215" w:type="dxa"/>
          </w:tcPr>
          <w:p w14:paraId="4681C9FB" w14:textId="182A59A3" w:rsidR="00097B65" w:rsidRPr="00354403" w:rsidRDefault="00097B65" w:rsidP="00354403">
            <w:pPr>
              <w:cnfStyle w:val="000000000000" w:firstRow="0" w:lastRow="0" w:firstColumn="0" w:lastColumn="0" w:oddVBand="0" w:evenVBand="0" w:oddHBand="0" w:evenHBand="0" w:firstRowFirstColumn="0" w:firstRowLastColumn="0" w:lastRowFirstColumn="0" w:lastRowLastColumn="0"/>
            </w:pPr>
            <w:r>
              <w:t>Pacific Islands Forum Secretariat</w:t>
            </w:r>
          </w:p>
        </w:tc>
      </w:tr>
      <w:tr w:rsidR="00F03267" w:rsidRPr="00354403" w14:paraId="0ECEB9C3"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F4BFF90" w14:textId="0763E973" w:rsidR="00F03267" w:rsidRPr="00354403" w:rsidRDefault="00F03267" w:rsidP="00354403">
            <w:r>
              <w:t>PUNO</w:t>
            </w:r>
          </w:p>
        </w:tc>
        <w:tc>
          <w:tcPr>
            <w:tcW w:w="8215" w:type="dxa"/>
          </w:tcPr>
          <w:p w14:paraId="1197FCED" w14:textId="7C3E5C35" w:rsidR="00F03267" w:rsidRPr="00354403" w:rsidRDefault="00F03267" w:rsidP="00354403">
            <w:pPr>
              <w:cnfStyle w:val="000000000000" w:firstRow="0" w:lastRow="0" w:firstColumn="0" w:lastColumn="0" w:oddVBand="0" w:evenVBand="0" w:oddHBand="0" w:evenHBand="0" w:firstRowFirstColumn="0" w:firstRowLastColumn="0" w:lastRowFirstColumn="0" w:lastRowLastColumn="0"/>
            </w:pPr>
            <w:r>
              <w:t>Participating U</w:t>
            </w:r>
            <w:r w:rsidR="00547125">
              <w:t>nited Nations Organisation</w:t>
            </w:r>
          </w:p>
        </w:tc>
      </w:tr>
      <w:tr w:rsidR="001B6DE5" w:rsidRPr="00354403" w14:paraId="444A1944"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4F92750" w14:textId="35CE53B8" w:rsidR="001B6DE5" w:rsidRPr="00354403" w:rsidRDefault="001B6DE5" w:rsidP="00354403">
            <w:r w:rsidRPr="00354403">
              <w:t>RCOs</w:t>
            </w:r>
          </w:p>
        </w:tc>
        <w:tc>
          <w:tcPr>
            <w:tcW w:w="8215" w:type="dxa"/>
          </w:tcPr>
          <w:p w14:paraId="5565FA8F" w14:textId="15BCED47"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Resident Coordinator’s Office</w:t>
            </w:r>
          </w:p>
        </w:tc>
      </w:tr>
      <w:tr w:rsidR="00B81BB5" w:rsidRPr="00354403" w14:paraId="0A4D253E"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3ADD6D7" w14:textId="080C30D0" w:rsidR="00B81BB5" w:rsidRPr="00354403" w:rsidRDefault="00B81BB5" w:rsidP="00354403">
            <w:r>
              <w:t>REC</w:t>
            </w:r>
          </w:p>
        </w:tc>
        <w:tc>
          <w:tcPr>
            <w:tcW w:w="8215" w:type="dxa"/>
          </w:tcPr>
          <w:p w14:paraId="3F17ACCE" w14:textId="56B94991" w:rsidR="00B81BB5" w:rsidRPr="00354403" w:rsidRDefault="004E4C52" w:rsidP="00354403">
            <w:pPr>
              <w:cnfStyle w:val="000000000000" w:firstRow="0" w:lastRow="0" w:firstColumn="0" w:lastColumn="0" w:oddVBand="0" w:evenVBand="0" w:oddHBand="0" w:evenHBand="0" w:firstRowFirstColumn="0" w:firstRowLastColumn="0" w:lastRowFirstColumn="0" w:lastRowLastColumn="0"/>
            </w:pPr>
            <w:r>
              <w:t>Regional Economic Commission</w:t>
            </w:r>
          </w:p>
        </w:tc>
      </w:tr>
      <w:tr w:rsidR="001B6DE5" w:rsidRPr="00354403" w14:paraId="322D5B2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69B80CF5" w14:textId="0BD3A438" w:rsidR="001B6DE5" w:rsidRPr="00354403" w:rsidRDefault="001B6DE5" w:rsidP="00354403">
            <w:r w:rsidRPr="00354403">
              <w:t>SDGs</w:t>
            </w:r>
          </w:p>
        </w:tc>
        <w:tc>
          <w:tcPr>
            <w:tcW w:w="8215" w:type="dxa"/>
          </w:tcPr>
          <w:p w14:paraId="54D6093D" w14:textId="6A73BDCC"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Sustainable Development Goals</w:t>
            </w:r>
          </w:p>
        </w:tc>
      </w:tr>
      <w:tr w:rsidR="00863481" w:rsidRPr="00354403" w14:paraId="1F244E39"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65E5C56" w14:textId="30178790" w:rsidR="00863481" w:rsidRDefault="00863481" w:rsidP="00354403">
            <w:r>
              <w:t>SIDS</w:t>
            </w:r>
          </w:p>
        </w:tc>
        <w:tc>
          <w:tcPr>
            <w:tcW w:w="8215" w:type="dxa"/>
          </w:tcPr>
          <w:p w14:paraId="3D090C29" w14:textId="4E9D4846" w:rsidR="00863481" w:rsidRDefault="00863481" w:rsidP="00354403">
            <w:pPr>
              <w:cnfStyle w:val="000000000000" w:firstRow="0" w:lastRow="0" w:firstColumn="0" w:lastColumn="0" w:oddVBand="0" w:evenVBand="0" w:oddHBand="0" w:evenHBand="0" w:firstRowFirstColumn="0" w:firstRowLastColumn="0" w:lastRowFirstColumn="0" w:lastRowLastColumn="0"/>
            </w:pPr>
            <w:r>
              <w:t>Small Island Developing States</w:t>
            </w:r>
          </w:p>
        </w:tc>
      </w:tr>
      <w:tr w:rsidR="009106C8" w:rsidRPr="00354403" w14:paraId="723DCFE2"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3725E23" w14:textId="0E869A3E" w:rsidR="009106C8" w:rsidRDefault="009106C8" w:rsidP="00354403">
            <w:r>
              <w:t>SROSA</w:t>
            </w:r>
          </w:p>
        </w:tc>
        <w:tc>
          <w:tcPr>
            <w:tcW w:w="8215" w:type="dxa"/>
          </w:tcPr>
          <w:p w14:paraId="25922262" w14:textId="08DFBF45" w:rsidR="009106C8" w:rsidRDefault="0071046A" w:rsidP="00354403">
            <w:pPr>
              <w:cnfStyle w:val="000000000000" w:firstRow="0" w:lastRow="0" w:firstColumn="0" w:lastColumn="0" w:oddVBand="0" w:evenVBand="0" w:oddHBand="0" w:evenHBand="0" w:firstRowFirstColumn="0" w:firstRowLastColumn="0" w:lastRowFirstColumn="0" w:lastRowLastColumn="0"/>
            </w:pPr>
            <w:r>
              <w:t>Sub-Regional Office for Southern Africa</w:t>
            </w:r>
          </w:p>
        </w:tc>
      </w:tr>
      <w:tr w:rsidR="008653E2" w:rsidRPr="00354403" w14:paraId="1DB4816C"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384AA38" w14:textId="049ADD33" w:rsidR="008653E2" w:rsidRPr="00354403" w:rsidRDefault="008653E2" w:rsidP="00354403">
            <w:r>
              <w:t>SROS</w:t>
            </w:r>
          </w:p>
        </w:tc>
        <w:tc>
          <w:tcPr>
            <w:tcW w:w="8215" w:type="dxa"/>
          </w:tcPr>
          <w:p w14:paraId="1382D866" w14:textId="07204614" w:rsidR="008653E2" w:rsidRPr="00354403" w:rsidRDefault="008653E2" w:rsidP="00354403">
            <w:pPr>
              <w:cnfStyle w:val="000000000000" w:firstRow="0" w:lastRow="0" w:firstColumn="0" w:lastColumn="0" w:oddVBand="0" w:evenVBand="0" w:oddHBand="0" w:evenHBand="0" w:firstRowFirstColumn="0" w:firstRowLastColumn="0" w:lastRowFirstColumn="0" w:lastRowLastColumn="0"/>
            </w:pPr>
            <w:r>
              <w:t xml:space="preserve">Scientific Research </w:t>
            </w:r>
            <w:r w:rsidR="0068116D">
              <w:t>Organisation of Samoa</w:t>
            </w:r>
          </w:p>
        </w:tc>
      </w:tr>
      <w:tr w:rsidR="001B6DE5" w:rsidRPr="00354403" w14:paraId="0C646BE5"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10DBF08" w14:textId="1F9CC6F7" w:rsidR="001B6DE5" w:rsidRPr="00354403" w:rsidRDefault="00A373D9" w:rsidP="00354403">
            <w:r w:rsidRPr="00354403">
              <w:lastRenderedPageBreak/>
              <w:t>ToR</w:t>
            </w:r>
          </w:p>
        </w:tc>
        <w:tc>
          <w:tcPr>
            <w:tcW w:w="8215" w:type="dxa"/>
          </w:tcPr>
          <w:p w14:paraId="576658AB" w14:textId="6298C452"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Terms of Reference</w:t>
            </w:r>
          </w:p>
        </w:tc>
      </w:tr>
      <w:tr w:rsidR="009D3E68" w:rsidRPr="00354403" w14:paraId="6B2D837D"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964C949" w14:textId="5BB55565" w:rsidR="009D3E68" w:rsidRPr="00354403" w:rsidRDefault="009D3E68" w:rsidP="00354403">
            <w:r>
              <w:t>TJNA</w:t>
            </w:r>
          </w:p>
        </w:tc>
        <w:tc>
          <w:tcPr>
            <w:tcW w:w="8215" w:type="dxa"/>
          </w:tcPr>
          <w:p w14:paraId="6A8AD580" w14:textId="4602225B" w:rsidR="009D3E68"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724521">
              <w:t>Tax Justice Network Africa</w:t>
            </w:r>
          </w:p>
        </w:tc>
      </w:tr>
      <w:tr w:rsidR="001B6DE5" w:rsidRPr="00354403" w14:paraId="77C844FA"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38BE685" w14:textId="29821DAF" w:rsidR="001B6DE5" w:rsidRPr="00354403" w:rsidRDefault="00A373D9" w:rsidP="00354403">
            <w:r w:rsidRPr="00354403">
              <w:t>UN</w:t>
            </w:r>
          </w:p>
        </w:tc>
        <w:tc>
          <w:tcPr>
            <w:tcW w:w="8215" w:type="dxa"/>
          </w:tcPr>
          <w:p w14:paraId="291723E1" w14:textId="556B6A38"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w:t>
            </w:r>
          </w:p>
        </w:tc>
      </w:tr>
      <w:tr w:rsidR="001B6DE5" w:rsidRPr="00354403" w14:paraId="497CFC80"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90B2DA5" w14:textId="2C9DFF09" w:rsidR="001B6DE5" w:rsidRPr="00354403" w:rsidRDefault="009D3E68" w:rsidP="00354403">
            <w:r>
              <w:t>UNCTAD</w:t>
            </w:r>
          </w:p>
        </w:tc>
        <w:tc>
          <w:tcPr>
            <w:tcW w:w="8215" w:type="dxa"/>
          </w:tcPr>
          <w:p w14:paraId="1CE2F27A" w14:textId="71CBC3FD" w:rsidR="001B6DE5" w:rsidRPr="00354403" w:rsidRDefault="00DA010C" w:rsidP="00354403">
            <w:pPr>
              <w:cnfStyle w:val="000000000000" w:firstRow="0" w:lastRow="0" w:firstColumn="0" w:lastColumn="0" w:oddVBand="0" w:evenVBand="0" w:oddHBand="0" w:evenHBand="0" w:firstRowFirstColumn="0" w:firstRowLastColumn="0" w:lastRowFirstColumn="0" w:lastRowLastColumn="0"/>
            </w:pPr>
            <w:r>
              <w:t>UN Trade and Development</w:t>
            </w:r>
          </w:p>
        </w:tc>
      </w:tr>
      <w:tr w:rsidR="001B6DE5" w:rsidRPr="00354403" w14:paraId="379C0606"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AEF8D98" w14:textId="33C980DC" w:rsidR="001B6DE5" w:rsidRPr="00354403" w:rsidRDefault="00A373D9" w:rsidP="00354403">
            <w:r w:rsidRPr="00354403">
              <w:t>UNDESA</w:t>
            </w:r>
          </w:p>
        </w:tc>
        <w:tc>
          <w:tcPr>
            <w:tcW w:w="8215" w:type="dxa"/>
          </w:tcPr>
          <w:p w14:paraId="3317EAEB" w14:textId="141574F8"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 Department of Economic and Social Affairs</w:t>
            </w:r>
          </w:p>
        </w:tc>
      </w:tr>
      <w:tr w:rsidR="001B6DE5" w:rsidRPr="00354403" w14:paraId="63A1D05A"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446A80A" w14:textId="558445FE" w:rsidR="001B6DE5" w:rsidRPr="00354403" w:rsidRDefault="00A373D9" w:rsidP="00354403">
            <w:r w:rsidRPr="00354403">
              <w:t>UNDP</w:t>
            </w:r>
          </w:p>
        </w:tc>
        <w:tc>
          <w:tcPr>
            <w:tcW w:w="8215" w:type="dxa"/>
          </w:tcPr>
          <w:p w14:paraId="55A986B6" w14:textId="584A3BA1"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 Development Programme</w:t>
            </w:r>
          </w:p>
        </w:tc>
      </w:tr>
      <w:tr w:rsidR="001B6DE5" w:rsidRPr="00354403" w14:paraId="57B6AFD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1C2FD89" w14:textId="1FFB114F" w:rsidR="001B6DE5" w:rsidRPr="00354403" w:rsidRDefault="00A373D9" w:rsidP="00354403">
            <w:r w:rsidRPr="00354403">
              <w:t>UNECA</w:t>
            </w:r>
          </w:p>
        </w:tc>
        <w:tc>
          <w:tcPr>
            <w:tcW w:w="8215" w:type="dxa"/>
          </w:tcPr>
          <w:p w14:paraId="40855FBD" w14:textId="50094CB1"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 Economic Commission for Africa</w:t>
            </w:r>
          </w:p>
        </w:tc>
      </w:tr>
      <w:tr w:rsidR="00B44806" w:rsidRPr="00354403" w14:paraId="544FA791"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0E023A0" w14:textId="7605770E" w:rsidR="00B44806" w:rsidRPr="00354403" w:rsidRDefault="00B44806" w:rsidP="00354403">
            <w:r>
              <w:t>UNECE</w:t>
            </w:r>
          </w:p>
        </w:tc>
        <w:tc>
          <w:tcPr>
            <w:tcW w:w="8215" w:type="dxa"/>
          </w:tcPr>
          <w:p w14:paraId="51C38199" w14:textId="63889BA0" w:rsidR="00B44806" w:rsidRPr="00354403" w:rsidRDefault="00B44806" w:rsidP="00354403">
            <w:pPr>
              <w:cnfStyle w:val="000000000000" w:firstRow="0" w:lastRow="0" w:firstColumn="0" w:lastColumn="0" w:oddVBand="0" w:evenVBand="0" w:oddHBand="0" w:evenHBand="0" w:firstRowFirstColumn="0" w:firstRowLastColumn="0" w:lastRowFirstColumn="0" w:lastRowLastColumn="0"/>
            </w:pPr>
            <w:r w:rsidRPr="00354403">
              <w:t>United Nations Economic Commission for</w:t>
            </w:r>
            <w:r>
              <w:t xml:space="preserve"> Europe</w:t>
            </w:r>
          </w:p>
        </w:tc>
      </w:tr>
      <w:tr w:rsidR="00E542ED" w:rsidRPr="00354403" w14:paraId="6F9FE973"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59388B5D" w14:textId="0D795618" w:rsidR="00E542ED" w:rsidRPr="00354403" w:rsidRDefault="00E542ED" w:rsidP="00354403">
            <w:r>
              <w:t>UNECLA</w:t>
            </w:r>
            <w:r w:rsidR="004B6E81">
              <w:t>C</w:t>
            </w:r>
          </w:p>
        </w:tc>
        <w:tc>
          <w:tcPr>
            <w:tcW w:w="8215" w:type="dxa"/>
          </w:tcPr>
          <w:p w14:paraId="69474E9E" w14:textId="12C2A100" w:rsidR="00E542ED"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16039E">
              <w:t xml:space="preserve">United Nations </w:t>
            </w:r>
            <w:r>
              <w:t>Economic Commission for Latin America and the Caribbean</w:t>
            </w:r>
          </w:p>
        </w:tc>
      </w:tr>
      <w:tr w:rsidR="001B6DE5" w:rsidRPr="00354403" w14:paraId="7CD83A1C"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1685F287" w14:textId="47EDB09B" w:rsidR="001B6DE5" w:rsidRPr="00354403" w:rsidRDefault="00A373D9" w:rsidP="00354403">
            <w:r w:rsidRPr="00354403">
              <w:t>UNEG</w:t>
            </w:r>
          </w:p>
        </w:tc>
        <w:tc>
          <w:tcPr>
            <w:tcW w:w="8215" w:type="dxa"/>
          </w:tcPr>
          <w:p w14:paraId="2BB5E9D4" w14:textId="04B70C8D"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Nations Evaluation Group</w:t>
            </w:r>
          </w:p>
        </w:tc>
      </w:tr>
      <w:tr w:rsidR="001B6DE5" w:rsidRPr="00354403" w14:paraId="4029EC85"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E3A4B0C" w14:textId="22EA680E" w:rsidR="001B6DE5" w:rsidRPr="00354403" w:rsidRDefault="00A373D9" w:rsidP="00354403">
            <w:r w:rsidRPr="00354403">
              <w:t>UNESCAP</w:t>
            </w:r>
          </w:p>
        </w:tc>
        <w:tc>
          <w:tcPr>
            <w:tcW w:w="8215" w:type="dxa"/>
          </w:tcPr>
          <w:p w14:paraId="6D5DBD09" w14:textId="63ECAD5D" w:rsidR="001B6DE5" w:rsidRPr="00354403" w:rsidRDefault="00CE1D54" w:rsidP="00354403">
            <w:pPr>
              <w:cnfStyle w:val="000000000000" w:firstRow="0" w:lastRow="0" w:firstColumn="0" w:lastColumn="0" w:oddVBand="0" w:evenVBand="0" w:oddHBand="0" w:evenHBand="0" w:firstRowFirstColumn="0" w:firstRowLastColumn="0" w:lastRowFirstColumn="0" w:lastRowLastColumn="0"/>
            </w:pPr>
            <w:r w:rsidRPr="00354403">
              <w:t>United Nations Economic and Social Commission for Asia and the Pacific</w:t>
            </w:r>
          </w:p>
        </w:tc>
      </w:tr>
      <w:tr w:rsidR="004B6E81" w:rsidRPr="00354403" w14:paraId="75A25AE7"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70BE8A2A" w14:textId="4C1E4B1A" w:rsidR="004B6E81" w:rsidRPr="00354403" w:rsidRDefault="004B6E81" w:rsidP="00354403">
            <w:r>
              <w:t>UNESCO</w:t>
            </w:r>
          </w:p>
        </w:tc>
        <w:tc>
          <w:tcPr>
            <w:tcW w:w="8215" w:type="dxa"/>
          </w:tcPr>
          <w:p w14:paraId="58C76CB6" w14:textId="51AC8BB4" w:rsidR="004B6E81"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555761">
              <w:t xml:space="preserve">United Nations Educational, Scientific and Cultural </w:t>
            </w:r>
            <w:r>
              <w:t>Organisation</w:t>
            </w:r>
          </w:p>
        </w:tc>
      </w:tr>
      <w:tr w:rsidR="004B6E81" w:rsidRPr="00354403" w14:paraId="1B336758"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3EBB2D1" w14:textId="65B8E273" w:rsidR="004B6E81" w:rsidRPr="00354403" w:rsidRDefault="004B6E81" w:rsidP="00354403">
            <w:r>
              <w:t>UNESCWA</w:t>
            </w:r>
          </w:p>
        </w:tc>
        <w:tc>
          <w:tcPr>
            <w:tcW w:w="8215" w:type="dxa"/>
          </w:tcPr>
          <w:p w14:paraId="7437C953" w14:textId="338C504E" w:rsidR="004B6E81"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16039E">
              <w:t xml:space="preserve">United Nations </w:t>
            </w:r>
            <w:r>
              <w:t>Economic and Social Commission for Western Asia</w:t>
            </w:r>
          </w:p>
        </w:tc>
      </w:tr>
      <w:tr w:rsidR="00B44806" w:rsidRPr="00354403" w14:paraId="59E3AFD9"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0B9F7327" w14:textId="7B510D30" w:rsidR="00B44806" w:rsidRDefault="00B44806" w:rsidP="00354403">
            <w:r>
              <w:t>UNICEF</w:t>
            </w:r>
          </w:p>
        </w:tc>
        <w:tc>
          <w:tcPr>
            <w:tcW w:w="8215" w:type="dxa"/>
          </w:tcPr>
          <w:p w14:paraId="7F116885" w14:textId="33B5B2B2" w:rsidR="00B44806" w:rsidRPr="00354403" w:rsidRDefault="00DA010C" w:rsidP="00354403">
            <w:pPr>
              <w:cnfStyle w:val="000000000000" w:firstRow="0" w:lastRow="0" w:firstColumn="0" w:lastColumn="0" w:oddVBand="0" w:evenVBand="0" w:oddHBand="0" w:evenHBand="0" w:firstRowFirstColumn="0" w:firstRowLastColumn="0" w:lastRowFirstColumn="0" w:lastRowLastColumn="0"/>
            </w:pPr>
            <w:r w:rsidRPr="00555761">
              <w:t>United Nations</w:t>
            </w:r>
            <w:r>
              <w:t xml:space="preserve"> Children’s Fund</w:t>
            </w:r>
          </w:p>
        </w:tc>
      </w:tr>
      <w:tr w:rsidR="001B6DE5" w:rsidRPr="00354403" w14:paraId="34DDD856"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236373AC" w14:textId="64AE00DF" w:rsidR="001B6DE5" w:rsidRPr="00354403" w:rsidRDefault="00A373D9" w:rsidP="00354403">
            <w:r w:rsidRPr="00354403">
              <w:t>UNITAR</w:t>
            </w:r>
          </w:p>
        </w:tc>
        <w:tc>
          <w:tcPr>
            <w:tcW w:w="8215" w:type="dxa"/>
          </w:tcPr>
          <w:p w14:paraId="395960A8" w14:textId="03CFA5CA" w:rsidR="001B6DE5" w:rsidRPr="00354403" w:rsidRDefault="00CE1D54" w:rsidP="00354403">
            <w:pPr>
              <w:cnfStyle w:val="000000000000" w:firstRow="0" w:lastRow="0" w:firstColumn="0" w:lastColumn="0" w:oddVBand="0" w:evenVBand="0" w:oddHBand="0" w:evenHBand="0" w:firstRowFirstColumn="0" w:firstRowLastColumn="0" w:lastRowFirstColumn="0" w:lastRowLastColumn="0"/>
            </w:pPr>
            <w:r w:rsidRPr="00354403">
              <w:t>United Nations Institute for Training and Research</w:t>
            </w:r>
          </w:p>
        </w:tc>
      </w:tr>
      <w:tr w:rsidR="001B6DE5" w:rsidRPr="00354403" w14:paraId="013805E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3EDE4E2C" w14:textId="3789B9A7" w:rsidR="001B6DE5" w:rsidRPr="00354403" w:rsidRDefault="00A373D9" w:rsidP="00354403">
            <w:r w:rsidRPr="00354403">
              <w:t>USD</w:t>
            </w:r>
          </w:p>
        </w:tc>
        <w:tc>
          <w:tcPr>
            <w:tcW w:w="8215" w:type="dxa"/>
          </w:tcPr>
          <w:p w14:paraId="7169C1AD" w14:textId="56E618DC" w:rsidR="001B6DE5" w:rsidRPr="00354403" w:rsidRDefault="00A373D9" w:rsidP="00354403">
            <w:pPr>
              <w:cnfStyle w:val="000000000000" w:firstRow="0" w:lastRow="0" w:firstColumn="0" w:lastColumn="0" w:oddVBand="0" w:evenVBand="0" w:oddHBand="0" w:evenHBand="0" w:firstRowFirstColumn="0" w:firstRowLastColumn="0" w:lastRowFirstColumn="0" w:lastRowLastColumn="0"/>
            </w:pPr>
            <w:r w:rsidRPr="00354403">
              <w:t>United States Dolar(s)</w:t>
            </w:r>
          </w:p>
        </w:tc>
      </w:tr>
      <w:tr w:rsidR="004A2C18" w:rsidRPr="00354403" w14:paraId="045509EF" w14:textId="77777777" w:rsidTr="00AB1897">
        <w:tc>
          <w:tcPr>
            <w:cnfStyle w:val="001000000000" w:firstRow="0" w:lastRow="0" w:firstColumn="1" w:lastColumn="0" w:oddVBand="0" w:evenVBand="0" w:oddHBand="0" w:evenHBand="0" w:firstRowFirstColumn="0" w:firstRowLastColumn="0" w:lastRowFirstColumn="0" w:lastRowLastColumn="0"/>
            <w:tcW w:w="1463" w:type="dxa"/>
          </w:tcPr>
          <w:p w14:paraId="45E20484" w14:textId="2533E697" w:rsidR="004A2C18" w:rsidRPr="00354403" w:rsidRDefault="004A2C18" w:rsidP="00354403">
            <w:r>
              <w:t>VNR</w:t>
            </w:r>
          </w:p>
        </w:tc>
        <w:tc>
          <w:tcPr>
            <w:tcW w:w="8215" w:type="dxa"/>
          </w:tcPr>
          <w:p w14:paraId="0AD40F21" w14:textId="43A9587D" w:rsidR="004A2C18" w:rsidRPr="00354403" w:rsidRDefault="004A2C18" w:rsidP="00354403">
            <w:pPr>
              <w:cnfStyle w:val="000000000000" w:firstRow="0" w:lastRow="0" w:firstColumn="0" w:lastColumn="0" w:oddVBand="0" w:evenVBand="0" w:oddHBand="0" w:evenHBand="0" w:firstRowFirstColumn="0" w:firstRowLastColumn="0" w:lastRowFirstColumn="0" w:lastRowLastColumn="0"/>
            </w:pPr>
            <w:r>
              <w:t>Voluntary National Review</w:t>
            </w:r>
          </w:p>
        </w:tc>
      </w:tr>
    </w:tbl>
    <w:p w14:paraId="559F9992" w14:textId="77777777" w:rsidR="00875969" w:rsidRPr="00354403" w:rsidRDefault="00875969" w:rsidP="00354403"/>
    <w:p w14:paraId="66D36B60" w14:textId="77777777" w:rsidR="00875969" w:rsidRDefault="00875969" w:rsidP="00875969">
      <w:pPr>
        <w:rPr>
          <w:rFonts w:cstheme="minorHAnsi"/>
          <w:i/>
          <w:iCs/>
        </w:rPr>
        <w:sectPr w:rsidR="00875969" w:rsidSect="00F666A1">
          <w:footerReference w:type="default" r:id="rId14"/>
          <w:pgSz w:w="12240" w:h="15840"/>
          <w:pgMar w:top="1276" w:right="1276" w:bottom="1588" w:left="1276" w:header="720" w:footer="720" w:gutter="0"/>
          <w:cols w:space="720"/>
          <w:docGrid w:linePitch="360"/>
        </w:sectPr>
      </w:pPr>
    </w:p>
    <w:p w14:paraId="57CB2CF2" w14:textId="7FFA6CB7" w:rsidR="00875969" w:rsidRPr="00086E49" w:rsidRDefault="00875969" w:rsidP="003A073D">
      <w:pPr>
        <w:pStyle w:val="FrontMatterH1"/>
        <w:outlineLvl w:val="0"/>
      </w:pPr>
      <w:bookmarkStart w:id="1" w:name="_Toc508975593"/>
      <w:bookmarkStart w:id="2" w:name="_Toc210730304"/>
      <w:r w:rsidRPr="00BF32D2">
        <w:lastRenderedPageBreak/>
        <w:t>Executive summary</w:t>
      </w:r>
      <w:bookmarkEnd w:id="1"/>
      <w:bookmarkEnd w:id="2"/>
    </w:p>
    <w:p w14:paraId="4B72DE4F" w14:textId="77777777" w:rsidR="000F4002" w:rsidRDefault="000F4002" w:rsidP="00280394">
      <w:pPr>
        <w:pStyle w:val="BodyText"/>
        <w:sectPr w:rsidR="000F4002" w:rsidSect="00F666A1">
          <w:pgSz w:w="12240" w:h="15840"/>
          <w:pgMar w:top="1276" w:right="1276" w:bottom="1588" w:left="1276" w:header="720" w:footer="720" w:gutter="0"/>
          <w:cols w:space="720"/>
          <w:docGrid w:linePitch="360"/>
        </w:sectPr>
      </w:pPr>
    </w:p>
    <w:p w14:paraId="282179D7" w14:textId="2F994E5A" w:rsidR="00EE3779" w:rsidRPr="00280394" w:rsidRDefault="00EE3779" w:rsidP="00EE3779">
      <w:pPr>
        <w:pStyle w:val="FrontMatterH2"/>
        <w:spacing w:before="0"/>
      </w:pPr>
      <w:r w:rsidRPr="00280394">
        <w:t xml:space="preserve">Overview of </w:t>
      </w:r>
      <w:r w:rsidR="005078CA">
        <w:t>DA13 INFF Pr</w:t>
      </w:r>
      <w:r w:rsidR="00860211">
        <w:t>o</w:t>
      </w:r>
      <w:r w:rsidR="005078CA">
        <w:t xml:space="preserve">ject 2124A </w:t>
      </w:r>
      <w:r w:rsidRPr="00280394">
        <w:t>‘</w:t>
      </w:r>
      <w:r>
        <w:t>Towards Integrated National Financial Framework</w:t>
      </w:r>
      <w:r w:rsidR="009052EE">
        <w:t>’</w:t>
      </w:r>
    </w:p>
    <w:p w14:paraId="6AA0F2A3" w14:textId="13DA04E5" w:rsidR="00936BFC" w:rsidRDefault="00860211" w:rsidP="00EE3779">
      <w:pPr>
        <w:pStyle w:val="BodyText"/>
      </w:pPr>
      <w:r>
        <w:t>DA13 INFF Project 2124A ‘Towards Integrated National Financial Framework (INFF)’ was implemented from March 2021 to December 2024 under the 13</w:t>
      </w:r>
      <w:r w:rsidRPr="00984A13">
        <w:rPr>
          <w:vertAlign w:val="superscript"/>
        </w:rPr>
        <w:t>th</w:t>
      </w:r>
      <w:r>
        <w:t xml:space="preserve"> tranche of the Development Account</w:t>
      </w:r>
      <w:r w:rsidR="0066476B">
        <w:t xml:space="preserve"> (DA)</w:t>
      </w:r>
      <w:r>
        <w:t xml:space="preserve">. Project implementation </w:t>
      </w:r>
      <w:r w:rsidR="00201786">
        <w:t xml:space="preserve">and coordination </w:t>
      </w:r>
      <w:r>
        <w:t xml:space="preserve">was led by the United Nations Department </w:t>
      </w:r>
      <w:r w:rsidRPr="00BD4BC9">
        <w:t>of Economic and Social Affairs</w:t>
      </w:r>
      <w:r>
        <w:t xml:space="preserve"> (UNDESA) Financing for Sustainable Development Office (FSDO).</w:t>
      </w:r>
      <w:r w:rsidR="00936BFC">
        <w:t xml:space="preserve"> The aim of the project was </w:t>
      </w:r>
      <w:r w:rsidR="00936BFC" w:rsidRPr="00E42280">
        <w:t xml:space="preserve">to </w:t>
      </w:r>
      <w:r w:rsidR="00936BFC" w:rsidRPr="00E42280">
        <w:rPr>
          <w:lang w:val="en-GB"/>
        </w:rPr>
        <w:t xml:space="preserve">strengthen the capacities of </w:t>
      </w:r>
      <w:r w:rsidR="00936BFC" w:rsidRPr="00E42280">
        <w:t>10</w:t>
      </w:r>
      <w:r w:rsidR="00936BFC">
        <w:t xml:space="preserve"> </w:t>
      </w:r>
      <w:r w:rsidR="00F26D33">
        <w:t xml:space="preserve">countries </w:t>
      </w:r>
      <w:r w:rsidR="00936BFC">
        <w:t xml:space="preserve">across </w:t>
      </w:r>
      <w:r w:rsidR="00936BFC" w:rsidRPr="00E42280">
        <w:t xml:space="preserve">five regions </w:t>
      </w:r>
      <w:r w:rsidR="00936BFC" w:rsidRPr="00E42280">
        <w:rPr>
          <w:lang w:val="en-GB"/>
        </w:rPr>
        <w:t xml:space="preserve">to mobilise and align financing with </w:t>
      </w:r>
      <w:r w:rsidR="00936BFC">
        <w:rPr>
          <w:lang w:val="en-GB"/>
        </w:rPr>
        <w:t xml:space="preserve">their </w:t>
      </w:r>
      <w:r w:rsidR="00936BFC" w:rsidRPr="00E42280">
        <w:rPr>
          <w:lang w:val="en-GB"/>
        </w:rPr>
        <w:t>national sustainable development priorities</w:t>
      </w:r>
      <w:r w:rsidR="00936BFC">
        <w:rPr>
          <w:lang w:val="en-GB"/>
        </w:rPr>
        <w:t>.</w:t>
      </w:r>
    </w:p>
    <w:p w14:paraId="403B84B5" w14:textId="7D444FA3" w:rsidR="00936BFC" w:rsidRDefault="00936BFC" w:rsidP="00EE3779">
      <w:pPr>
        <w:pStyle w:val="BodyText"/>
      </w:pPr>
      <w:r>
        <w:t xml:space="preserve">Project implementation was decentralised and was conducted by the five Regional Economic Commissions (UNECA; UNECE; UNECLAC; UNESCAP; and UNESCWA); </w:t>
      </w:r>
      <w:r w:rsidR="00E76082">
        <w:t xml:space="preserve">and </w:t>
      </w:r>
      <w:r>
        <w:t>UN Trade and Development (UNCTAD). The Regional Economic Commissions collaborated with UNDESA-FSDO; UNCTAD; Cooperating Entities from within the UN Secretariat and System; and other Collaborating Entities from the project regions.</w:t>
      </w:r>
      <w:r w:rsidR="006A5490">
        <w:t xml:space="preserve"> </w:t>
      </w:r>
      <w:r>
        <w:t xml:space="preserve">Activity implementation was conducted </w:t>
      </w:r>
      <w:r w:rsidR="009E0D95">
        <w:t>in Africa</w:t>
      </w:r>
      <w:r w:rsidR="00E76082">
        <w:t xml:space="preserve"> (</w:t>
      </w:r>
      <w:r w:rsidR="009E0D95">
        <w:t>Burkina Faso and Zambia</w:t>
      </w:r>
      <w:r w:rsidR="00E76082">
        <w:t>)</w:t>
      </w:r>
      <w:r w:rsidR="009E0D95">
        <w:t>; Asia and the Pacific region</w:t>
      </w:r>
      <w:r w:rsidR="00E76082">
        <w:t xml:space="preserve"> (</w:t>
      </w:r>
      <w:r w:rsidR="009E0D95">
        <w:t>Pakistan and Samoa</w:t>
      </w:r>
      <w:r w:rsidR="00E76082">
        <w:t>)</w:t>
      </w:r>
      <w:r w:rsidR="009E0D95">
        <w:t xml:space="preserve">; Europe </w:t>
      </w:r>
      <w:r w:rsidR="00E76082">
        <w:t>(</w:t>
      </w:r>
      <w:r w:rsidR="009E0D95">
        <w:t>Belarus and Kyrgyzstan</w:t>
      </w:r>
      <w:r w:rsidR="00E76082">
        <w:t>)</w:t>
      </w:r>
      <w:r w:rsidR="009E0D95">
        <w:t>; Latin America and the Caribbean</w:t>
      </w:r>
      <w:r w:rsidR="00E76082">
        <w:t xml:space="preserve"> (</w:t>
      </w:r>
      <w:r w:rsidR="009E0D95">
        <w:t>Costa Rica and the Dominican Republic</w:t>
      </w:r>
      <w:r w:rsidR="00E76082">
        <w:t>)</w:t>
      </w:r>
      <w:r w:rsidR="009E0D95">
        <w:t>; and Western Asia</w:t>
      </w:r>
      <w:r w:rsidR="00E76082">
        <w:t xml:space="preserve"> (</w:t>
      </w:r>
      <w:r w:rsidR="009E0D95">
        <w:t xml:space="preserve">Egypt and Jordan). </w:t>
      </w:r>
    </w:p>
    <w:p w14:paraId="04193138" w14:textId="37F6ACA0" w:rsidR="00860211" w:rsidRDefault="009E0D95" w:rsidP="00EE3779">
      <w:pPr>
        <w:pStyle w:val="BodyText"/>
      </w:pPr>
      <w:r>
        <w:t>The project was relevant for two Sustainable Development Goals (SDGs): SDG</w:t>
      </w:r>
      <w:r w:rsidR="00892EA8">
        <w:t>17: Partnerships for the Goals and SDG16: Peace, justice and strong institutions. As its target beneficiaries, the project engaged country governments; key decision-makers of public sector ministries; the management and staff of private sector firms; and representatives of State development partners.</w:t>
      </w:r>
    </w:p>
    <w:p w14:paraId="43305A08" w14:textId="4A27BE1C" w:rsidR="00EE3779" w:rsidRPr="00CE32E4" w:rsidRDefault="00EE3779" w:rsidP="00EE3779">
      <w:pPr>
        <w:pStyle w:val="FrontMatterH2"/>
      </w:pPr>
      <w:r w:rsidRPr="00022525">
        <w:t>Evaluation purpose, objectives, scope and intended users/ audience</w:t>
      </w:r>
    </w:p>
    <w:p w14:paraId="6F1FC2CD" w14:textId="7A62F29A" w:rsidR="006A5490" w:rsidRDefault="006A5490" w:rsidP="00EE3779">
      <w:pPr>
        <w:pStyle w:val="BodyText"/>
        <w:rPr>
          <w:rFonts w:eastAsia="Times New Roman" w:cs="Calibri"/>
        </w:rPr>
      </w:pPr>
      <w:r w:rsidRPr="000975C2">
        <w:rPr>
          <w:lang w:val="en-GB"/>
        </w:rPr>
        <w:t>The</w:t>
      </w:r>
      <w:r>
        <w:rPr>
          <w:lang w:val="en-GB"/>
        </w:rPr>
        <w:t xml:space="preserve"> </w:t>
      </w:r>
      <w:r w:rsidRPr="000975C2">
        <w:rPr>
          <w:lang w:val="en-GB"/>
        </w:rPr>
        <w:t>purpose of th</w:t>
      </w:r>
      <w:r>
        <w:rPr>
          <w:lang w:val="en-GB"/>
        </w:rPr>
        <w:t>e</w:t>
      </w:r>
      <w:r w:rsidRPr="000975C2">
        <w:rPr>
          <w:lang w:val="en-GB"/>
        </w:rPr>
        <w:t xml:space="preserve"> evaluation </w:t>
      </w:r>
      <w:r>
        <w:rPr>
          <w:lang w:val="en-GB"/>
        </w:rPr>
        <w:t>was to</w:t>
      </w:r>
      <w:r w:rsidRPr="000975C2">
        <w:rPr>
          <w:lang w:val="en-GB"/>
        </w:rPr>
        <w:t xml:space="preserve"> </w:t>
      </w:r>
      <w:r>
        <w:rPr>
          <w:szCs w:val="20"/>
          <w:lang w:val="en-GB"/>
        </w:rPr>
        <w:t>‘</w:t>
      </w:r>
      <w:r w:rsidRPr="00EA668C">
        <w:rPr>
          <w:szCs w:val="20"/>
          <w:lang w:val="en-GB"/>
        </w:rPr>
        <w:t>uphold accountability and foster organisational learning</w:t>
      </w:r>
      <w:r>
        <w:rPr>
          <w:szCs w:val="20"/>
          <w:lang w:val="en-GB"/>
        </w:rPr>
        <w:t>,</w:t>
      </w:r>
      <w:r w:rsidRPr="00EA668C">
        <w:rPr>
          <w:szCs w:val="20"/>
          <w:lang w:val="en-GB"/>
        </w:rPr>
        <w:t>’</w:t>
      </w:r>
      <w:r>
        <w:rPr>
          <w:szCs w:val="20"/>
          <w:lang w:val="en-GB"/>
        </w:rPr>
        <w:t xml:space="preserve"> by conducting a detailed project assessment. </w:t>
      </w:r>
      <w:r>
        <w:t xml:space="preserve">There was a </w:t>
      </w:r>
      <w:r>
        <w:rPr>
          <w:szCs w:val="20"/>
          <w:lang w:val="en-GB"/>
        </w:rPr>
        <w:t xml:space="preserve">primary focus on project achievements and methodological design, to enable the evaluation to: i) </w:t>
      </w:r>
      <w:r>
        <w:rPr>
          <w:szCs w:val="20"/>
          <w:lang w:val="en-GB"/>
        </w:rPr>
        <w:t xml:space="preserve">contribute towards existing knowledge on INFF implementation; and ii) generate actionable insights and identify commendable practices to </w:t>
      </w:r>
      <w:r w:rsidRPr="00EA668C">
        <w:rPr>
          <w:szCs w:val="20"/>
        </w:rPr>
        <w:t>optimis</w:t>
      </w:r>
      <w:r>
        <w:rPr>
          <w:szCs w:val="20"/>
        </w:rPr>
        <w:t>e</w:t>
      </w:r>
      <w:r w:rsidRPr="00EA668C">
        <w:rPr>
          <w:szCs w:val="20"/>
        </w:rPr>
        <w:t xml:space="preserve"> strategies for enhanced development outcomes</w:t>
      </w:r>
      <w:r>
        <w:rPr>
          <w:szCs w:val="20"/>
        </w:rPr>
        <w:t xml:space="preserve"> in future projects.</w:t>
      </w:r>
      <w:r w:rsidR="00FA4392">
        <w:rPr>
          <w:szCs w:val="20"/>
        </w:rPr>
        <w:t xml:space="preserve"> </w:t>
      </w:r>
      <w:r w:rsidR="00B74EA1">
        <w:rPr>
          <w:szCs w:val="20"/>
        </w:rPr>
        <w:t xml:space="preserve">As its specific objectives, therefore, </w:t>
      </w:r>
      <w:r w:rsidR="008A7411">
        <w:rPr>
          <w:szCs w:val="20"/>
        </w:rPr>
        <w:t>the evaluation</w:t>
      </w:r>
      <w:r>
        <w:t xml:space="preserve">: i) </w:t>
      </w:r>
      <w:r w:rsidR="008A7411">
        <w:t>assessed</w:t>
      </w:r>
      <w:r>
        <w:t xml:space="preserve"> </w:t>
      </w:r>
      <w:r w:rsidRPr="00027CEE">
        <w:rPr>
          <w:rFonts w:eastAsia="Times New Roman" w:cs="Calibri"/>
        </w:rPr>
        <w:t>the relevance, effectiveness, efficiency, sustainability and coherence of project results</w:t>
      </w:r>
      <w:r w:rsidR="00C2401D">
        <w:rPr>
          <w:rFonts w:eastAsia="Times New Roman" w:cs="Calibri"/>
        </w:rPr>
        <w:t xml:space="preserve"> against goals and objectives</w:t>
      </w:r>
      <w:r>
        <w:rPr>
          <w:rFonts w:eastAsia="Times New Roman" w:cs="Calibri"/>
        </w:rPr>
        <w:t>; i</w:t>
      </w:r>
      <w:r>
        <w:t xml:space="preserve">i) </w:t>
      </w:r>
      <w:r w:rsidR="00C2401D">
        <w:t>document</w:t>
      </w:r>
      <w:r w:rsidR="008A7411">
        <w:t>ed</w:t>
      </w:r>
      <w:r w:rsidR="00C2401D">
        <w:t xml:space="preserve"> the results and achievement in each project element, including synergies across activities; and iii) identif</w:t>
      </w:r>
      <w:r w:rsidR="008A7411">
        <w:t>ied</w:t>
      </w:r>
      <w:r w:rsidR="00C2401D">
        <w:t xml:space="preserve"> </w:t>
      </w:r>
      <w:r w:rsidR="00C2401D" w:rsidRPr="00027CEE">
        <w:rPr>
          <w:rFonts w:eastAsia="Times New Roman" w:cs="Calibri"/>
        </w:rPr>
        <w:t>good practices and lessons learned</w:t>
      </w:r>
      <w:r w:rsidR="00C2401D">
        <w:rPr>
          <w:rFonts w:eastAsia="Times New Roman" w:cs="Calibri"/>
        </w:rPr>
        <w:t xml:space="preserve"> and develop</w:t>
      </w:r>
      <w:r w:rsidR="008A7411">
        <w:rPr>
          <w:rFonts w:eastAsia="Times New Roman" w:cs="Calibri"/>
        </w:rPr>
        <w:t>ed</w:t>
      </w:r>
      <w:r w:rsidR="00C2401D">
        <w:rPr>
          <w:rFonts w:eastAsia="Times New Roman" w:cs="Calibri"/>
        </w:rPr>
        <w:t xml:space="preserve"> recommendations </w:t>
      </w:r>
      <w:r w:rsidR="008A7411">
        <w:rPr>
          <w:rFonts w:eastAsia="Times New Roman" w:cs="Calibri"/>
        </w:rPr>
        <w:t>to</w:t>
      </w:r>
      <w:r w:rsidR="00C2401D">
        <w:rPr>
          <w:rFonts w:eastAsia="Times New Roman" w:cs="Calibri"/>
        </w:rPr>
        <w:t xml:space="preserve"> improve future interventions.</w:t>
      </w:r>
    </w:p>
    <w:p w14:paraId="1CE02122" w14:textId="11D38195" w:rsidR="00C2401D" w:rsidRDefault="00C2401D" w:rsidP="00EE3779">
      <w:pPr>
        <w:pStyle w:val="BodyText"/>
        <w:rPr>
          <w:rFonts w:eastAsia="Times New Roman" w:cs="Calibri"/>
        </w:rPr>
      </w:pPr>
      <w:r>
        <w:rPr>
          <w:rFonts w:eastAsia="Times New Roman" w:cs="Calibri"/>
        </w:rPr>
        <w:t>The scope of the evaluation covered: the entire project timeframe; the 10 target countries; and th</w:t>
      </w:r>
      <w:r w:rsidR="0066476B">
        <w:rPr>
          <w:rFonts w:eastAsia="Times New Roman" w:cs="Calibri"/>
        </w:rPr>
        <w:t xml:space="preserve">e </w:t>
      </w:r>
      <w:r>
        <w:rPr>
          <w:rFonts w:eastAsia="Times New Roman" w:cs="Calibri"/>
        </w:rPr>
        <w:t>evaluation criteria of focus, compris</w:t>
      </w:r>
      <w:r w:rsidR="0066476B">
        <w:rPr>
          <w:rFonts w:eastAsia="Times New Roman" w:cs="Calibri"/>
        </w:rPr>
        <w:t>ing</w:t>
      </w:r>
      <w:r>
        <w:rPr>
          <w:rFonts w:eastAsia="Times New Roman" w:cs="Calibri"/>
        </w:rPr>
        <w:t xml:space="preserve"> six OECD-DAC criteria (relevance; </w:t>
      </w:r>
      <w:r w:rsidR="006664E8">
        <w:rPr>
          <w:rFonts w:eastAsia="Times New Roman" w:cs="Calibri"/>
        </w:rPr>
        <w:t xml:space="preserve">coherence </w:t>
      </w:r>
      <w:r>
        <w:rPr>
          <w:rFonts w:eastAsia="Times New Roman" w:cs="Calibri"/>
        </w:rPr>
        <w:t xml:space="preserve">effectiveness; efficiency; </w:t>
      </w:r>
      <w:r w:rsidR="0066476B">
        <w:rPr>
          <w:rFonts w:eastAsia="Times New Roman" w:cs="Calibri"/>
        </w:rPr>
        <w:t>impact; and sustainability) and three cross-cutting themes (gender equality; human rights; and disability inclusion).</w:t>
      </w:r>
    </w:p>
    <w:p w14:paraId="4D32AFB9" w14:textId="410208F0" w:rsidR="0066476B" w:rsidRDefault="0066476B" w:rsidP="00EE3779">
      <w:pPr>
        <w:pStyle w:val="BodyText"/>
        <w:rPr>
          <w:rFonts w:eastAsia="Times New Roman" w:cs="Calibri"/>
        </w:rPr>
      </w:pPr>
      <w:r>
        <w:rPr>
          <w:rFonts w:eastAsia="Times New Roman" w:cs="Calibri"/>
        </w:rPr>
        <w:t>Primary users of the evaluation include: the management and staff of the executing entities. The potential secondary user</w:t>
      </w:r>
      <w:r w:rsidR="008A7411">
        <w:rPr>
          <w:rFonts w:eastAsia="Times New Roman" w:cs="Calibri"/>
        </w:rPr>
        <w:t>s</w:t>
      </w:r>
      <w:r>
        <w:rPr>
          <w:rFonts w:eastAsia="Times New Roman" w:cs="Calibri"/>
        </w:rPr>
        <w:t xml:space="preserve"> of the evaluation include: members of the </w:t>
      </w:r>
      <w:r w:rsidR="00CE2A6C">
        <w:rPr>
          <w:rFonts w:eastAsia="Times New Roman" w:cs="Calibri"/>
        </w:rPr>
        <w:t>DA Programme Management Team; DA focal points and senior management within the executing entities; the UN General Assembly; and other interested agencies and stakeholders.</w:t>
      </w:r>
    </w:p>
    <w:p w14:paraId="485B8406" w14:textId="77777777" w:rsidR="00EE3779" w:rsidRPr="00F934F0" w:rsidRDefault="00EE3779" w:rsidP="00EE3779">
      <w:pPr>
        <w:pStyle w:val="FrontMatterH2"/>
      </w:pPr>
      <w:r w:rsidRPr="00810F7D">
        <w:t>Evaluation methodology</w:t>
      </w:r>
    </w:p>
    <w:p w14:paraId="16E5557B" w14:textId="061DB6EF" w:rsidR="00CE2A6C" w:rsidRPr="00CE2A6C" w:rsidRDefault="00EE3779" w:rsidP="00EE3779">
      <w:pPr>
        <w:pStyle w:val="BodyText"/>
      </w:pPr>
      <w:r w:rsidRPr="00CE2A6C">
        <w:rPr>
          <w:rFonts w:cs="Calibri"/>
        </w:rPr>
        <w:t xml:space="preserve">The evaluation was theory-based </w:t>
      </w:r>
      <w:r w:rsidRPr="00CE2A6C">
        <w:t xml:space="preserve">and </w:t>
      </w:r>
      <w:r w:rsidR="00CE2A6C" w:rsidRPr="00CE2A6C">
        <w:t>was supported by: a client-approved evaluation matrix; an inclusive and</w:t>
      </w:r>
      <w:r w:rsidR="00CE2A6C" w:rsidRPr="00CE2A6C">
        <w:rPr>
          <w:spacing w:val="3"/>
        </w:rPr>
        <w:t xml:space="preserve"> </w:t>
      </w:r>
      <w:r w:rsidR="00CE2A6C" w:rsidRPr="00CE2A6C">
        <w:t>participatory approach; utilisation-focused</w:t>
      </w:r>
      <w:r w:rsidR="00CE2A6C" w:rsidRPr="00CE2A6C">
        <w:rPr>
          <w:spacing w:val="2"/>
        </w:rPr>
        <w:t xml:space="preserve"> </w:t>
      </w:r>
      <w:r w:rsidR="00CE2A6C" w:rsidRPr="00CE2A6C">
        <w:rPr>
          <w:spacing w:val="-2"/>
        </w:rPr>
        <w:t xml:space="preserve">principles; </w:t>
      </w:r>
      <w:r w:rsidR="00CE2A6C" w:rsidRPr="00CE2A6C">
        <w:t>mixed-methods; and purposive sampling</w:t>
      </w:r>
      <w:r w:rsidR="00CE2A6C">
        <w:t xml:space="preserve">. </w:t>
      </w:r>
      <w:r w:rsidR="00AD7ECD">
        <w:t xml:space="preserve">All evaluation activities adhered to the international standards of the </w:t>
      </w:r>
      <w:r w:rsidR="00AD7ECD" w:rsidRPr="001538BC">
        <w:rPr>
          <w:rFonts w:cs="Calibri"/>
        </w:rPr>
        <w:t>United Nations Evaluation Group</w:t>
      </w:r>
      <w:r w:rsidR="00AD7ECD">
        <w:rPr>
          <w:rFonts w:cs="Calibri"/>
        </w:rPr>
        <w:t xml:space="preserve"> (UNEG) and the </w:t>
      </w:r>
      <w:r w:rsidR="00AD7ECD">
        <w:t>General Data Protection Regulation (GDPR). The evaluation also complied with the internal evaluation policies of UNDESA.</w:t>
      </w:r>
    </w:p>
    <w:p w14:paraId="523802C4" w14:textId="6F13D73E" w:rsidR="00AD7ECD" w:rsidRDefault="00985920" w:rsidP="00EE3779">
      <w:pPr>
        <w:pStyle w:val="BodyText"/>
      </w:pPr>
      <w:r>
        <w:t xml:space="preserve">Stakeholder consultations </w:t>
      </w:r>
      <w:r w:rsidRPr="00AD7ECD">
        <w:t>by key informant interviews and electronic survey</w:t>
      </w:r>
      <w:r>
        <w:t xml:space="preserve"> were used to generate required d</w:t>
      </w:r>
      <w:r w:rsidR="00AD7ECD" w:rsidRPr="00AD7ECD">
        <w:t xml:space="preserve">ata </w:t>
      </w:r>
      <w:r>
        <w:t>for analysis</w:t>
      </w:r>
      <w:r w:rsidR="00AD7ECD" w:rsidRPr="00AD7ECD">
        <w:t>.</w:t>
      </w:r>
      <w:r w:rsidR="00AD7ECD">
        <w:t xml:space="preserve"> The selection of key informants was based on the use of purposive sampling, involving the </w:t>
      </w:r>
      <w:r w:rsidR="008A7411">
        <w:t>engagement</w:t>
      </w:r>
      <w:r w:rsidR="00AD7ECD">
        <w:t xml:space="preserve"> of stakeholders who were most </w:t>
      </w:r>
      <w:r w:rsidR="00AD7ECD">
        <w:lastRenderedPageBreak/>
        <w:t>appropriate for providing detailed responses to the evaluation questions. This process was supported by a desk review of all relevant documents that were available for in-depth review.</w:t>
      </w:r>
      <w:r w:rsidR="0013051C">
        <w:t xml:space="preserve"> As required, additional stakeholders were engaged</w:t>
      </w:r>
      <w:r w:rsidR="0013051C" w:rsidRPr="0013051C">
        <w:t xml:space="preserve"> </w:t>
      </w:r>
      <w:r w:rsidR="0013051C">
        <w:t>and additional documents were reviewed throughout the evaluation. An electronic survey was also administered to workshop participants for whom email addresses were available, to extend the reach of the evaluation.</w:t>
      </w:r>
    </w:p>
    <w:p w14:paraId="53936FBE" w14:textId="2D56E024" w:rsidR="00EE3779" w:rsidRDefault="00985920" w:rsidP="00EE3779">
      <w:pPr>
        <w:pStyle w:val="BodyText"/>
        <w:rPr>
          <w:b/>
          <w:bCs/>
          <w:highlight w:val="yellow"/>
        </w:rPr>
      </w:pPr>
      <w:r>
        <w:rPr>
          <w:rFonts w:cs="Calibri"/>
        </w:rPr>
        <w:t>Da</w:t>
      </w:r>
      <w:r w:rsidR="00EE3779">
        <w:rPr>
          <w:rFonts w:cs="Calibri"/>
        </w:rPr>
        <w:t xml:space="preserve">ta analysis was based on the use of qualitative and quantitative methods. </w:t>
      </w:r>
      <w:r>
        <w:rPr>
          <w:rFonts w:cs="Calibri"/>
        </w:rPr>
        <w:t>Draft versions of a</w:t>
      </w:r>
      <w:r w:rsidR="00EE3779">
        <w:rPr>
          <w:rFonts w:cs="Calibri"/>
        </w:rPr>
        <w:t xml:space="preserve">ll evaluation deliverables were submitted to the evaluation </w:t>
      </w:r>
      <w:r>
        <w:rPr>
          <w:rFonts w:cs="Calibri"/>
        </w:rPr>
        <w:t xml:space="preserve">manager at UNDESA-FSDO </w:t>
      </w:r>
      <w:r w:rsidR="00EE3779">
        <w:rPr>
          <w:rFonts w:cs="Calibri"/>
        </w:rPr>
        <w:t>for internal dissemination and review</w:t>
      </w:r>
      <w:r>
        <w:rPr>
          <w:rFonts w:cs="Calibri"/>
        </w:rPr>
        <w:t>. Consolidated c</w:t>
      </w:r>
      <w:r w:rsidR="00EE3779">
        <w:rPr>
          <w:rFonts w:cs="Calibri"/>
        </w:rPr>
        <w:t xml:space="preserve">omments </w:t>
      </w:r>
      <w:r>
        <w:rPr>
          <w:rFonts w:cs="Calibri"/>
        </w:rPr>
        <w:t>on draft d</w:t>
      </w:r>
      <w:r w:rsidR="008A7411">
        <w:rPr>
          <w:rFonts w:cs="Calibri"/>
        </w:rPr>
        <w:t>eliverable</w:t>
      </w:r>
      <w:r w:rsidR="00B74918">
        <w:rPr>
          <w:rFonts w:cs="Calibri"/>
        </w:rPr>
        <w:t>s</w:t>
      </w:r>
      <w:r>
        <w:rPr>
          <w:rFonts w:cs="Calibri"/>
        </w:rPr>
        <w:t xml:space="preserve"> were used to inform finalisation. </w:t>
      </w:r>
    </w:p>
    <w:p w14:paraId="5A329E12" w14:textId="77777777" w:rsidR="00EE3779" w:rsidRDefault="00EE3779" w:rsidP="00EE3779">
      <w:pPr>
        <w:pStyle w:val="FrontMatterH2"/>
      </w:pPr>
      <w:r w:rsidRPr="00946E35">
        <w:t>Summary of key findings, conclusions and recommendations</w:t>
      </w:r>
    </w:p>
    <w:p w14:paraId="62E6EE68" w14:textId="77777777" w:rsidR="00EE3779" w:rsidRPr="00E70DAB" w:rsidRDefault="00EE3779" w:rsidP="00EE3779">
      <w:pPr>
        <w:pStyle w:val="FrontMatterH3"/>
      </w:pPr>
      <w:r w:rsidRPr="00E70DAB">
        <w:t>Key findings</w:t>
      </w:r>
    </w:p>
    <w:p w14:paraId="379916A7" w14:textId="319A0B8E" w:rsidR="005078CA" w:rsidRDefault="00EE3779" w:rsidP="00EE3779">
      <w:pPr>
        <w:pStyle w:val="BodyText"/>
      </w:pPr>
      <w:r>
        <w:rPr>
          <w:b/>
          <w:bCs/>
        </w:rPr>
        <w:t xml:space="preserve">Relevance: </w:t>
      </w:r>
      <w:r w:rsidR="003610F0" w:rsidRPr="003610F0">
        <w:t>Although the target countries were not engaged during project design, t</w:t>
      </w:r>
      <w:r w:rsidRPr="003610F0">
        <w:t>here</w:t>
      </w:r>
      <w:r w:rsidRPr="00936951">
        <w:t xml:space="preserve"> </w:t>
      </w:r>
      <w:r w:rsidR="00AB5EB5">
        <w:t xml:space="preserve">was evidence of the conceptual relevance of the project to the situation of development financing at the level of the target countries. Project activities were also relevant for the engagement of </w:t>
      </w:r>
      <w:r w:rsidR="00742AF6">
        <w:t xml:space="preserve">cooperating UN </w:t>
      </w:r>
      <w:r w:rsidR="00AB5EB5">
        <w:t>entities in regional gatherings</w:t>
      </w:r>
      <w:r w:rsidR="00B74918">
        <w:t xml:space="preserve">, to facilitate </w:t>
      </w:r>
      <w:r w:rsidR="00AB5EB5">
        <w:t xml:space="preserve">knowledge exchange and peer-learning on </w:t>
      </w:r>
      <w:r w:rsidR="00742AF6">
        <w:t>sustainable development financing.</w:t>
      </w:r>
    </w:p>
    <w:p w14:paraId="0CFCAF7F" w14:textId="67EB0DBC" w:rsidR="005078CA" w:rsidRDefault="00EE3779" w:rsidP="00EE3779">
      <w:pPr>
        <w:pStyle w:val="BodyText"/>
      </w:pPr>
      <w:r>
        <w:rPr>
          <w:b/>
          <w:bCs/>
        </w:rPr>
        <w:t xml:space="preserve">Coherence: </w:t>
      </w:r>
      <w:r w:rsidRPr="00F94542">
        <w:t>The</w:t>
      </w:r>
      <w:r w:rsidR="006260C0" w:rsidRPr="00F94542">
        <w:t xml:space="preserve">re was strong evidence of </w:t>
      </w:r>
      <w:r w:rsidR="00F94542" w:rsidRPr="00F94542">
        <w:t xml:space="preserve">programmatic </w:t>
      </w:r>
      <w:r w:rsidR="006260C0" w:rsidRPr="00F94542">
        <w:t xml:space="preserve">coherence between the project and </w:t>
      </w:r>
      <w:r w:rsidR="00F94542" w:rsidRPr="00F94542">
        <w:t>similar initiatives on INFF development within the target countries. A similar level of coherence was visible between the project and the international development agenda, including the financing fo</w:t>
      </w:r>
      <w:r w:rsidR="00B74918">
        <w:t>r</w:t>
      </w:r>
      <w:r w:rsidR="00F94542" w:rsidRPr="00F94542">
        <w:t xml:space="preserve"> development agenda. At the level of project complementarity, however, there was some evidence of duplication between INFF project activities and project implementation under the Joint SDG Fund Programme.</w:t>
      </w:r>
    </w:p>
    <w:p w14:paraId="4752F44E" w14:textId="767E7284" w:rsidR="00B666D3" w:rsidRPr="00B666D3" w:rsidRDefault="00EE3779" w:rsidP="00B666D3">
      <w:pPr>
        <w:pStyle w:val="BodyText"/>
      </w:pPr>
      <w:r>
        <w:rPr>
          <w:b/>
          <w:bCs/>
        </w:rPr>
        <w:t xml:space="preserve">Effectiveness: </w:t>
      </w:r>
      <w:r w:rsidR="00F94542" w:rsidRPr="00B666D3">
        <w:t xml:space="preserve">There was evidence of increased access by target countries to technical assistance and </w:t>
      </w:r>
      <w:r w:rsidR="00CF4A31" w:rsidRPr="00B666D3">
        <w:t xml:space="preserve">tailored </w:t>
      </w:r>
      <w:r w:rsidR="00F94542" w:rsidRPr="00B666D3">
        <w:t xml:space="preserve">support for built capacities in </w:t>
      </w:r>
      <w:r w:rsidR="00CF4A31" w:rsidRPr="00B666D3">
        <w:t xml:space="preserve">sustainable </w:t>
      </w:r>
      <w:r w:rsidR="00F94542" w:rsidRPr="00B666D3">
        <w:t xml:space="preserve">development financing. The acquired capacities are </w:t>
      </w:r>
      <w:r w:rsidR="00CF4A31" w:rsidRPr="00B666D3">
        <w:t>a</w:t>
      </w:r>
      <w:r w:rsidR="00485EDE">
        <w:t xml:space="preserve">lso </w:t>
      </w:r>
      <w:r w:rsidR="00CF4A31" w:rsidRPr="00B666D3">
        <w:t xml:space="preserve">applicable to national recovery </w:t>
      </w:r>
      <w:r w:rsidR="00485EDE">
        <w:t>from</w:t>
      </w:r>
      <w:r w:rsidR="00CF4A31" w:rsidRPr="00B666D3">
        <w:t xml:space="preserve"> the COVID-19 pandemic and resilience building for future similar crises. As the project created a regional space for knowledge-exchange and peer-learning on </w:t>
      </w:r>
      <w:r w:rsidR="00CF4A31" w:rsidRPr="00B666D3">
        <w:t xml:space="preserve">sustainable development financing, it </w:t>
      </w:r>
      <w:r w:rsidR="00CB66CB">
        <w:t xml:space="preserve">generated </w:t>
      </w:r>
      <w:r w:rsidR="00CF4A31" w:rsidRPr="00B666D3">
        <w:t>requests for contextualised technical assistance by target and non-project countries. In addition to the expertise of the executing entities, the added value of the project has been its responsiveness to these requests for technical assistance</w:t>
      </w:r>
      <w:r w:rsidR="00B666D3" w:rsidRPr="00B666D3">
        <w:t xml:space="preserve"> in coordination with UN RCOs and UNCTs. There has still been evidence, however, of duplicated efforts between the project and the Joint Programme.</w:t>
      </w:r>
    </w:p>
    <w:p w14:paraId="0B0C7207" w14:textId="759A32C5" w:rsidR="0048220C" w:rsidRDefault="00EE3779" w:rsidP="00EE3779">
      <w:pPr>
        <w:pStyle w:val="BodyText"/>
        <w:rPr>
          <w:b/>
          <w:bCs/>
        </w:rPr>
      </w:pPr>
      <w:r>
        <w:rPr>
          <w:b/>
          <w:bCs/>
        </w:rPr>
        <w:t xml:space="preserve">Efficiency: </w:t>
      </w:r>
      <w:r w:rsidR="006205B6">
        <w:t>In addition to its value added, the project demonstrated value for money</w:t>
      </w:r>
      <w:r w:rsidR="0048220C">
        <w:t xml:space="preserve"> and there was evidence of effective collaboration and coordination between the executing entities. </w:t>
      </w:r>
      <w:r w:rsidR="006205B6">
        <w:t xml:space="preserve">There was insufficient clarity, however, of result expectations at the level of expected impact. </w:t>
      </w:r>
      <w:r w:rsidR="0048220C">
        <w:t>T</w:t>
      </w:r>
      <w:r w:rsidR="006205B6">
        <w:t>he effects of emergent geopolitical factors on project activities</w:t>
      </w:r>
      <w:r w:rsidR="0048220C">
        <w:t xml:space="preserve"> were also inadequately considered during the risk assessment of the project design phase. </w:t>
      </w:r>
      <w:r w:rsidR="000319DE">
        <w:t xml:space="preserve">Further, </w:t>
      </w:r>
      <w:r w:rsidR="0048220C" w:rsidRPr="00DC49C8">
        <w:t>although the role of the Project Coordinating Team was clear</w:t>
      </w:r>
      <w:r w:rsidR="000319DE" w:rsidRPr="000319DE">
        <w:t xml:space="preserve"> </w:t>
      </w:r>
      <w:r w:rsidR="000319DE">
        <w:t>in relation to</w:t>
      </w:r>
      <w:r w:rsidR="000319DE" w:rsidRPr="00DC49C8">
        <w:t xml:space="preserve"> project oversight</w:t>
      </w:r>
      <w:r w:rsidR="0048220C" w:rsidRPr="00DC49C8">
        <w:t>, the management function of UNDESA-FSDO was not immediately evident durin</w:t>
      </w:r>
      <w:r w:rsidR="00DC49C8">
        <w:t>g</w:t>
      </w:r>
      <w:r w:rsidR="0048220C" w:rsidRPr="00DC49C8">
        <w:t xml:space="preserve"> project implementation.</w:t>
      </w:r>
    </w:p>
    <w:p w14:paraId="091545E8" w14:textId="40F12985" w:rsidR="005078CA" w:rsidRDefault="00EE3779" w:rsidP="00AA7CF9">
      <w:pPr>
        <w:pStyle w:val="BodyText"/>
        <w:tabs>
          <w:tab w:val="left" w:pos="284"/>
        </w:tabs>
      </w:pPr>
      <w:r w:rsidRPr="005D62FB">
        <w:rPr>
          <w:b/>
          <w:bCs/>
        </w:rPr>
        <w:t>Impact:</w:t>
      </w:r>
      <w:r w:rsidRPr="006E7852">
        <w:t xml:space="preserve"> </w:t>
      </w:r>
      <w:r w:rsidR="006E7852" w:rsidRPr="006E7852">
        <w:t xml:space="preserve">The project had an extended reach beyond the 10 target countries. There was significant interest by non-project countries in applying the INFF methodology to their specific country contexts. Given the responsiveness of the UN </w:t>
      </w:r>
      <w:r w:rsidR="00624439">
        <w:t xml:space="preserve">entities </w:t>
      </w:r>
      <w:r w:rsidR="006E7852" w:rsidRPr="006E7852">
        <w:t xml:space="preserve">to requests </w:t>
      </w:r>
      <w:r w:rsidR="00624439">
        <w:t>by</w:t>
      </w:r>
      <w:r w:rsidR="006E7852" w:rsidRPr="006E7852">
        <w:t xml:space="preserve"> individual countries for technical assistance, the project built on the momentum of its inception workshops. As emergent results at the level of expected impact aligned with the resolutions of the 2025 Sevilla Commitment, the project has also contributed towards the international development agenda.</w:t>
      </w:r>
    </w:p>
    <w:p w14:paraId="6CD6BDA6" w14:textId="7F11EA58" w:rsidR="005078CA" w:rsidRPr="00A019A7" w:rsidRDefault="00EE3779" w:rsidP="00EE3779">
      <w:pPr>
        <w:pStyle w:val="BodyText"/>
      </w:pPr>
      <w:r w:rsidRPr="003A434D">
        <w:rPr>
          <w:b/>
          <w:bCs/>
        </w:rPr>
        <w:t xml:space="preserve">Cross-cutting themes (gender equality; human rights; and disability inclusion): </w:t>
      </w:r>
      <w:r w:rsidR="00A019A7" w:rsidRPr="00A019A7">
        <w:t xml:space="preserve">While there was some evidence of </w:t>
      </w:r>
      <w:r w:rsidR="001232F1">
        <w:t xml:space="preserve">the </w:t>
      </w:r>
      <w:r w:rsidR="00A019A7" w:rsidRPr="00A019A7">
        <w:t>integration of gender equality; human rights; and disability inclusion into project activities, the approach to integration was not systematic.</w:t>
      </w:r>
    </w:p>
    <w:p w14:paraId="7931433A" w14:textId="365E4AF9" w:rsidR="005078CA" w:rsidRDefault="00EE3779" w:rsidP="00EE3779">
      <w:pPr>
        <w:pStyle w:val="BodyText"/>
      </w:pPr>
      <w:r w:rsidRPr="00C264E0">
        <w:rPr>
          <w:b/>
          <w:bCs/>
        </w:rPr>
        <w:t>Sustainability:</w:t>
      </w:r>
      <w:r w:rsidRPr="003D403D">
        <w:t xml:space="preserve"> </w:t>
      </w:r>
      <w:r w:rsidR="003D403D" w:rsidRPr="003D403D">
        <w:t xml:space="preserve">As the project created a space for knowledge-exchange and peer-learning, target and non-project countries gained indefinite access to resources and tools that can be replicated and disseminated to inform INFF development. This possibility is in keeping with the sustainability plan of the initial project design. The interface that was created by the project between UNCTs and individual </w:t>
      </w:r>
      <w:r w:rsidR="003D403D" w:rsidRPr="003D403D">
        <w:lastRenderedPageBreak/>
        <w:t>countries also allows for further collaboration on sustainable development financing. A critical factor in successful collaboration, however, would be the prioritisation of development financing, including INFF development, by country governments.</w:t>
      </w:r>
    </w:p>
    <w:p w14:paraId="638EE208" w14:textId="77777777" w:rsidR="00EE3779" w:rsidRPr="00F934F0" w:rsidRDefault="00EE3779" w:rsidP="00EE3779">
      <w:pPr>
        <w:pStyle w:val="FrontMatterH3"/>
      </w:pPr>
      <w:r w:rsidRPr="009A7970">
        <w:t>Conclusions</w:t>
      </w:r>
    </w:p>
    <w:p w14:paraId="6B20A85F" w14:textId="37888D0E" w:rsidR="00A129D8" w:rsidRDefault="00A129D8" w:rsidP="00A129D8">
      <w:pPr>
        <w:spacing w:before="120" w:after="120"/>
        <w:jc w:val="both"/>
      </w:pPr>
      <w:r>
        <w:t>The Towards INFF project was an ambitious intervention that was used to build national capacities for development financing, including the alignment of financial flows with national sustainable development priorities.</w:t>
      </w:r>
      <w:r w:rsidR="008001ED">
        <w:t xml:space="preserve"> By creating a space for knowledge-exchange; peer-learning; and the sharing of best practices and experiences</w:t>
      </w:r>
      <w:r w:rsidR="00320006">
        <w:t>,</w:t>
      </w:r>
      <w:r w:rsidR="008001ED">
        <w:t xml:space="preserve"> target and non-project countries gained access to resources; tools; and development partners</w:t>
      </w:r>
      <w:r w:rsidR="00320006">
        <w:t>,</w:t>
      </w:r>
      <w:r w:rsidR="008001ED">
        <w:t xml:space="preserve"> to inform resource mobilisation based on the INFF approach. </w:t>
      </w:r>
      <w:r w:rsidR="003913B2">
        <w:t>While there is scope for results sustainability, with emphasis on the uptake of acquired learnings</w:t>
      </w:r>
      <w:r w:rsidR="00320006">
        <w:t xml:space="preserve"> and resources</w:t>
      </w:r>
      <w:r w:rsidR="003913B2">
        <w:t>, the process is dependent on national prioritisation.</w:t>
      </w:r>
    </w:p>
    <w:p w14:paraId="74326AB9" w14:textId="08427A79" w:rsidR="008001ED" w:rsidRDefault="003913B2" w:rsidP="00A129D8">
      <w:pPr>
        <w:spacing w:before="120" w:after="120"/>
        <w:jc w:val="both"/>
      </w:pPr>
      <w:r>
        <w:t>There have been several emergent good practices from project implementation that can be used to inform next steps</w:t>
      </w:r>
      <w:r w:rsidR="00320006">
        <w:t xml:space="preserve">. </w:t>
      </w:r>
      <w:r w:rsidR="00955F31">
        <w:t>They include</w:t>
      </w:r>
      <w:r>
        <w:t xml:space="preserve">: </w:t>
      </w:r>
    </w:p>
    <w:p w14:paraId="6262C6DA" w14:textId="06FD2245" w:rsidR="003913B2" w:rsidRDefault="003913B2" w:rsidP="003913B2">
      <w:pPr>
        <w:pStyle w:val="BodyText"/>
        <w:numPr>
          <w:ilvl w:val="0"/>
          <w:numId w:val="109"/>
        </w:numPr>
      </w:pPr>
      <w:r>
        <w:rPr>
          <w:b/>
          <w:bCs/>
        </w:rPr>
        <w:t xml:space="preserve">UN </w:t>
      </w:r>
      <w:r w:rsidRPr="00D45BFA">
        <w:rPr>
          <w:b/>
          <w:bCs/>
        </w:rPr>
        <w:t>RCO interface:</w:t>
      </w:r>
      <w:r>
        <w:t xml:space="preserve"> By engaging the UN RCOs in the target project countries, executing entities gained access to key decision-makers at the level of government</w:t>
      </w:r>
      <w:r w:rsidR="00702C1E">
        <w:t xml:space="preserve"> to support policy uptake of the </w:t>
      </w:r>
      <w:r>
        <w:t>INFF methodology</w:t>
      </w:r>
      <w:r w:rsidR="005A4B75">
        <w:t>;</w:t>
      </w:r>
      <w:r>
        <w:t xml:space="preserve"> </w:t>
      </w:r>
    </w:p>
    <w:p w14:paraId="02739608" w14:textId="1835586F" w:rsidR="003913B2" w:rsidRDefault="003913B2" w:rsidP="003913B2">
      <w:pPr>
        <w:pStyle w:val="BodyText"/>
        <w:numPr>
          <w:ilvl w:val="0"/>
          <w:numId w:val="109"/>
        </w:numPr>
      </w:pPr>
      <w:r w:rsidRPr="001B4619">
        <w:rPr>
          <w:b/>
          <w:bCs/>
        </w:rPr>
        <w:t>Continued engagement:</w:t>
      </w:r>
      <w:r>
        <w:t xml:space="preserve"> </w:t>
      </w:r>
      <w:r w:rsidR="00702C1E">
        <w:t>E</w:t>
      </w:r>
      <w:r>
        <w:t xml:space="preserve">xecuting agencies, as well as </w:t>
      </w:r>
      <w:r w:rsidR="001D3625">
        <w:t>country governments</w:t>
      </w:r>
      <w:r w:rsidR="00702C1E">
        <w:t>,</w:t>
      </w:r>
      <w:r>
        <w:t xml:space="preserve"> continued to engage with stakeholders</w:t>
      </w:r>
      <w:r w:rsidR="00702C1E">
        <w:t xml:space="preserve"> to</w:t>
      </w:r>
      <w:r w:rsidR="00702C1E" w:rsidRPr="00702C1E">
        <w:t xml:space="preserve"> </w:t>
      </w:r>
      <w:r w:rsidR="00702C1E">
        <w:t>mitigate emergent challenges to project implementation, e.g. low stakeholder responsiveness</w:t>
      </w:r>
      <w:r w:rsidR="001D3625">
        <w:t xml:space="preserve"> to contact</w:t>
      </w:r>
      <w:r>
        <w:t>. The approach was used, with success, to support continued project implementation</w:t>
      </w:r>
      <w:r w:rsidR="005A4B75">
        <w:t>;</w:t>
      </w:r>
    </w:p>
    <w:p w14:paraId="274F558C" w14:textId="78729AF8" w:rsidR="003913B2" w:rsidRDefault="003913B2" w:rsidP="003913B2">
      <w:pPr>
        <w:pStyle w:val="BodyText"/>
        <w:numPr>
          <w:ilvl w:val="0"/>
          <w:numId w:val="109"/>
        </w:numPr>
      </w:pPr>
      <w:r w:rsidRPr="007F22FE">
        <w:rPr>
          <w:b/>
          <w:bCs/>
        </w:rPr>
        <w:t>Regional workshops:</w:t>
      </w:r>
      <w:r>
        <w:t xml:space="preserve"> The regional workshops established a space for stakeholders to learn more about INFF </w:t>
      </w:r>
      <w:r w:rsidR="00B455F3">
        <w:t>design and implementation</w:t>
      </w:r>
      <w:r>
        <w:t>, including successes and challenges</w:t>
      </w:r>
      <w:r w:rsidR="0039512F">
        <w:t>; and</w:t>
      </w:r>
    </w:p>
    <w:p w14:paraId="2991AEE2" w14:textId="3CCEDB30" w:rsidR="003913B2" w:rsidRPr="00E93037" w:rsidRDefault="003913B2" w:rsidP="003913B2">
      <w:pPr>
        <w:pStyle w:val="BodyText"/>
        <w:numPr>
          <w:ilvl w:val="0"/>
          <w:numId w:val="109"/>
        </w:numPr>
      </w:pPr>
      <w:r w:rsidRPr="00A94302">
        <w:rPr>
          <w:b/>
          <w:bCs/>
        </w:rPr>
        <w:t>Phased approach:</w:t>
      </w:r>
      <w:r>
        <w:t xml:space="preserve"> </w:t>
      </w:r>
      <w:r w:rsidR="00B455F3">
        <w:t>By using a phased approach to stakeholder engagement, with emphasis on th</w:t>
      </w:r>
      <w:r>
        <w:t xml:space="preserve">e engagement </w:t>
      </w:r>
      <w:r w:rsidR="00B455F3">
        <w:t xml:space="preserve">of </w:t>
      </w:r>
      <w:r>
        <w:t>country governments</w:t>
      </w:r>
      <w:r w:rsidR="00B455F3">
        <w:t>, e</w:t>
      </w:r>
      <w:r>
        <w:t xml:space="preserve">xecuting entities </w:t>
      </w:r>
      <w:r w:rsidR="00B455F3">
        <w:t xml:space="preserve">were able to </w:t>
      </w:r>
      <w:r>
        <w:t>gradually increase stakeholder understanding about INFF</w:t>
      </w:r>
      <w:r w:rsidR="00B455F3">
        <w:t xml:space="preserve"> development. </w:t>
      </w:r>
    </w:p>
    <w:p w14:paraId="1A08E602" w14:textId="77777777" w:rsidR="00EE3779" w:rsidRPr="00F934F0" w:rsidRDefault="00EE3779" w:rsidP="00EE3779">
      <w:pPr>
        <w:pStyle w:val="FrontMatterH3"/>
      </w:pPr>
      <w:r>
        <w:t>Recommendations</w:t>
      </w:r>
    </w:p>
    <w:p w14:paraId="103F92DF" w14:textId="50C3E92D" w:rsidR="00E763AC" w:rsidRDefault="00985920" w:rsidP="00EE3779">
      <w:pPr>
        <w:spacing w:before="120" w:after="120" w:line="276" w:lineRule="auto"/>
        <w:jc w:val="both"/>
        <w:rPr>
          <w:rFonts w:eastAsiaTheme="minorHAnsi" w:cstheme="minorHAnsi"/>
          <w:szCs w:val="22"/>
          <w:lang w:eastAsia="en-US"/>
        </w:rPr>
      </w:pPr>
      <w:r>
        <w:rPr>
          <w:rFonts w:eastAsiaTheme="minorHAnsi" w:cstheme="minorHAnsi"/>
          <w:szCs w:val="22"/>
          <w:lang w:eastAsia="en-US"/>
        </w:rPr>
        <w:t xml:space="preserve">The recommendations of the evaluation have been informed by the main findings and emergent lessons of the exercise. It is recommended that: </w:t>
      </w:r>
      <w:r w:rsidR="00EE3779">
        <w:rPr>
          <w:rFonts w:eastAsiaTheme="minorHAnsi" w:cstheme="minorHAnsi"/>
          <w:szCs w:val="22"/>
          <w:lang w:eastAsia="en-US"/>
        </w:rPr>
        <w:t xml:space="preserve"> </w:t>
      </w:r>
    </w:p>
    <w:p w14:paraId="5817E61F" w14:textId="075624C8" w:rsidR="00985920" w:rsidRDefault="00985920" w:rsidP="00EE3779">
      <w:pPr>
        <w:pStyle w:val="ListNumber"/>
        <w:spacing w:before="100" w:after="100" w:line="240" w:lineRule="auto"/>
        <w:ind w:hanging="340"/>
      </w:pPr>
      <w:r w:rsidRPr="00045AF1">
        <w:t xml:space="preserve">Project conceptualisation should be preceded by a scoping session and/ or planning meeting between </w:t>
      </w:r>
      <w:r>
        <w:t xml:space="preserve">the executing </w:t>
      </w:r>
      <w:r w:rsidRPr="00045AF1">
        <w:t>entities</w:t>
      </w:r>
      <w:r>
        <w:t xml:space="preserve"> and the cooperating entities,</w:t>
      </w:r>
      <w:r w:rsidRPr="00045AF1">
        <w:t xml:space="preserve"> to establish synergies</w:t>
      </w:r>
      <w:r>
        <w:t>; enhance relevance;</w:t>
      </w:r>
      <w:r w:rsidRPr="00045AF1">
        <w:t xml:space="preserve"> and minimise </w:t>
      </w:r>
      <w:r>
        <w:t xml:space="preserve">risk, including </w:t>
      </w:r>
      <w:r w:rsidRPr="00045AF1">
        <w:t>the possibility for and perception of duplicated efforts</w:t>
      </w:r>
      <w:r>
        <w:t xml:space="preserve"> </w:t>
      </w:r>
      <w:r w:rsidRPr="00280394">
        <w:t>(</w:t>
      </w:r>
      <w:r w:rsidRPr="00280394">
        <w:rPr>
          <w:b/>
          <w:bCs/>
        </w:rPr>
        <w:t>High Priority</w:t>
      </w:r>
      <w:r w:rsidRPr="00280394">
        <w:t>);</w:t>
      </w:r>
    </w:p>
    <w:p w14:paraId="76A5E446" w14:textId="16C48FCF" w:rsidR="00985920" w:rsidRDefault="00985920" w:rsidP="00EE3779">
      <w:pPr>
        <w:pStyle w:val="ListNumber"/>
        <w:spacing w:before="100" w:after="100" w:line="240" w:lineRule="auto"/>
        <w:ind w:hanging="340"/>
      </w:pPr>
      <w:r w:rsidRPr="00003C45">
        <w:t xml:space="preserve">Clarified roles and responsibilities at the level of project management and </w:t>
      </w:r>
      <w:r>
        <w:t>activity</w:t>
      </w:r>
      <w:r w:rsidRPr="00003C45">
        <w:t xml:space="preserve"> coordination should be established to allow for efficient oversight throughout the implementation timeframe</w:t>
      </w:r>
      <w:r>
        <w:t xml:space="preserve"> </w:t>
      </w:r>
      <w:r w:rsidRPr="00E81FB9">
        <w:t>(</w:t>
      </w:r>
      <w:r w:rsidRPr="00E81FB9">
        <w:rPr>
          <w:b/>
          <w:bCs/>
        </w:rPr>
        <w:t>High Priority</w:t>
      </w:r>
      <w:r w:rsidRPr="00E81FB9">
        <w:t>);</w:t>
      </w:r>
    </w:p>
    <w:p w14:paraId="2A5A01D9" w14:textId="130C4FCF" w:rsidR="00985920" w:rsidRDefault="00985920" w:rsidP="00EE3779">
      <w:pPr>
        <w:pStyle w:val="ListNumber"/>
        <w:spacing w:before="100" w:after="100" w:line="240" w:lineRule="auto"/>
        <w:ind w:hanging="340"/>
      </w:pPr>
      <w:r w:rsidRPr="00222C8A">
        <w:t xml:space="preserve">Guidance documents </w:t>
      </w:r>
      <w:r>
        <w:t xml:space="preserve">on </w:t>
      </w:r>
      <w:r w:rsidRPr="00222C8A">
        <w:t>the INFF methodology should provide detailed, step-by-step guidelines that can be easily contextualised by the implementing country</w:t>
      </w:r>
      <w:r>
        <w:t xml:space="preserve"> </w:t>
      </w:r>
      <w:r w:rsidRPr="00E81FB9">
        <w:t>(</w:t>
      </w:r>
      <w:r w:rsidRPr="00E81FB9">
        <w:rPr>
          <w:b/>
          <w:bCs/>
        </w:rPr>
        <w:t>High Priority</w:t>
      </w:r>
      <w:r w:rsidRPr="00E81FB9">
        <w:t>);</w:t>
      </w:r>
    </w:p>
    <w:p w14:paraId="2631C75C" w14:textId="3CDB3B5A" w:rsidR="00985920" w:rsidRDefault="00985920" w:rsidP="00EE3779">
      <w:pPr>
        <w:pStyle w:val="ListNumber"/>
        <w:spacing w:before="100" w:after="100" w:line="240" w:lineRule="auto"/>
        <w:ind w:hanging="340"/>
      </w:pPr>
      <w:r w:rsidRPr="00E72B51">
        <w:t>The FINS project should be scaled up to provide post-project technical assistance to target and non-target countries in response to their request</w:t>
      </w:r>
      <w:r>
        <w:t>s</w:t>
      </w:r>
      <w:r w:rsidRPr="00E72B51">
        <w:t xml:space="preserve"> for </w:t>
      </w:r>
      <w:r>
        <w:t xml:space="preserve">context-specific </w:t>
      </w:r>
      <w:r w:rsidRPr="00E72B51">
        <w:t xml:space="preserve">support </w:t>
      </w:r>
      <w:r>
        <w:t xml:space="preserve">for </w:t>
      </w:r>
      <w:r w:rsidRPr="00E72B51">
        <w:t>INFF</w:t>
      </w:r>
      <w:r>
        <w:t xml:space="preserve"> implementation </w:t>
      </w:r>
      <w:r w:rsidRPr="00E81FB9">
        <w:t>(</w:t>
      </w:r>
      <w:r w:rsidRPr="00E81FB9">
        <w:rPr>
          <w:b/>
          <w:bCs/>
        </w:rPr>
        <w:t>High Priority</w:t>
      </w:r>
      <w:r w:rsidRPr="00E81FB9">
        <w:t>);</w:t>
      </w:r>
      <w:r w:rsidR="00AB5EB5">
        <w:t xml:space="preserve"> and</w:t>
      </w:r>
    </w:p>
    <w:p w14:paraId="1C724379" w14:textId="196B7C3E" w:rsidR="00985920" w:rsidRDefault="00985920" w:rsidP="00EE3779">
      <w:pPr>
        <w:pStyle w:val="ListNumber"/>
        <w:spacing w:before="100" w:after="100" w:line="240" w:lineRule="auto"/>
        <w:ind w:hanging="340"/>
      </w:pPr>
      <w:r w:rsidRPr="00045F07">
        <w:t>A s</w:t>
      </w:r>
      <w:r w:rsidRPr="00F87199">
        <w:t>trengthen</w:t>
      </w:r>
      <w:r>
        <w:t>ing of</w:t>
      </w:r>
      <w:r w:rsidRPr="00F87199">
        <w:t xml:space="preserve"> the process for finalising and approving the project results framework </w:t>
      </w:r>
      <w:r>
        <w:t xml:space="preserve">should be initiated, </w:t>
      </w:r>
      <w:r w:rsidRPr="00F87199">
        <w:t xml:space="preserve">to ensure that appropriate results targets and performance measurement indicators are established to increase the usefulness of </w:t>
      </w:r>
      <w:r>
        <w:t>achieved</w:t>
      </w:r>
      <w:r w:rsidRPr="00F87199">
        <w:t xml:space="preserve"> results</w:t>
      </w:r>
      <w:r w:rsidR="00AB5EB5">
        <w:t xml:space="preserve"> </w:t>
      </w:r>
      <w:r w:rsidR="00AB5EB5" w:rsidRPr="00E81FB9">
        <w:t>(</w:t>
      </w:r>
      <w:r w:rsidR="00AB5EB5" w:rsidRPr="00E81FB9">
        <w:rPr>
          <w:b/>
          <w:bCs/>
        </w:rPr>
        <w:t>High Priority</w:t>
      </w:r>
      <w:r w:rsidR="00AB5EB5" w:rsidRPr="00E81FB9">
        <w:t>)</w:t>
      </w:r>
      <w:r w:rsidR="00AB5EB5">
        <w:t>.</w:t>
      </w:r>
    </w:p>
    <w:p w14:paraId="66BB1E80" w14:textId="77777777" w:rsidR="00AB5EB5" w:rsidRPr="00280394" w:rsidRDefault="00AB5EB5" w:rsidP="00AB5EB5">
      <w:pPr>
        <w:pStyle w:val="ListNumber"/>
        <w:numPr>
          <w:ilvl w:val="0"/>
          <w:numId w:val="0"/>
        </w:numPr>
        <w:spacing w:before="100" w:after="100" w:line="240" w:lineRule="auto"/>
        <w:ind w:left="227"/>
      </w:pPr>
    </w:p>
    <w:p w14:paraId="12C491D5" w14:textId="77777777" w:rsidR="00EE3779" w:rsidRDefault="00EE3779" w:rsidP="00EE3779">
      <w:pPr>
        <w:sectPr w:rsidR="00EE3779" w:rsidSect="00EE3779">
          <w:type w:val="continuous"/>
          <w:pgSz w:w="12240" w:h="15840"/>
          <w:pgMar w:top="1276" w:right="1276" w:bottom="1588" w:left="1276" w:header="720" w:footer="720" w:gutter="0"/>
          <w:cols w:num="2" w:space="397"/>
          <w:docGrid w:linePitch="360"/>
        </w:sectPr>
      </w:pPr>
    </w:p>
    <w:p w14:paraId="27F4A58E" w14:textId="77777777" w:rsidR="00A350CB" w:rsidRDefault="00A350CB" w:rsidP="00A350CB">
      <w:pPr>
        <w:spacing w:line="240" w:lineRule="auto"/>
        <w:rPr>
          <w:b/>
          <w:bCs/>
        </w:rPr>
      </w:pPr>
    </w:p>
    <w:p w14:paraId="53D72EEB" w14:textId="77777777" w:rsidR="00844530" w:rsidRDefault="00844530" w:rsidP="008221F4">
      <w:pPr>
        <w:spacing w:line="240" w:lineRule="auto"/>
        <w:rPr>
          <w:b/>
          <w:bCs/>
        </w:rPr>
        <w:sectPr w:rsidR="00844530" w:rsidSect="00844530">
          <w:type w:val="continuous"/>
          <w:pgSz w:w="12240" w:h="15840"/>
          <w:pgMar w:top="1276" w:right="1276" w:bottom="1588" w:left="1276" w:header="720" w:footer="720" w:gutter="0"/>
          <w:cols w:num="2" w:space="720"/>
          <w:docGrid w:linePitch="360"/>
        </w:sectPr>
      </w:pPr>
    </w:p>
    <w:p w14:paraId="6B7D08A7" w14:textId="77777777" w:rsidR="00844530" w:rsidRDefault="00844530" w:rsidP="008221F4">
      <w:pPr>
        <w:spacing w:line="240" w:lineRule="auto"/>
        <w:rPr>
          <w:b/>
          <w:bCs/>
        </w:rPr>
      </w:pPr>
    </w:p>
    <w:p w14:paraId="47C50078" w14:textId="77777777" w:rsidR="00844530" w:rsidRDefault="00844530" w:rsidP="008221F4">
      <w:pPr>
        <w:spacing w:line="240" w:lineRule="auto"/>
        <w:rPr>
          <w:b/>
          <w:bCs/>
        </w:rPr>
      </w:pPr>
    </w:p>
    <w:p w14:paraId="510F525A" w14:textId="77777777" w:rsidR="00844530" w:rsidRPr="00BF32D2" w:rsidRDefault="00844530" w:rsidP="008221F4">
      <w:pPr>
        <w:spacing w:line="240" w:lineRule="auto"/>
        <w:rPr>
          <w:b/>
          <w:bCs/>
        </w:rPr>
      </w:pPr>
    </w:p>
    <w:p w14:paraId="2D077AA8" w14:textId="77777777" w:rsidR="00BF32D2" w:rsidRPr="008221F4" w:rsidRDefault="00BF32D2" w:rsidP="008221F4">
      <w:pPr>
        <w:spacing w:line="240" w:lineRule="auto"/>
        <w:rPr>
          <w:sz w:val="12"/>
          <w:szCs w:val="12"/>
        </w:rPr>
      </w:pPr>
    </w:p>
    <w:p w14:paraId="280A554F" w14:textId="77777777" w:rsidR="00875969" w:rsidRPr="008221F4" w:rsidRDefault="00875969" w:rsidP="008221F4">
      <w:pPr>
        <w:spacing w:line="240" w:lineRule="auto"/>
        <w:rPr>
          <w:sz w:val="12"/>
          <w:szCs w:val="12"/>
        </w:rPr>
        <w:sectPr w:rsidR="00875969" w:rsidRPr="008221F4" w:rsidSect="00F666A1">
          <w:type w:val="continuous"/>
          <w:pgSz w:w="12240" w:h="15840"/>
          <w:pgMar w:top="1276" w:right="1276" w:bottom="1588" w:left="1276" w:header="720" w:footer="720" w:gutter="0"/>
          <w:cols w:space="720"/>
          <w:docGrid w:linePitch="360"/>
        </w:sectPr>
      </w:pPr>
    </w:p>
    <w:p w14:paraId="42F04F05" w14:textId="12F06C33" w:rsidR="00875969" w:rsidRPr="00747B5A" w:rsidRDefault="00875969" w:rsidP="00380878">
      <w:pPr>
        <w:pStyle w:val="Heading1"/>
        <w:numPr>
          <w:ilvl w:val="0"/>
          <w:numId w:val="3"/>
        </w:numPr>
      </w:pPr>
      <w:bookmarkStart w:id="3" w:name="_Toc210730305"/>
      <w:r w:rsidRPr="00747B5A">
        <w:lastRenderedPageBreak/>
        <w:t>Introduction</w:t>
      </w:r>
      <w:bookmarkEnd w:id="3"/>
    </w:p>
    <w:p w14:paraId="39FC8F90" w14:textId="77777777" w:rsidR="00B70B14" w:rsidRDefault="00B70B14" w:rsidP="00331E34">
      <w:pPr>
        <w:pStyle w:val="BodyText"/>
        <w:sectPr w:rsidR="00B70B14" w:rsidSect="00F666A1">
          <w:headerReference w:type="default" r:id="rId15"/>
          <w:pgSz w:w="12240" w:h="15840" w:code="1"/>
          <w:pgMar w:top="1276" w:right="1276" w:bottom="1588" w:left="1276" w:header="720" w:footer="720" w:gutter="0"/>
          <w:cols w:space="720"/>
          <w:docGrid w:linePitch="360"/>
        </w:sectPr>
      </w:pPr>
    </w:p>
    <w:p w14:paraId="01D0BBF2" w14:textId="6415D4B6" w:rsidR="00EC27DC" w:rsidRDefault="00E4702A" w:rsidP="00331E34">
      <w:pPr>
        <w:pStyle w:val="BodyText"/>
      </w:pPr>
      <w:r>
        <w:t xml:space="preserve">DA13 INFF Project </w:t>
      </w:r>
      <w:r w:rsidR="00253C66">
        <w:t>2124A ‘</w:t>
      </w:r>
      <w:r w:rsidR="0064534D">
        <w:t>Towards Integrated National Fi</w:t>
      </w:r>
      <w:r w:rsidR="00C64C8D">
        <w:t>nancing Framework (INFF)</w:t>
      </w:r>
      <w:r w:rsidR="00253C66">
        <w:t>’ (</w:t>
      </w:r>
      <w:r w:rsidR="00E015A0">
        <w:t>hereafter</w:t>
      </w:r>
      <w:r w:rsidR="00253C66">
        <w:t>,</w:t>
      </w:r>
      <w:r w:rsidR="00E015A0">
        <w:t xml:space="preserve"> the INFF </w:t>
      </w:r>
      <w:r w:rsidR="008F1517">
        <w:t>project</w:t>
      </w:r>
      <w:r w:rsidR="00253C66">
        <w:t>)</w:t>
      </w:r>
      <w:r w:rsidR="008F1517">
        <w:t xml:space="preserve"> </w:t>
      </w:r>
      <w:r w:rsidR="001057B0">
        <w:t xml:space="preserve">was implemented from </w:t>
      </w:r>
      <w:r w:rsidR="00DF4D1F">
        <w:t xml:space="preserve">March </w:t>
      </w:r>
      <w:r w:rsidR="001057B0">
        <w:t>2021 to December 2024</w:t>
      </w:r>
      <w:r w:rsidR="00314F06">
        <w:t xml:space="preserve"> under the 13</w:t>
      </w:r>
      <w:r w:rsidR="00984A13" w:rsidRPr="00984A13">
        <w:rPr>
          <w:vertAlign w:val="superscript"/>
        </w:rPr>
        <w:t>th</w:t>
      </w:r>
      <w:r w:rsidR="00984A13">
        <w:t xml:space="preserve"> </w:t>
      </w:r>
      <w:r w:rsidR="00541485">
        <w:t>tranche of the Development Account.</w:t>
      </w:r>
      <w:r w:rsidR="007C54C3">
        <w:t xml:space="preserve"> </w:t>
      </w:r>
      <w:r w:rsidR="004F71F6">
        <w:t xml:space="preserve">As the </w:t>
      </w:r>
      <w:r w:rsidR="00BC7834">
        <w:t>lead</w:t>
      </w:r>
      <w:r w:rsidR="003B348A">
        <w:t xml:space="preserve"> project ex</w:t>
      </w:r>
      <w:r w:rsidR="00BC7834">
        <w:t xml:space="preserve">ecuting </w:t>
      </w:r>
      <w:r w:rsidR="003B348A">
        <w:t>entity</w:t>
      </w:r>
      <w:r w:rsidR="004F71F6">
        <w:t xml:space="preserve">, </w:t>
      </w:r>
      <w:r w:rsidR="00BC7834">
        <w:t xml:space="preserve">the United Nations Department </w:t>
      </w:r>
      <w:r w:rsidR="00BC7834" w:rsidRPr="00BD4BC9">
        <w:t>of Economic and Social Affairs (UNDESA)</w:t>
      </w:r>
      <w:r w:rsidR="004F71F6">
        <w:t xml:space="preserve"> </w:t>
      </w:r>
      <w:r w:rsidR="00F52102">
        <w:t>collaborated with UN</w:t>
      </w:r>
      <w:r w:rsidR="00990CF1">
        <w:t xml:space="preserve"> Trade and Development (UN</w:t>
      </w:r>
      <w:r w:rsidR="00F52102">
        <w:t>CTAD</w:t>
      </w:r>
      <w:r w:rsidR="00983491">
        <w:t>); the United Nations Development Programme (UNDP);</w:t>
      </w:r>
      <w:r w:rsidR="00F52102">
        <w:t xml:space="preserve"> and the five Regional Economic Commissions (RECs), to </w:t>
      </w:r>
      <w:r w:rsidR="00A12A5C">
        <w:t xml:space="preserve">implement project activities in 10 </w:t>
      </w:r>
      <w:r w:rsidR="009910E5">
        <w:t>target</w:t>
      </w:r>
      <w:r w:rsidR="00A12A5C">
        <w:t xml:space="preserve"> countrie</w:t>
      </w:r>
      <w:r w:rsidR="009769F5">
        <w:t>s (see sidebar).</w:t>
      </w:r>
      <w:r w:rsidR="003E4969">
        <w:t xml:space="preserve"> </w:t>
      </w:r>
    </w:p>
    <w:p w14:paraId="6FEE0E9F" w14:textId="4FAC75C6" w:rsidR="00A026AC" w:rsidRDefault="00066925" w:rsidP="00331E34">
      <w:pPr>
        <w:pStyle w:val="BodyText"/>
      </w:pPr>
      <w:r>
        <w:t xml:space="preserve">The </w:t>
      </w:r>
      <w:r w:rsidR="0067110E">
        <w:t>co</w:t>
      </w:r>
      <w:r w:rsidR="00512997">
        <w:t>o</w:t>
      </w:r>
      <w:r w:rsidR="0067110E">
        <w:t>rdinat</w:t>
      </w:r>
      <w:r w:rsidR="00512997">
        <w:t xml:space="preserve">ion </w:t>
      </w:r>
      <w:r w:rsidR="00E0354C">
        <w:t xml:space="preserve">of project implementation </w:t>
      </w:r>
      <w:r w:rsidR="00512997">
        <w:t>was t</w:t>
      </w:r>
      <w:r w:rsidR="00493D2C">
        <w:t xml:space="preserve">he responsibility </w:t>
      </w:r>
      <w:r w:rsidR="00512997">
        <w:t xml:space="preserve">of </w:t>
      </w:r>
      <w:r w:rsidR="00F81060">
        <w:t>the UNDESA Financing for Sustainable Development Office (FSDO</w:t>
      </w:r>
      <w:r w:rsidR="001A5006">
        <w:t>)</w:t>
      </w:r>
      <w:r w:rsidR="00512997">
        <w:t xml:space="preserve">, which also served as the </w:t>
      </w:r>
      <w:r w:rsidR="00D70A5F">
        <w:t>main project focal point</w:t>
      </w:r>
      <w:r w:rsidR="00F81060">
        <w:t>.</w:t>
      </w:r>
      <w:r w:rsidR="000D6494">
        <w:t xml:space="preserve"> </w:t>
      </w:r>
      <w:r w:rsidR="003247DD">
        <w:t xml:space="preserve">In </w:t>
      </w:r>
      <w:r w:rsidR="00F67C68">
        <w:t>support</w:t>
      </w:r>
      <w:r w:rsidR="00E83790">
        <w:t xml:space="preserve"> of</w:t>
      </w:r>
      <w:r w:rsidR="00F67C68">
        <w:t xml:space="preserve"> decentralised project implementation</w:t>
      </w:r>
      <w:r w:rsidR="00093DF0">
        <w:t>, i</w:t>
      </w:r>
      <w:r w:rsidR="00AB61EC">
        <w:t xml:space="preserve">ndividual executing entities collaborated with </w:t>
      </w:r>
      <w:r w:rsidR="00453F57">
        <w:t>the United Nations (UN) Resident Coordinator System</w:t>
      </w:r>
      <w:r w:rsidR="007A5A11">
        <w:t>;</w:t>
      </w:r>
      <w:r w:rsidR="008409D6">
        <w:t xml:space="preserve"> </w:t>
      </w:r>
      <w:r w:rsidR="003E4969">
        <w:t xml:space="preserve">other </w:t>
      </w:r>
      <w:r w:rsidR="007A5A11">
        <w:t xml:space="preserve">UN </w:t>
      </w:r>
      <w:r w:rsidR="00DD1294">
        <w:t>A</w:t>
      </w:r>
      <w:r w:rsidR="007A5A11">
        <w:t xml:space="preserve">gencies; and </w:t>
      </w:r>
      <w:r w:rsidR="00AF5AEE">
        <w:t xml:space="preserve">State </w:t>
      </w:r>
      <w:r w:rsidR="000F618E">
        <w:t>development partner organisations</w:t>
      </w:r>
      <w:r w:rsidR="003C3732">
        <w:t xml:space="preserve"> in their respective regions</w:t>
      </w:r>
      <w:r w:rsidR="003E4969">
        <w:t xml:space="preserve"> (see sidebar).</w:t>
      </w:r>
    </w:p>
    <w:p w14:paraId="4D307AE6" w14:textId="4CACDD7D" w:rsidR="007F2CE8" w:rsidRDefault="003D7CDE" w:rsidP="00331E34">
      <w:pPr>
        <w:pStyle w:val="BodyText"/>
      </w:pPr>
      <w:r>
        <w:t xml:space="preserve">Evaluation activities were conducted from December 2024 to September 2025 by an external independent consultant to coincide with the completion of </w:t>
      </w:r>
      <w:r w:rsidR="00FD41A2">
        <w:t>the project</w:t>
      </w:r>
      <w:r>
        <w:t xml:space="preserve">, including final reporting. </w:t>
      </w:r>
      <w:r w:rsidR="007562E2">
        <w:t>T</w:t>
      </w:r>
      <w:r w:rsidR="00502227">
        <w:t>he purpose of the evaluation was to ‘uphold accountability and foster organisational learning</w:t>
      </w:r>
      <w:r w:rsidR="00A4010D">
        <w:t xml:space="preserve"> …</w:t>
      </w:r>
      <w:r w:rsidR="007064D6">
        <w:t xml:space="preserve"> </w:t>
      </w:r>
      <w:r w:rsidR="00AF0AAC">
        <w:t xml:space="preserve">to inform </w:t>
      </w:r>
      <w:r w:rsidR="00A4010D">
        <w:t>the future direction of similar initiatives</w:t>
      </w:r>
      <w:r w:rsidR="00502227">
        <w:t>.</w:t>
      </w:r>
      <w:r w:rsidR="00110D00">
        <w:t>’</w:t>
      </w:r>
      <w:r w:rsidR="007562E2" w:rsidRPr="007562E2">
        <w:rPr>
          <w:rStyle w:val="FootnoteReference"/>
        </w:rPr>
        <w:t xml:space="preserve"> </w:t>
      </w:r>
      <w:r w:rsidR="007562E2">
        <w:rPr>
          <w:rStyle w:val="FootnoteReference"/>
        </w:rPr>
        <w:footnoteReference w:id="2"/>
      </w:r>
      <w:r w:rsidR="006C50D3">
        <w:t xml:space="preserve"> </w:t>
      </w:r>
      <w:r w:rsidR="007C503A">
        <w:t xml:space="preserve">In line with this objective, the </w:t>
      </w:r>
      <w:r w:rsidR="00DB3DDB">
        <w:t>primary users of the evaluation</w:t>
      </w:r>
      <w:r w:rsidR="00481140">
        <w:t xml:space="preserve"> are the management and staff of the</w:t>
      </w:r>
      <w:r w:rsidR="00070C9E">
        <w:t xml:space="preserve"> executing </w:t>
      </w:r>
      <w:r w:rsidR="00C914DA">
        <w:t>entities</w:t>
      </w:r>
      <w:r w:rsidR="00070C9E">
        <w:t>.</w:t>
      </w:r>
      <w:r w:rsidR="00BA6DE1">
        <w:t xml:space="preserve"> The p</w:t>
      </w:r>
      <w:r w:rsidR="008C4729">
        <w:t>otential se</w:t>
      </w:r>
      <w:r w:rsidR="00D063EC">
        <w:t xml:space="preserve">condary </w:t>
      </w:r>
      <w:r w:rsidR="004E6215">
        <w:t>users of the evaluation</w:t>
      </w:r>
      <w:r w:rsidR="00A868AF">
        <w:t xml:space="preserve"> include</w:t>
      </w:r>
      <w:r w:rsidR="007F2CE8">
        <w:t>:</w:t>
      </w:r>
    </w:p>
    <w:p w14:paraId="5CAEFF33" w14:textId="6F1D5790" w:rsidR="008A4D5D" w:rsidRDefault="001F2E2B" w:rsidP="003B672F">
      <w:pPr>
        <w:pStyle w:val="BodyText"/>
        <w:numPr>
          <w:ilvl w:val="0"/>
          <w:numId w:val="81"/>
        </w:numPr>
      </w:pPr>
      <w:r>
        <w:t>Member</w:t>
      </w:r>
      <w:r w:rsidR="00E769FE">
        <w:t>s of the Development Account Programme Management Team (DA-PMT</w:t>
      </w:r>
      <w:r w:rsidR="008A4D5D">
        <w:t>)</w:t>
      </w:r>
      <w:r w:rsidR="00FE19F1">
        <w:t>;</w:t>
      </w:r>
      <w:r w:rsidR="00CC243B">
        <w:t xml:space="preserve"> </w:t>
      </w:r>
    </w:p>
    <w:p w14:paraId="1665E088" w14:textId="6C9007EA" w:rsidR="008A4D5D" w:rsidRDefault="008A4D5D" w:rsidP="003B672F">
      <w:pPr>
        <w:pStyle w:val="BodyText"/>
        <w:numPr>
          <w:ilvl w:val="0"/>
          <w:numId w:val="81"/>
        </w:numPr>
      </w:pPr>
      <w:r>
        <w:t>D</w:t>
      </w:r>
      <w:r w:rsidR="00E769FE">
        <w:t xml:space="preserve">A focal points </w:t>
      </w:r>
      <w:r w:rsidR="00B81005">
        <w:t xml:space="preserve">and senior management within the executing </w:t>
      </w:r>
      <w:r w:rsidR="00F75C6E">
        <w:t>entities</w:t>
      </w:r>
      <w:r>
        <w:t>;</w:t>
      </w:r>
      <w:r w:rsidR="00D31E20">
        <w:t xml:space="preserve"> </w:t>
      </w:r>
    </w:p>
    <w:p w14:paraId="043B1AE2" w14:textId="77777777" w:rsidR="00F47336" w:rsidRDefault="0019413C" w:rsidP="003B672F">
      <w:pPr>
        <w:pStyle w:val="BodyText"/>
        <w:numPr>
          <w:ilvl w:val="0"/>
          <w:numId w:val="81"/>
        </w:numPr>
      </w:pPr>
      <w:r>
        <w:t>The UN General Assembly</w:t>
      </w:r>
      <w:r w:rsidR="00F47336">
        <w:t>;</w:t>
      </w:r>
      <w:r w:rsidR="002A226C">
        <w:rPr>
          <w:rStyle w:val="FootnoteReference"/>
        </w:rPr>
        <w:footnoteReference w:id="3"/>
      </w:r>
      <w:r w:rsidR="00F47336">
        <w:t xml:space="preserve"> and</w:t>
      </w:r>
    </w:p>
    <w:p w14:paraId="0CC1C06C" w14:textId="1D1663A4" w:rsidR="00502227" w:rsidRDefault="00F47336" w:rsidP="003B672F">
      <w:pPr>
        <w:pStyle w:val="BodyText"/>
        <w:numPr>
          <w:ilvl w:val="0"/>
          <w:numId w:val="81"/>
        </w:numPr>
      </w:pPr>
      <w:r>
        <w:t>Other interested agencies and stakeholders.</w:t>
      </w:r>
      <w:r w:rsidR="005D183A">
        <w:rPr>
          <w:rStyle w:val="FootnoteReference"/>
        </w:rPr>
        <w:footnoteReference w:id="4"/>
      </w:r>
      <w:r w:rsidR="00500072">
        <w:t xml:space="preserve"> </w:t>
      </w:r>
    </w:p>
    <w:p w14:paraId="4F827910" w14:textId="1DC03D1F" w:rsidR="00D5606B" w:rsidRDefault="00B70B14" w:rsidP="000B2A1F">
      <w:pPr>
        <w:pStyle w:val="BodyText"/>
      </w:pPr>
      <w:r w:rsidRPr="00BD4BC9">
        <w:rPr>
          <w:noProof/>
        </w:rPr>
        <mc:AlternateContent>
          <mc:Choice Requires="wps">
            <w:drawing>
              <wp:inline distT="0" distB="0" distL="0" distR="0" wp14:anchorId="795477F8" wp14:editId="0CEE7CA8">
                <wp:extent cx="2952000" cy="3899535"/>
                <wp:effectExtent l="0" t="0" r="20320" b="28575"/>
                <wp:docPr id="20956628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000" cy="3899535"/>
                        </a:xfrm>
                        <a:prstGeom prst="rect">
                          <a:avLst/>
                        </a:prstGeom>
                        <a:solidFill>
                          <a:schemeClr val="accent1">
                            <a:alpha val="1000"/>
                          </a:schemeClr>
                        </a:solidFill>
                        <a:ln w="25400">
                          <a:solidFill>
                            <a:schemeClr val="accent1"/>
                          </a:solidFill>
                          <a:miter lim="800000"/>
                          <a:headEnd/>
                          <a:tailEnd/>
                        </a:ln>
                      </wps:spPr>
                      <wps:txbx>
                        <w:txbxContent>
                          <w:p w14:paraId="0912D79C" w14:textId="21B5E221" w:rsidR="00B70B14" w:rsidRPr="00EF39A8" w:rsidRDefault="006332A4" w:rsidP="00B70B14">
                            <w:pPr>
                              <w:pStyle w:val="TextboxText"/>
                              <w:rPr>
                                <w:b/>
                                <w:bCs/>
                                <w:noProof w:val="0"/>
                                <w:sz w:val="17"/>
                                <w:szCs w:val="17"/>
                              </w:rPr>
                            </w:pPr>
                            <w:bookmarkStart w:id="4" w:name="_Hlk181271819"/>
                            <w:r w:rsidRPr="00EF39A8">
                              <w:rPr>
                                <w:b/>
                                <w:bCs/>
                                <w:noProof w:val="0"/>
                                <w:sz w:val="17"/>
                                <w:szCs w:val="17"/>
                              </w:rPr>
                              <w:t>Target</w:t>
                            </w:r>
                            <w:r w:rsidR="00B70B14" w:rsidRPr="00EF39A8">
                              <w:rPr>
                                <w:b/>
                                <w:bCs/>
                                <w:noProof w:val="0"/>
                                <w:sz w:val="17"/>
                                <w:szCs w:val="17"/>
                              </w:rPr>
                              <w:t xml:space="preserve"> Countries</w:t>
                            </w:r>
                            <w:r w:rsidRPr="00EF39A8">
                              <w:rPr>
                                <w:b/>
                                <w:bCs/>
                                <w:noProof w:val="0"/>
                                <w:sz w:val="17"/>
                                <w:szCs w:val="17"/>
                              </w:rPr>
                              <w:t xml:space="preserve"> by Region</w:t>
                            </w:r>
                            <w:r w:rsidR="00B70B14" w:rsidRPr="00EF39A8">
                              <w:rPr>
                                <w:b/>
                                <w:bCs/>
                                <w:noProof w:val="0"/>
                                <w:sz w:val="17"/>
                                <w:szCs w:val="17"/>
                              </w:rPr>
                              <w:t xml:space="preserve">: </w:t>
                            </w:r>
                          </w:p>
                          <w:bookmarkEnd w:id="4"/>
                          <w:p w14:paraId="32E636A4" w14:textId="65B00636" w:rsidR="00B70B14" w:rsidRPr="00EF39A8" w:rsidRDefault="006332A4" w:rsidP="00CC243B">
                            <w:pPr>
                              <w:pStyle w:val="TextboxBulletLvl1"/>
                              <w:numPr>
                                <w:ilvl w:val="0"/>
                                <w:numId w:val="4"/>
                              </w:numPr>
                              <w:spacing w:before="0" w:after="0"/>
                              <w:rPr>
                                <w:rFonts w:eastAsia="Calibri"/>
                                <w:sz w:val="17"/>
                                <w:szCs w:val="17"/>
                              </w:rPr>
                            </w:pPr>
                            <w:r w:rsidRPr="00EF39A8">
                              <w:rPr>
                                <w:b/>
                                <w:bCs/>
                                <w:sz w:val="17"/>
                                <w:szCs w:val="17"/>
                              </w:rPr>
                              <w:t>Africa:</w:t>
                            </w:r>
                            <w:r w:rsidRPr="00EF39A8">
                              <w:rPr>
                                <w:sz w:val="17"/>
                                <w:szCs w:val="17"/>
                              </w:rPr>
                              <w:t xml:space="preserve"> </w:t>
                            </w:r>
                            <w:r w:rsidR="00A76E7F" w:rsidRPr="00EF39A8">
                              <w:rPr>
                                <w:sz w:val="17"/>
                                <w:szCs w:val="17"/>
                              </w:rPr>
                              <w:t>Burkina Faso; Zambia</w:t>
                            </w:r>
                          </w:p>
                          <w:p w14:paraId="779DDFC1" w14:textId="77777777" w:rsidR="0023491A" w:rsidRPr="00EF39A8" w:rsidRDefault="0023491A" w:rsidP="00CC243B">
                            <w:pPr>
                              <w:pStyle w:val="TextboxBulletLvl1"/>
                              <w:numPr>
                                <w:ilvl w:val="0"/>
                                <w:numId w:val="4"/>
                              </w:numPr>
                              <w:spacing w:before="0" w:after="0"/>
                              <w:rPr>
                                <w:rFonts w:eastAsia="Calibri"/>
                                <w:sz w:val="17"/>
                                <w:szCs w:val="17"/>
                              </w:rPr>
                            </w:pPr>
                            <w:r w:rsidRPr="00EF39A8">
                              <w:rPr>
                                <w:b/>
                                <w:bCs/>
                                <w:sz w:val="17"/>
                                <w:szCs w:val="17"/>
                              </w:rPr>
                              <w:t>Asia and the Pacific:</w:t>
                            </w:r>
                            <w:r w:rsidRPr="00EF39A8">
                              <w:rPr>
                                <w:sz w:val="17"/>
                                <w:szCs w:val="17"/>
                              </w:rPr>
                              <w:t xml:space="preserve"> Pakistan; Samoa</w:t>
                            </w:r>
                          </w:p>
                          <w:p w14:paraId="0E52FF12" w14:textId="663F7E8F" w:rsidR="00BA1CB3" w:rsidRPr="00EF39A8" w:rsidRDefault="00BA1CB3" w:rsidP="00CC243B">
                            <w:pPr>
                              <w:pStyle w:val="TextboxBulletLvl1"/>
                              <w:numPr>
                                <w:ilvl w:val="0"/>
                                <w:numId w:val="4"/>
                              </w:numPr>
                              <w:spacing w:before="0" w:after="0"/>
                              <w:rPr>
                                <w:rFonts w:eastAsia="Calibri"/>
                                <w:sz w:val="17"/>
                                <w:szCs w:val="17"/>
                              </w:rPr>
                            </w:pPr>
                            <w:r w:rsidRPr="00EF39A8">
                              <w:rPr>
                                <w:rFonts w:eastAsia="Calibri"/>
                                <w:b/>
                                <w:bCs/>
                                <w:sz w:val="17"/>
                                <w:szCs w:val="17"/>
                              </w:rPr>
                              <w:t>Europe:</w:t>
                            </w:r>
                            <w:r w:rsidR="00132792" w:rsidRPr="00EF39A8">
                              <w:rPr>
                                <w:rFonts w:eastAsia="Calibri"/>
                                <w:sz w:val="17"/>
                                <w:szCs w:val="17"/>
                              </w:rPr>
                              <w:t xml:space="preserve"> Belarus; Kyrgyzstan</w:t>
                            </w:r>
                          </w:p>
                          <w:p w14:paraId="44CB098B" w14:textId="2CE712CF" w:rsidR="00B70B14" w:rsidRPr="00EF39A8" w:rsidRDefault="00B70B14" w:rsidP="00CC243B">
                            <w:pPr>
                              <w:pStyle w:val="TextboxBulletLvl1"/>
                              <w:numPr>
                                <w:ilvl w:val="0"/>
                                <w:numId w:val="4"/>
                              </w:numPr>
                              <w:spacing w:before="0" w:after="0"/>
                              <w:rPr>
                                <w:rFonts w:eastAsia="Calibri"/>
                                <w:sz w:val="17"/>
                                <w:szCs w:val="17"/>
                              </w:rPr>
                            </w:pPr>
                            <w:r w:rsidRPr="00EF39A8">
                              <w:rPr>
                                <w:b/>
                                <w:bCs/>
                                <w:sz w:val="17"/>
                                <w:szCs w:val="17"/>
                              </w:rPr>
                              <w:t>La</w:t>
                            </w:r>
                            <w:r w:rsidR="006332A4" w:rsidRPr="00EF39A8">
                              <w:rPr>
                                <w:b/>
                                <w:bCs/>
                                <w:sz w:val="17"/>
                                <w:szCs w:val="17"/>
                              </w:rPr>
                              <w:t>tin America and the Caribbean:</w:t>
                            </w:r>
                            <w:r w:rsidR="006332A4" w:rsidRPr="00EF39A8">
                              <w:rPr>
                                <w:sz w:val="17"/>
                                <w:szCs w:val="17"/>
                              </w:rPr>
                              <w:t xml:space="preserve"> </w:t>
                            </w:r>
                            <w:r w:rsidR="001D3261" w:rsidRPr="00EF39A8">
                              <w:rPr>
                                <w:sz w:val="17"/>
                                <w:szCs w:val="17"/>
                              </w:rPr>
                              <w:t>Costa Rica; Dominican Republic</w:t>
                            </w:r>
                          </w:p>
                          <w:p w14:paraId="17A32B9F" w14:textId="6233B50C" w:rsidR="00B70B14" w:rsidRPr="00EF39A8" w:rsidRDefault="00BA1CB3" w:rsidP="00CC243B">
                            <w:pPr>
                              <w:pStyle w:val="TextboxBulletLvl1"/>
                              <w:numPr>
                                <w:ilvl w:val="0"/>
                                <w:numId w:val="4"/>
                              </w:numPr>
                              <w:spacing w:before="0" w:after="0"/>
                              <w:rPr>
                                <w:rFonts w:eastAsia="Calibri"/>
                                <w:sz w:val="17"/>
                                <w:szCs w:val="17"/>
                              </w:rPr>
                            </w:pPr>
                            <w:r w:rsidRPr="00EF39A8">
                              <w:rPr>
                                <w:b/>
                                <w:bCs/>
                                <w:sz w:val="17"/>
                                <w:szCs w:val="17"/>
                              </w:rPr>
                              <w:t>Western Asia:</w:t>
                            </w:r>
                            <w:r w:rsidR="00B70B14" w:rsidRPr="00EF39A8">
                              <w:rPr>
                                <w:sz w:val="17"/>
                                <w:szCs w:val="17"/>
                              </w:rPr>
                              <w:t xml:space="preserve"> </w:t>
                            </w:r>
                            <w:r w:rsidR="00132792" w:rsidRPr="00EF39A8">
                              <w:rPr>
                                <w:sz w:val="17"/>
                                <w:szCs w:val="17"/>
                              </w:rPr>
                              <w:t>Egypt; Jordan</w:t>
                            </w:r>
                          </w:p>
                          <w:p w14:paraId="69CD379E" w14:textId="5AEE158B" w:rsidR="00B70B14" w:rsidRPr="00EF39A8" w:rsidRDefault="0020206E" w:rsidP="00B70B14">
                            <w:pPr>
                              <w:pStyle w:val="TextboxText"/>
                              <w:rPr>
                                <w:b/>
                                <w:bCs/>
                                <w:noProof w:val="0"/>
                                <w:sz w:val="17"/>
                                <w:szCs w:val="17"/>
                              </w:rPr>
                            </w:pPr>
                            <w:r w:rsidRPr="00EF39A8">
                              <w:rPr>
                                <w:b/>
                                <w:bCs/>
                                <w:noProof w:val="0"/>
                                <w:sz w:val="17"/>
                                <w:szCs w:val="17"/>
                              </w:rPr>
                              <w:t xml:space="preserve">Executing </w:t>
                            </w:r>
                            <w:r w:rsidR="002C54DE" w:rsidRPr="00EF39A8">
                              <w:rPr>
                                <w:b/>
                                <w:bCs/>
                                <w:noProof w:val="0"/>
                                <w:sz w:val="17"/>
                                <w:szCs w:val="17"/>
                              </w:rPr>
                              <w:t>Entities</w:t>
                            </w:r>
                            <w:r w:rsidR="00B70B14" w:rsidRPr="00EF39A8">
                              <w:rPr>
                                <w:b/>
                                <w:bCs/>
                                <w:noProof w:val="0"/>
                                <w:sz w:val="17"/>
                                <w:szCs w:val="17"/>
                              </w:rPr>
                              <w:t xml:space="preserve">: </w:t>
                            </w:r>
                          </w:p>
                          <w:p w14:paraId="00DBA5D5" w14:textId="10661454" w:rsidR="00B70B14" w:rsidRPr="00EF39A8" w:rsidRDefault="009A7925" w:rsidP="00CC243B">
                            <w:pPr>
                              <w:pStyle w:val="TextboxBulletLvl1"/>
                              <w:numPr>
                                <w:ilvl w:val="0"/>
                                <w:numId w:val="4"/>
                              </w:numPr>
                              <w:spacing w:before="0" w:after="0"/>
                              <w:rPr>
                                <w:sz w:val="17"/>
                                <w:szCs w:val="17"/>
                              </w:rPr>
                            </w:pPr>
                            <w:r w:rsidRPr="00EF39A8">
                              <w:rPr>
                                <w:sz w:val="17"/>
                                <w:szCs w:val="17"/>
                              </w:rPr>
                              <w:t>United Nations De</w:t>
                            </w:r>
                            <w:r w:rsidR="003158C1" w:rsidRPr="00EF39A8">
                              <w:rPr>
                                <w:sz w:val="17"/>
                                <w:szCs w:val="17"/>
                              </w:rPr>
                              <w:t>partment of Economic and Social Affairs (</w:t>
                            </w:r>
                            <w:r w:rsidR="002C54DE" w:rsidRPr="00EF39A8">
                              <w:rPr>
                                <w:sz w:val="17"/>
                                <w:szCs w:val="17"/>
                              </w:rPr>
                              <w:t>UNDESA</w:t>
                            </w:r>
                            <w:r w:rsidR="003158C1" w:rsidRPr="00EF39A8">
                              <w:rPr>
                                <w:sz w:val="17"/>
                                <w:szCs w:val="17"/>
                              </w:rPr>
                              <w:t>)</w:t>
                            </w:r>
                          </w:p>
                          <w:p w14:paraId="05759268" w14:textId="562A854F" w:rsidR="00B70B14" w:rsidRPr="00EF39A8" w:rsidRDefault="00E97578" w:rsidP="00CC243B">
                            <w:pPr>
                              <w:pStyle w:val="TextboxBulletLvl1"/>
                              <w:numPr>
                                <w:ilvl w:val="0"/>
                                <w:numId w:val="4"/>
                              </w:numPr>
                              <w:spacing w:before="0" w:after="0"/>
                              <w:rPr>
                                <w:sz w:val="17"/>
                                <w:szCs w:val="17"/>
                              </w:rPr>
                            </w:pPr>
                            <w:r w:rsidRPr="00EF39A8">
                              <w:rPr>
                                <w:sz w:val="17"/>
                                <w:szCs w:val="17"/>
                              </w:rPr>
                              <w:t>United Nations Economic Commission for Africa (UNECA);</w:t>
                            </w:r>
                          </w:p>
                          <w:p w14:paraId="0A7E51D7" w14:textId="5BFF7D1D" w:rsidR="00B70B14" w:rsidRPr="00EF39A8" w:rsidRDefault="00472E66" w:rsidP="00CC243B">
                            <w:pPr>
                              <w:pStyle w:val="TextboxBulletLvl1"/>
                              <w:numPr>
                                <w:ilvl w:val="0"/>
                                <w:numId w:val="4"/>
                              </w:numPr>
                              <w:spacing w:before="0" w:after="0"/>
                              <w:rPr>
                                <w:sz w:val="17"/>
                                <w:szCs w:val="17"/>
                              </w:rPr>
                            </w:pPr>
                            <w:r w:rsidRPr="00EF39A8">
                              <w:rPr>
                                <w:sz w:val="17"/>
                                <w:szCs w:val="17"/>
                              </w:rPr>
                              <w:t xml:space="preserve">United Nations </w:t>
                            </w:r>
                            <w:r w:rsidR="007E1597" w:rsidRPr="00EF39A8">
                              <w:rPr>
                                <w:sz w:val="17"/>
                                <w:szCs w:val="17"/>
                              </w:rPr>
                              <w:t>Economic Commission for Europe (</w:t>
                            </w:r>
                            <w:r w:rsidR="002C54DE" w:rsidRPr="00EF39A8">
                              <w:rPr>
                                <w:sz w:val="17"/>
                                <w:szCs w:val="17"/>
                              </w:rPr>
                              <w:t>UNECE</w:t>
                            </w:r>
                            <w:r w:rsidR="007E1597" w:rsidRPr="00EF39A8">
                              <w:rPr>
                                <w:sz w:val="17"/>
                                <w:szCs w:val="17"/>
                              </w:rPr>
                              <w:t>)</w:t>
                            </w:r>
                          </w:p>
                          <w:p w14:paraId="4A5F37BF" w14:textId="09C7FEF8" w:rsidR="00B23799" w:rsidRPr="00EF39A8" w:rsidRDefault="00B23799" w:rsidP="00CC243B">
                            <w:pPr>
                              <w:pStyle w:val="TextboxBulletLvl1"/>
                              <w:numPr>
                                <w:ilvl w:val="0"/>
                                <w:numId w:val="4"/>
                              </w:numPr>
                              <w:spacing w:before="0" w:after="0"/>
                              <w:rPr>
                                <w:sz w:val="17"/>
                                <w:szCs w:val="17"/>
                              </w:rPr>
                            </w:pPr>
                            <w:r w:rsidRPr="00EF39A8">
                              <w:rPr>
                                <w:sz w:val="17"/>
                                <w:szCs w:val="17"/>
                              </w:rPr>
                              <w:t>United Nations Economic Commission for Latin America and the Caribbean (</w:t>
                            </w:r>
                            <w:r w:rsidR="00D620A0" w:rsidRPr="00EF39A8">
                              <w:rPr>
                                <w:sz w:val="17"/>
                                <w:szCs w:val="17"/>
                              </w:rPr>
                              <w:t>UN</w:t>
                            </w:r>
                            <w:r w:rsidRPr="00EF39A8">
                              <w:rPr>
                                <w:sz w:val="17"/>
                                <w:szCs w:val="17"/>
                              </w:rPr>
                              <w:t>ECLAC)</w:t>
                            </w:r>
                          </w:p>
                          <w:p w14:paraId="2B164A9B" w14:textId="15297AF7" w:rsidR="00B70B14" w:rsidRPr="00EF39A8" w:rsidRDefault="00472E66" w:rsidP="00CC243B">
                            <w:pPr>
                              <w:pStyle w:val="TextboxBulletLvl1"/>
                              <w:numPr>
                                <w:ilvl w:val="0"/>
                                <w:numId w:val="4"/>
                              </w:numPr>
                              <w:spacing w:before="0" w:after="0"/>
                              <w:rPr>
                                <w:sz w:val="17"/>
                                <w:szCs w:val="17"/>
                              </w:rPr>
                            </w:pPr>
                            <w:r w:rsidRPr="00EF39A8">
                              <w:rPr>
                                <w:sz w:val="17"/>
                                <w:szCs w:val="17"/>
                              </w:rPr>
                              <w:t>United Nations Economic and Social Commission for Asia and the Pacific (UNESCAP)</w:t>
                            </w:r>
                          </w:p>
                          <w:p w14:paraId="1138D7F0" w14:textId="558C8391" w:rsidR="00B70B14" w:rsidRPr="00EF39A8" w:rsidRDefault="00961613" w:rsidP="00CC243B">
                            <w:pPr>
                              <w:pStyle w:val="TextboxBulletLvl1"/>
                              <w:numPr>
                                <w:ilvl w:val="0"/>
                                <w:numId w:val="4"/>
                              </w:numPr>
                              <w:spacing w:before="0" w:after="0"/>
                              <w:rPr>
                                <w:sz w:val="17"/>
                                <w:szCs w:val="17"/>
                              </w:rPr>
                            </w:pPr>
                            <w:r w:rsidRPr="00EF39A8">
                              <w:rPr>
                                <w:sz w:val="17"/>
                                <w:szCs w:val="17"/>
                              </w:rPr>
                              <w:t>United Nations Economic and Social Commission for Western Asia (</w:t>
                            </w:r>
                            <w:r w:rsidR="00F77563" w:rsidRPr="00EF39A8">
                              <w:rPr>
                                <w:sz w:val="17"/>
                                <w:szCs w:val="17"/>
                              </w:rPr>
                              <w:t>UNESCWA</w:t>
                            </w:r>
                            <w:r w:rsidRPr="00EF39A8">
                              <w:rPr>
                                <w:sz w:val="17"/>
                                <w:szCs w:val="17"/>
                              </w:rPr>
                              <w:t>)</w:t>
                            </w:r>
                          </w:p>
                          <w:p w14:paraId="763B82EB" w14:textId="08583C5E" w:rsidR="00F77563" w:rsidRPr="00EF39A8" w:rsidRDefault="002603EA" w:rsidP="00CC243B">
                            <w:pPr>
                              <w:pStyle w:val="TextboxBulletLvl1"/>
                              <w:numPr>
                                <w:ilvl w:val="0"/>
                                <w:numId w:val="4"/>
                              </w:numPr>
                              <w:spacing w:before="0" w:after="0"/>
                              <w:rPr>
                                <w:sz w:val="17"/>
                                <w:szCs w:val="17"/>
                              </w:rPr>
                            </w:pPr>
                            <w:r w:rsidRPr="00EF39A8">
                              <w:rPr>
                                <w:sz w:val="17"/>
                                <w:szCs w:val="17"/>
                              </w:rPr>
                              <w:t>UN Trade and Development (</w:t>
                            </w:r>
                            <w:r w:rsidR="00F77563" w:rsidRPr="00EF39A8">
                              <w:rPr>
                                <w:sz w:val="17"/>
                                <w:szCs w:val="17"/>
                              </w:rPr>
                              <w:t>UNCTAD</w:t>
                            </w:r>
                            <w:r w:rsidRPr="00EF39A8">
                              <w:rPr>
                                <w:sz w:val="17"/>
                                <w:szCs w:val="17"/>
                              </w:rPr>
                              <w:t>)</w:t>
                            </w:r>
                          </w:p>
                          <w:p w14:paraId="4CC0BDA5" w14:textId="6E9C20EC" w:rsidR="00B70B14" w:rsidRPr="00EF39A8" w:rsidRDefault="00B70B14" w:rsidP="00B70B14">
                            <w:pPr>
                              <w:pStyle w:val="TextboxText"/>
                              <w:rPr>
                                <w:b/>
                                <w:bCs/>
                                <w:noProof w:val="0"/>
                                <w:sz w:val="17"/>
                                <w:szCs w:val="17"/>
                              </w:rPr>
                            </w:pPr>
                            <w:r w:rsidRPr="00EF39A8">
                              <w:rPr>
                                <w:b/>
                                <w:bCs/>
                                <w:noProof w:val="0"/>
                                <w:sz w:val="17"/>
                                <w:szCs w:val="17"/>
                              </w:rPr>
                              <w:t xml:space="preserve">Cooperating Entities within the UN </w:t>
                            </w:r>
                            <w:r w:rsidR="00E97578" w:rsidRPr="00EF39A8">
                              <w:rPr>
                                <w:b/>
                                <w:bCs/>
                                <w:noProof w:val="0"/>
                                <w:sz w:val="17"/>
                                <w:szCs w:val="17"/>
                              </w:rPr>
                              <w:t>Secretariat and S</w:t>
                            </w:r>
                            <w:r w:rsidRPr="00EF39A8">
                              <w:rPr>
                                <w:b/>
                                <w:bCs/>
                                <w:noProof w:val="0"/>
                                <w:sz w:val="17"/>
                                <w:szCs w:val="17"/>
                              </w:rPr>
                              <w:t xml:space="preserve">ystem: </w:t>
                            </w:r>
                          </w:p>
                          <w:p w14:paraId="72966239" w14:textId="613F784B" w:rsidR="00B70B14" w:rsidRPr="00EF39A8" w:rsidRDefault="00A06EB1" w:rsidP="00CC243B">
                            <w:pPr>
                              <w:pStyle w:val="TextboxBulletLvl1"/>
                              <w:numPr>
                                <w:ilvl w:val="0"/>
                                <w:numId w:val="4"/>
                              </w:numPr>
                              <w:spacing w:before="0" w:after="0"/>
                              <w:rPr>
                                <w:sz w:val="17"/>
                                <w:szCs w:val="17"/>
                              </w:rPr>
                            </w:pPr>
                            <w:r w:rsidRPr="00EF39A8">
                              <w:rPr>
                                <w:sz w:val="17"/>
                                <w:szCs w:val="17"/>
                              </w:rPr>
                              <w:t>UN Resident Coordinator System</w:t>
                            </w:r>
                            <w:r w:rsidR="00814FD8">
                              <w:rPr>
                                <w:sz w:val="17"/>
                                <w:szCs w:val="17"/>
                              </w:rPr>
                              <w:t xml:space="preserve"> (RCO)</w:t>
                            </w:r>
                          </w:p>
                          <w:p w14:paraId="3DC9D466" w14:textId="07CDE41F" w:rsidR="00B70B14" w:rsidRPr="00EF39A8" w:rsidRDefault="00B70B14" w:rsidP="00CC243B">
                            <w:pPr>
                              <w:pStyle w:val="TextboxBulletLvl1"/>
                              <w:numPr>
                                <w:ilvl w:val="0"/>
                                <w:numId w:val="4"/>
                              </w:numPr>
                              <w:spacing w:before="0" w:after="0"/>
                              <w:rPr>
                                <w:sz w:val="17"/>
                                <w:szCs w:val="17"/>
                              </w:rPr>
                            </w:pPr>
                            <w:r w:rsidRPr="00EF39A8">
                              <w:rPr>
                                <w:sz w:val="17"/>
                                <w:szCs w:val="17"/>
                              </w:rPr>
                              <w:t>United Nations Development Programme (UNDP)</w:t>
                            </w:r>
                          </w:p>
                          <w:p w14:paraId="7CB93B16" w14:textId="3FB399B5" w:rsidR="00D30660" w:rsidRPr="00EF39A8" w:rsidRDefault="00555761" w:rsidP="00CC243B">
                            <w:pPr>
                              <w:pStyle w:val="TextboxBulletLvl1"/>
                              <w:numPr>
                                <w:ilvl w:val="0"/>
                                <w:numId w:val="4"/>
                              </w:numPr>
                              <w:spacing w:before="0" w:after="0"/>
                              <w:rPr>
                                <w:sz w:val="17"/>
                                <w:szCs w:val="17"/>
                              </w:rPr>
                            </w:pPr>
                            <w:r w:rsidRPr="00EF39A8">
                              <w:rPr>
                                <w:sz w:val="17"/>
                                <w:szCs w:val="17"/>
                                <w:lang w:val="en-GB"/>
                              </w:rPr>
                              <w:t>United Nations Educational, Scientific and Cultural Organisation (</w:t>
                            </w:r>
                            <w:r w:rsidR="00D30660" w:rsidRPr="00EF39A8">
                              <w:rPr>
                                <w:sz w:val="17"/>
                                <w:szCs w:val="17"/>
                              </w:rPr>
                              <w:t>U</w:t>
                            </w:r>
                            <w:r w:rsidR="00A74B6C" w:rsidRPr="00EF39A8">
                              <w:rPr>
                                <w:sz w:val="17"/>
                                <w:szCs w:val="17"/>
                              </w:rPr>
                              <w:t>NESCO</w:t>
                            </w:r>
                            <w:r w:rsidRPr="00EF39A8">
                              <w:rPr>
                                <w:sz w:val="17"/>
                                <w:szCs w:val="17"/>
                              </w:rPr>
                              <w:t>)</w:t>
                            </w:r>
                          </w:p>
                          <w:p w14:paraId="1C400D48" w14:textId="7A928A61" w:rsidR="00A74B6C" w:rsidRPr="00EF39A8" w:rsidRDefault="00D51574" w:rsidP="00CC243B">
                            <w:pPr>
                              <w:pStyle w:val="TextboxBulletLvl1"/>
                              <w:numPr>
                                <w:ilvl w:val="0"/>
                                <w:numId w:val="4"/>
                              </w:numPr>
                              <w:spacing w:before="0" w:after="0"/>
                              <w:rPr>
                                <w:sz w:val="17"/>
                                <w:szCs w:val="17"/>
                              </w:rPr>
                            </w:pPr>
                            <w:r w:rsidRPr="00EF39A8">
                              <w:rPr>
                                <w:sz w:val="17"/>
                                <w:szCs w:val="17"/>
                                <w:lang w:val="en-GB"/>
                              </w:rPr>
                              <w:t>United Nations</w:t>
                            </w:r>
                            <w:r w:rsidRPr="00EF39A8">
                              <w:rPr>
                                <w:sz w:val="17"/>
                                <w:szCs w:val="17"/>
                              </w:rPr>
                              <w:t xml:space="preserve"> Children’s Fund (</w:t>
                            </w:r>
                            <w:r w:rsidR="00A74B6C" w:rsidRPr="00EF39A8">
                              <w:rPr>
                                <w:sz w:val="17"/>
                                <w:szCs w:val="17"/>
                              </w:rPr>
                              <w:t>UNICEF</w:t>
                            </w:r>
                            <w:r w:rsidRPr="00EF39A8">
                              <w:rPr>
                                <w:sz w:val="17"/>
                                <w:szCs w:val="17"/>
                              </w:rPr>
                              <w:t>)</w:t>
                            </w:r>
                          </w:p>
                          <w:p w14:paraId="2ED583A0" w14:textId="33629C62" w:rsidR="00A74B6C" w:rsidRPr="00EF39A8" w:rsidRDefault="00640DF9" w:rsidP="00CC243B">
                            <w:pPr>
                              <w:pStyle w:val="TextboxBulletLvl1"/>
                              <w:numPr>
                                <w:ilvl w:val="0"/>
                                <w:numId w:val="4"/>
                              </w:numPr>
                              <w:spacing w:before="0" w:after="0"/>
                              <w:rPr>
                                <w:sz w:val="17"/>
                                <w:szCs w:val="17"/>
                              </w:rPr>
                            </w:pPr>
                            <w:r w:rsidRPr="00EF39A8">
                              <w:rPr>
                                <w:sz w:val="17"/>
                                <w:szCs w:val="17"/>
                                <w:lang w:val="en-GB"/>
                              </w:rPr>
                              <w:t>United Nations</w:t>
                            </w:r>
                            <w:r w:rsidRPr="00EF39A8">
                              <w:rPr>
                                <w:sz w:val="17"/>
                                <w:szCs w:val="17"/>
                              </w:rPr>
                              <w:t xml:space="preserve"> Institute for Training and Research (</w:t>
                            </w:r>
                            <w:r w:rsidR="00A74B6C" w:rsidRPr="00EF39A8">
                              <w:rPr>
                                <w:sz w:val="17"/>
                                <w:szCs w:val="17"/>
                              </w:rPr>
                              <w:t>UNITAR</w:t>
                            </w:r>
                            <w:r w:rsidRPr="00EF39A8">
                              <w:rPr>
                                <w:sz w:val="17"/>
                                <w:szCs w:val="17"/>
                              </w:rPr>
                              <w:t>)</w:t>
                            </w:r>
                          </w:p>
                          <w:p w14:paraId="369349F8" w14:textId="3D43293B" w:rsidR="00D30660" w:rsidRPr="00EF39A8" w:rsidRDefault="00640DF9" w:rsidP="00D30660">
                            <w:pPr>
                              <w:pStyle w:val="TextboxText"/>
                              <w:rPr>
                                <w:b/>
                                <w:bCs/>
                                <w:noProof w:val="0"/>
                                <w:sz w:val="17"/>
                                <w:szCs w:val="17"/>
                              </w:rPr>
                            </w:pPr>
                            <w:r w:rsidRPr="00EF39A8">
                              <w:rPr>
                                <w:b/>
                                <w:bCs/>
                                <w:noProof w:val="0"/>
                                <w:sz w:val="17"/>
                                <w:szCs w:val="17"/>
                              </w:rPr>
                              <w:t xml:space="preserve">Other Collaborating </w:t>
                            </w:r>
                            <w:r w:rsidR="00D30660" w:rsidRPr="00EF39A8">
                              <w:rPr>
                                <w:b/>
                                <w:bCs/>
                                <w:noProof w:val="0"/>
                                <w:sz w:val="17"/>
                                <w:szCs w:val="17"/>
                              </w:rPr>
                              <w:t xml:space="preserve">Entities: </w:t>
                            </w:r>
                          </w:p>
                          <w:p w14:paraId="325F00E9" w14:textId="7B7FAD90" w:rsidR="00D30660" w:rsidRPr="00EF39A8" w:rsidRDefault="00D5606B" w:rsidP="00CC243B">
                            <w:pPr>
                              <w:pStyle w:val="TextboxBulletLvl1"/>
                              <w:numPr>
                                <w:ilvl w:val="0"/>
                                <w:numId w:val="4"/>
                              </w:numPr>
                              <w:spacing w:before="0" w:after="0"/>
                              <w:rPr>
                                <w:sz w:val="17"/>
                                <w:szCs w:val="17"/>
                              </w:rPr>
                            </w:pPr>
                            <w:r w:rsidRPr="00EF39A8">
                              <w:rPr>
                                <w:sz w:val="17"/>
                                <w:szCs w:val="17"/>
                              </w:rPr>
                              <w:t>African Union (AU)</w:t>
                            </w:r>
                          </w:p>
                          <w:p w14:paraId="5BF06C1B" w14:textId="7CEE195A" w:rsidR="00D5606B" w:rsidRPr="00EF39A8" w:rsidRDefault="00D5606B" w:rsidP="00CC243B">
                            <w:pPr>
                              <w:pStyle w:val="TextboxBulletLvl1"/>
                              <w:numPr>
                                <w:ilvl w:val="0"/>
                                <w:numId w:val="4"/>
                              </w:numPr>
                              <w:spacing w:before="0" w:after="0"/>
                              <w:rPr>
                                <w:sz w:val="17"/>
                                <w:szCs w:val="17"/>
                              </w:rPr>
                            </w:pPr>
                            <w:r w:rsidRPr="00EF39A8">
                              <w:rPr>
                                <w:sz w:val="17"/>
                                <w:szCs w:val="17"/>
                              </w:rPr>
                              <w:t>African Development Bank (AfDB)</w:t>
                            </w:r>
                          </w:p>
                          <w:p w14:paraId="36840F26" w14:textId="77777777" w:rsidR="00D5606B" w:rsidRPr="00EF39A8" w:rsidRDefault="00D5606B" w:rsidP="00CC243B">
                            <w:pPr>
                              <w:pStyle w:val="TextboxBulletLvl1"/>
                              <w:numPr>
                                <w:ilvl w:val="0"/>
                                <w:numId w:val="4"/>
                              </w:numPr>
                              <w:spacing w:before="0" w:after="0"/>
                              <w:rPr>
                                <w:sz w:val="17"/>
                                <w:szCs w:val="17"/>
                              </w:rPr>
                            </w:pPr>
                            <w:r w:rsidRPr="00EF39A8">
                              <w:rPr>
                                <w:sz w:val="17"/>
                                <w:szCs w:val="17"/>
                              </w:rPr>
                              <w:t>African Forum and Network on Debt and Development (AFRODAD)</w:t>
                            </w:r>
                          </w:p>
                          <w:p w14:paraId="69359208" w14:textId="2FED8A1D" w:rsidR="00D5606B" w:rsidRPr="00EF39A8" w:rsidRDefault="00D5606B" w:rsidP="00CC243B">
                            <w:pPr>
                              <w:pStyle w:val="TextboxBulletLvl1"/>
                              <w:numPr>
                                <w:ilvl w:val="0"/>
                                <w:numId w:val="4"/>
                              </w:numPr>
                              <w:spacing w:before="0" w:after="0"/>
                              <w:rPr>
                                <w:sz w:val="17"/>
                                <w:szCs w:val="17"/>
                              </w:rPr>
                            </w:pPr>
                            <w:r w:rsidRPr="00EF39A8">
                              <w:rPr>
                                <w:sz w:val="17"/>
                                <w:szCs w:val="17"/>
                              </w:rPr>
                              <w:t>African Tax Administration Forum (ATAF)</w:t>
                            </w:r>
                          </w:p>
                          <w:p w14:paraId="652F2377" w14:textId="5DD42F1C" w:rsidR="00D5606B" w:rsidRPr="00EF39A8" w:rsidRDefault="00D5606B" w:rsidP="00CC243B">
                            <w:pPr>
                              <w:pStyle w:val="TextboxBulletLvl1"/>
                              <w:numPr>
                                <w:ilvl w:val="0"/>
                                <w:numId w:val="4"/>
                              </w:numPr>
                              <w:spacing w:before="0" w:after="0"/>
                              <w:rPr>
                                <w:sz w:val="17"/>
                                <w:szCs w:val="17"/>
                              </w:rPr>
                            </w:pPr>
                            <w:r w:rsidRPr="00EF39A8">
                              <w:rPr>
                                <w:sz w:val="17"/>
                                <w:szCs w:val="17"/>
                              </w:rPr>
                              <w:t>Eurasian Development Bank</w:t>
                            </w:r>
                            <w:r w:rsidR="000B0D7B">
                              <w:rPr>
                                <w:sz w:val="17"/>
                                <w:szCs w:val="17"/>
                              </w:rPr>
                              <w:t xml:space="preserve"> (EDB)</w:t>
                            </w:r>
                          </w:p>
                          <w:p w14:paraId="6A3730CE" w14:textId="1A4A295F" w:rsidR="00BC6A20" w:rsidRPr="00EF39A8" w:rsidRDefault="00BC6A20" w:rsidP="00CC243B">
                            <w:pPr>
                              <w:pStyle w:val="TextboxBulletLvl1"/>
                              <w:numPr>
                                <w:ilvl w:val="0"/>
                                <w:numId w:val="4"/>
                              </w:numPr>
                              <w:spacing w:before="0" w:after="0"/>
                              <w:rPr>
                                <w:sz w:val="17"/>
                                <w:szCs w:val="17"/>
                              </w:rPr>
                            </w:pPr>
                            <w:r w:rsidRPr="00EF39A8">
                              <w:rPr>
                                <w:sz w:val="17"/>
                                <w:szCs w:val="17"/>
                              </w:rPr>
                              <w:t>International Budget Partnership (IBP)</w:t>
                            </w:r>
                          </w:p>
                          <w:p w14:paraId="25DE11A1" w14:textId="2A21E433" w:rsidR="00BC6A20" w:rsidRPr="00EF39A8" w:rsidRDefault="00BC6A20" w:rsidP="00CC243B">
                            <w:pPr>
                              <w:pStyle w:val="TextboxBulletLvl1"/>
                              <w:numPr>
                                <w:ilvl w:val="0"/>
                                <w:numId w:val="4"/>
                              </w:numPr>
                              <w:spacing w:before="0" w:after="0"/>
                              <w:rPr>
                                <w:sz w:val="17"/>
                                <w:szCs w:val="17"/>
                              </w:rPr>
                            </w:pPr>
                            <w:r w:rsidRPr="00EF39A8">
                              <w:rPr>
                                <w:sz w:val="17"/>
                                <w:szCs w:val="17"/>
                              </w:rPr>
                              <w:t>International Monetary Fund (IMF)</w:t>
                            </w:r>
                          </w:p>
                          <w:p w14:paraId="303C8853" w14:textId="382898E5" w:rsidR="00BC6A20" w:rsidRPr="00EF39A8" w:rsidRDefault="00BC6A20" w:rsidP="00CC243B">
                            <w:pPr>
                              <w:pStyle w:val="TextboxBulletLvl1"/>
                              <w:numPr>
                                <w:ilvl w:val="0"/>
                                <w:numId w:val="4"/>
                              </w:numPr>
                              <w:spacing w:before="0" w:after="0"/>
                              <w:rPr>
                                <w:sz w:val="17"/>
                                <w:szCs w:val="17"/>
                              </w:rPr>
                            </w:pPr>
                            <w:r w:rsidRPr="00EF39A8">
                              <w:rPr>
                                <w:sz w:val="17"/>
                                <w:szCs w:val="17"/>
                              </w:rPr>
                              <w:t>Tax Justice Network Africa (TJNA)</w:t>
                            </w:r>
                          </w:p>
                          <w:p w14:paraId="02E62553" w14:textId="00177104" w:rsidR="00B70B14" w:rsidRPr="00EF39A8" w:rsidRDefault="00B70B14" w:rsidP="00B70B14">
                            <w:pPr>
                              <w:pStyle w:val="TextboxSource"/>
                              <w:rPr>
                                <w:sz w:val="17"/>
                                <w:szCs w:val="17"/>
                              </w:rPr>
                            </w:pPr>
                            <w:r w:rsidRPr="00EF39A8">
                              <w:rPr>
                                <w:sz w:val="17"/>
                                <w:szCs w:val="17"/>
                              </w:rPr>
                              <w:t>Source: Project document</w:t>
                            </w:r>
                            <w:r w:rsidR="008C1885" w:rsidRPr="00EF39A8">
                              <w:rPr>
                                <w:sz w:val="17"/>
                                <w:szCs w:val="17"/>
                              </w:rPr>
                              <w:t>;</w:t>
                            </w:r>
                            <w:r w:rsidR="00BC6A20" w:rsidRPr="00EF39A8">
                              <w:rPr>
                                <w:sz w:val="17"/>
                                <w:szCs w:val="17"/>
                              </w:rPr>
                              <w:t xml:space="preserve"> Final </w:t>
                            </w:r>
                            <w:r w:rsidR="00B3087C">
                              <w:rPr>
                                <w:sz w:val="17"/>
                                <w:szCs w:val="17"/>
                              </w:rPr>
                              <w:t>p</w:t>
                            </w:r>
                            <w:r w:rsidR="00244A61" w:rsidRPr="00EF39A8">
                              <w:rPr>
                                <w:sz w:val="17"/>
                                <w:szCs w:val="17"/>
                              </w:rPr>
                              <w:t>ro</w:t>
                            </w:r>
                            <w:r w:rsidR="000B0D7B">
                              <w:rPr>
                                <w:sz w:val="17"/>
                                <w:szCs w:val="17"/>
                              </w:rPr>
                              <w:t>ject</w:t>
                            </w:r>
                            <w:r w:rsidR="00244A61" w:rsidRPr="00EF39A8">
                              <w:rPr>
                                <w:sz w:val="17"/>
                                <w:szCs w:val="17"/>
                              </w:rPr>
                              <w:t xml:space="preserve"> </w:t>
                            </w:r>
                            <w:r w:rsidR="00B3087C">
                              <w:rPr>
                                <w:sz w:val="17"/>
                                <w:szCs w:val="17"/>
                              </w:rPr>
                              <w:t>r</w:t>
                            </w:r>
                            <w:r w:rsidR="00244A61" w:rsidRPr="00EF39A8">
                              <w:rPr>
                                <w:sz w:val="17"/>
                                <w:szCs w:val="17"/>
                              </w:rPr>
                              <w:t>eport</w:t>
                            </w:r>
                          </w:p>
                        </w:txbxContent>
                      </wps:txbx>
                      <wps:bodyPr rot="0" vert="horz" wrap="square" lIns="144000" tIns="108000" rIns="144000" bIns="108000" anchor="t" anchorCtr="0">
                        <a:spAutoFit/>
                      </wps:bodyPr>
                    </wps:wsp>
                  </a:graphicData>
                </a:graphic>
              </wp:inline>
            </w:drawing>
          </mc:Choice>
          <mc:Fallback>
            <w:pict>
              <v:shape w14:anchorId="795477F8" id="Text Box 2" o:spid="_x0000_s1027" type="#_x0000_t202" style="width:232.45pt;height:307.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" fillcolor="#009edb [3204]" strokecolor="#009edb [3204]" strokeweight="2pt">
                <v:fill opacity="771f"/>
                <v:textbox style="mso-fit-shape-to-text:t" inset="4mm,3mm,4mm,3mm">
                  <w:txbxContent>
                    <w:p w14:paraId="0912D79C" w14:textId="21B5E221" w:rsidR="00B70B14" w:rsidRPr="00EF39A8" w:rsidRDefault="006332A4" w:rsidP="00B70B14">
                      <w:pPr>
                        <w:pStyle w:val="TextboxText"/>
                        <w:rPr>
                          <w:b/>
                          <w:bCs/>
                          <w:noProof w:val="0"/>
                          <w:sz w:val="17"/>
                          <w:szCs w:val="17"/>
                        </w:rPr>
                      </w:pPr>
                      <w:bookmarkStart w:id="5" w:name="_Hlk181271819"/>
                      <w:r w:rsidRPr="00EF39A8">
                        <w:rPr>
                          <w:b/>
                          <w:bCs/>
                          <w:noProof w:val="0"/>
                          <w:sz w:val="17"/>
                          <w:szCs w:val="17"/>
                        </w:rPr>
                        <w:t>Target</w:t>
                      </w:r>
                      <w:r w:rsidR="00B70B14" w:rsidRPr="00EF39A8">
                        <w:rPr>
                          <w:b/>
                          <w:bCs/>
                          <w:noProof w:val="0"/>
                          <w:sz w:val="17"/>
                          <w:szCs w:val="17"/>
                        </w:rPr>
                        <w:t xml:space="preserve"> Countries</w:t>
                      </w:r>
                      <w:r w:rsidRPr="00EF39A8">
                        <w:rPr>
                          <w:b/>
                          <w:bCs/>
                          <w:noProof w:val="0"/>
                          <w:sz w:val="17"/>
                          <w:szCs w:val="17"/>
                        </w:rPr>
                        <w:t xml:space="preserve"> by Region</w:t>
                      </w:r>
                      <w:r w:rsidR="00B70B14" w:rsidRPr="00EF39A8">
                        <w:rPr>
                          <w:b/>
                          <w:bCs/>
                          <w:noProof w:val="0"/>
                          <w:sz w:val="17"/>
                          <w:szCs w:val="17"/>
                        </w:rPr>
                        <w:t xml:space="preserve">: </w:t>
                      </w:r>
                    </w:p>
                    <w:bookmarkEnd w:id="5"/>
                    <w:p w14:paraId="32E636A4" w14:textId="65B00636" w:rsidR="00B70B14" w:rsidRPr="00EF39A8" w:rsidRDefault="006332A4" w:rsidP="00CC243B">
                      <w:pPr>
                        <w:pStyle w:val="TextboxBulletLvl1"/>
                        <w:numPr>
                          <w:ilvl w:val="0"/>
                          <w:numId w:val="4"/>
                        </w:numPr>
                        <w:spacing w:before="0" w:after="0"/>
                        <w:rPr>
                          <w:rFonts w:eastAsia="Calibri"/>
                          <w:sz w:val="17"/>
                          <w:szCs w:val="17"/>
                        </w:rPr>
                      </w:pPr>
                      <w:r w:rsidRPr="00EF39A8">
                        <w:rPr>
                          <w:b/>
                          <w:bCs/>
                          <w:sz w:val="17"/>
                          <w:szCs w:val="17"/>
                        </w:rPr>
                        <w:t>Africa:</w:t>
                      </w:r>
                      <w:r w:rsidRPr="00EF39A8">
                        <w:rPr>
                          <w:sz w:val="17"/>
                          <w:szCs w:val="17"/>
                        </w:rPr>
                        <w:t xml:space="preserve"> </w:t>
                      </w:r>
                      <w:r w:rsidR="00A76E7F" w:rsidRPr="00EF39A8">
                        <w:rPr>
                          <w:sz w:val="17"/>
                          <w:szCs w:val="17"/>
                        </w:rPr>
                        <w:t>Burkina Faso; Zambia</w:t>
                      </w:r>
                    </w:p>
                    <w:p w14:paraId="779DDFC1" w14:textId="77777777" w:rsidR="0023491A" w:rsidRPr="00EF39A8" w:rsidRDefault="0023491A" w:rsidP="00CC243B">
                      <w:pPr>
                        <w:pStyle w:val="TextboxBulletLvl1"/>
                        <w:numPr>
                          <w:ilvl w:val="0"/>
                          <w:numId w:val="4"/>
                        </w:numPr>
                        <w:spacing w:before="0" w:after="0"/>
                        <w:rPr>
                          <w:rFonts w:eastAsia="Calibri"/>
                          <w:sz w:val="17"/>
                          <w:szCs w:val="17"/>
                        </w:rPr>
                      </w:pPr>
                      <w:r w:rsidRPr="00EF39A8">
                        <w:rPr>
                          <w:b/>
                          <w:bCs/>
                          <w:sz w:val="17"/>
                          <w:szCs w:val="17"/>
                        </w:rPr>
                        <w:t>Asia and the Pacific:</w:t>
                      </w:r>
                      <w:r w:rsidRPr="00EF39A8">
                        <w:rPr>
                          <w:sz w:val="17"/>
                          <w:szCs w:val="17"/>
                        </w:rPr>
                        <w:t xml:space="preserve"> Pakistan; Samoa</w:t>
                      </w:r>
                    </w:p>
                    <w:p w14:paraId="0E52FF12" w14:textId="663F7E8F" w:rsidR="00BA1CB3" w:rsidRPr="00EF39A8" w:rsidRDefault="00BA1CB3" w:rsidP="00CC243B">
                      <w:pPr>
                        <w:pStyle w:val="TextboxBulletLvl1"/>
                        <w:numPr>
                          <w:ilvl w:val="0"/>
                          <w:numId w:val="4"/>
                        </w:numPr>
                        <w:spacing w:before="0" w:after="0"/>
                        <w:rPr>
                          <w:rFonts w:eastAsia="Calibri"/>
                          <w:sz w:val="17"/>
                          <w:szCs w:val="17"/>
                        </w:rPr>
                      </w:pPr>
                      <w:r w:rsidRPr="00EF39A8">
                        <w:rPr>
                          <w:rFonts w:eastAsia="Calibri"/>
                          <w:b/>
                          <w:bCs/>
                          <w:sz w:val="17"/>
                          <w:szCs w:val="17"/>
                        </w:rPr>
                        <w:t>Europe:</w:t>
                      </w:r>
                      <w:r w:rsidR="00132792" w:rsidRPr="00EF39A8">
                        <w:rPr>
                          <w:rFonts w:eastAsia="Calibri"/>
                          <w:sz w:val="17"/>
                          <w:szCs w:val="17"/>
                        </w:rPr>
                        <w:t xml:space="preserve"> Belarus; Kyrgyzstan</w:t>
                      </w:r>
                    </w:p>
                    <w:p w14:paraId="44CB098B" w14:textId="2CE712CF" w:rsidR="00B70B14" w:rsidRPr="00EF39A8" w:rsidRDefault="00B70B14" w:rsidP="00CC243B">
                      <w:pPr>
                        <w:pStyle w:val="TextboxBulletLvl1"/>
                        <w:numPr>
                          <w:ilvl w:val="0"/>
                          <w:numId w:val="4"/>
                        </w:numPr>
                        <w:spacing w:before="0" w:after="0"/>
                        <w:rPr>
                          <w:rFonts w:eastAsia="Calibri"/>
                          <w:sz w:val="17"/>
                          <w:szCs w:val="17"/>
                        </w:rPr>
                      </w:pPr>
                      <w:r w:rsidRPr="00EF39A8">
                        <w:rPr>
                          <w:b/>
                          <w:bCs/>
                          <w:sz w:val="17"/>
                          <w:szCs w:val="17"/>
                        </w:rPr>
                        <w:t>La</w:t>
                      </w:r>
                      <w:r w:rsidR="006332A4" w:rsidRPr="00EF39A8">
                        <w:rPr>
                          <w:b/>
                          <w:bCs/>
                          <w:sz w:val="17"/>
                          <w:szCs w:val="17"/>
                        </w:rPr>
                        <w:t>tin America and the Caribbean:</w:t>
                      </w:r>
                      <w:r w:rsidR="006332A4" w:rsidRPr="00EF39A8">
                        <w:rPr>
                          <w:sz w:val="17"/>
                          <w:szCs w:val="17"/>
                        </w:rPr>
                        <w:t xml:space="preserve"> </w:t>
                      </w:r>
                      <w:r w:rsidR="001D3261" w:rsidRPr="00EF39A8">
                        <w:rPr>
                          <w:sz w:val="17"/>
                          <w:szCs w:val="17"/>
                        </w:rPr>
                        <w:t>Costa Rica; Dominican Republic</w:t>
                      </w:r>
                    </w:p>
                    <w:p w14:paraId="17A32B9F" w14:textId="6233B50C" w:rsidR="00B70B14" w:rsidRPr="00EF39A8" w:rsidRDefault="00BA1CB3" w:rsidP="00CC243B">
                      <w:pPr>
                        <w:pStyle w:val="TextboxBulletLvl1"/>
                        <w:numPr>
                          <w:ilvl w:val="0"/>
                          <w:numId w:val="4"/>
                        </w:numPr>
                        <w:spacing w:before="0" w:after="0"/>
                        <w:rPr>
                          <w:rFonts w:eastAsia="Calibri"/>
                          <w:sz w:val="17"/>
                          <w:szCs w:val="17"/>
                        </w:rPr>
                      </w:pPr>
                      <w:r w:rsidRPr="00EF39A8">
                        <w:rPr>
                          <w:b/>
                          <w:bCs/>
                          <w:sz w:val="17"/>
                          <w:szCs w:val="17"/>
                        </w:rPr>
                        <w:t>Western Asia:</w:t>
                      </w:r>
                      <w:r w:rsidR="00B70B14" w:rsidRPr="00EF39A8">
                        <w:rPr>
                          <w:sz w:val="17"/>
                          <w:szCs w:val="17"/>
                        </w:rPr>
                        <w:t xml:space="preserve"> </w:t>
                      </w:r>
                      <w:r w:rsidR="00132792" w:rsidRPr="00EF39A8">
                        <w:rPr>
                          <w:sz w:val="17"/>
                          <w:szCs w:val="17"/>
                        </w:rPr>
                        <w:t>Egypt; Jordan</w:t>
                      </w:r>
                    </w:p>
                    <w:p w14:paraId="69CD379E" w14:textId="5AEE158B" w:rsidR="00B70B14" w:rsidRPr="00EF39A8" w:rsidRDefault="0020206E" w:rsidP="00B70B14">
                      <w:pPr>
                        <w:pStyle w:val="TextboxText"/>
                        <w:rPr>
                          <w:b/>
                          <w:bCs/>
                          <w:noProof w:val="0"/>
                          <w:sz w:val="17"/>
                          <w:szCs w:val="17"/>
                        </w:rPr>
                      </w:pPr>
                      <w:r w:rsidRPr="00EF39A8">
                        <w:rPr>
                          <w:b/>
                          <w:bCs/>
                          <w:noProof w:val="0"/>
                          <w:sz w:val="17"/>
                          <w:szCs w:val="17"/>
                        </w:rPr>
                        <w:t xml:space="preserve">Executing </w:t>
                      </w:r>
                      <w:r w:rsidR="002C54DE" w:rsidRPr="00EF39A8">
                        <w:rPr>
                          <w:b/>
                          <w:bCs/>
                          <w:noProof w:val="0"/>
                          <w:sz w:val="17"/>
                          <w:szCs w:val="17"/>
                        </w:rPr>
                        <w:t>Entities</w:t>
                      </w:r>
                      <w:r w:rsidR="00B70B14" w:rsidRPr="00EF39A8">
                        <w:rPr>
                          <w:b/>
                          <w:bCs/>
                          <w:noProof w:val="0"/>
                          <w:sz w:val="17"/>
                          <w:szCs w:val="17"/>
                        </w:rPr>
                        <w:t xml:space="preserve">: </w:t>
                      </w:r>
                    </w:p>
                    <w:p w14:paraId="00DBA5D5" w14:textId="10661454" w:rsidR="00B70B14" w:rsidRPr="00EF39A8" w:rsidRDefault="009A7925" w:rsidP="00CC243B">
                      <w:pPr>
                        <w:pStyle w:val="TextboxBulletLvl1"/>
                        <w:numPr>
                          <w:ilvl w:val="0"/>
                          <w:numId w:val="4"/>
                        </w:numPr>
                        <w:spacing w:before="0" w:after="0"/>
                        <w:rPr>
                          <w:sz w:val="17"/>
                          <w:szCs w:val="17"/>
                        </w:rPr>
                      </w:pPr>
                      <w:r w:rsidRPr="00EF39A8">
                        <w:rPr>
                          <w:sz w:val="17"/>
                          <w:szCs w:val="17"/>
                        </w:rPr>
                        <w:t>United Nations De</w:t>
                      </w:r>
                      <w:r w:rsidR="003158C1" w:rsidRPr="00EF39A8">
                        <w:rPr>
                          <w:sz w:val="17"/>
                          <w:szCs w:val="17"/>
                        </w:rPr>
                        <w:t>partment of Economic and Social Affairs (</w:t>
                      </w:r>
                      <w:r w:rsidR="002C54DE" w:rsidRPr="00EF39A8">
                        <w:rPr>
                          <w:sz w:val="17"/>
                          <w:szCs w:val="17"/>
                        </w:rPr>
                        <w:t>UNDESA</w:t>
                      </w:r>
                      <w:r w:rsidR="003158C1" w:rsidRPr="00EF39A8">
                        <w:rPr>
                          <w:sz w:val="17"/>
                          <w:szCs w:val="17"/>
                        </w:rPr>
                        <w:t>)</w:t>
                      </w:r>
                    </w:p>
                    <w:p w14:paraId="05759268" w14:textId="562A854F" w:rsidR="00B70B14" w:rsidRPr="00EF39A8" w:rsidRDefault="00E97578" w:rsidP="00CC243B">
                      <w:pPr>
                        <w:pStyle w:val="TextboxBulletLvl1"/>
                        <w:numPr>
                          <w:ilvl w:val="0"/>
                          <w:numId w:val="4"/>
                        </w:numPr>
                        <w:spacing w:before="0" w:after="0"/>
                        <w:rPr>
                          <w:sz w:val="17"/>
                          <w:szCs w:val="17"/>
                        </w:rPr>
                      </w:pPr>
                      <w:r w:rsidRPr="00EF39A8">
                        <w:rPr>
                          <w:sz w:val="17"/>
                          <w:szCs w:val="17"/>
                        </w:rPr>
                        <w:t>United Nations Economic Commission for Africa (UNECA);</w:t>
                      </w:r>
                    </w:p>
                    <w:p w14:paraId="0A7E51D7" w14:textId="5BFF7D1D" w:rsidR="00B70B14" w:rsidRPr="00EF39A8" w:rsidRDefault="00472E66" w:rsidP="00CC243B">
                      <w:pPr>
                        <w:pStyle w:val="TextboxBulletLvl1"/>
                        <w:numPr>
                          <w:ilvl w:val="0"/>
                          <w:numId w:val="4"/>
                        </w:numPr>
                        <w:spacing w:before="0" w:after="0"/>
                        <w:rPr>
                          <w:sz w:val="17"/>
                          <w:szCs w:val="17"/>
                        </w:rPr>
                      </w:pPr>
                      <w:r w:rsidRPr="00EF39A8">
                        <w:rPr>
                          <w:sz w:val="17"/>
                          <w:szCs w:val="17"/>
                        </w:rPr>
                        <w:t xml:space="preserve">United Nations </w:t>
                      </w:r>
                      <w:r w:rsidR="007E1597" w:rsidRPr="00EF39A8">
                        <w:rPr>
                          <w:sz w:val="17"/>
                          <w:szCs w:val="17"/>
                        </w:rPr>
                        <w:t>Economic Commission for Europe (</w:t>
                      </w:r>
                      <w:r w:rsidR="002C54DE" w:rsidRPr="00EF39A8">
                        <w:rPr>
                          <w:sz w:val="17"/>
                          <w:szCs w:val="17"/>
                        </w:rPr>
                        <w:t>UNECE</w:t>
                      </w:r>
                      <w:r w:rsidR="007E1597" w:rsidRPr="00EF39A8">
                        <w:rPr>
                          <w:sz w:val="17"/>
                          <w:szCs w:val="17"/>
                        </w:rPr>
                        <w:t>)</w:t>
                      </w:r>
                    </w:p>
                    <w:p w14:paraId="4A5F37BF" w14:textId="09C7FEF8" w:rsidR="00B23799" w:rsidRPr="00EF39A8" w:rsidRDefault="00B23799" w:rsidP="00CC243B">
                      <w:pPr>
                        <w:pStyle w:val="TextboxBulletLvl1"/>
                        <w:numPr>
                          <w:ilvl w:val="0"/>
                          <w:numId w:val="4"/>
                        </w:numPr>
                        <w:spacing w:before="0" w:after="0"/>
                        <w:rPr>
                          <w:sz w:val="17"/>
                          <w:szCs w:val="17"/>
                        </w:rPr>
                      </w:pPr>
                      <w:r w:rsidRPr="00EF39A8">
                        <w:rPr>
                          <w:sz w:val="17"/>
                          <w:szCs w:val="17"/>
                        </w:rPr>
                        <w:t>United Nations Economic Commission for Latin America and the Caribbean (</w:t>
                      </w:r>
                      <w:r w:rsidR="00D620A0" w:rsidRPr="00EF39A8">
                        <w:rPr>
                          <w:sz w:val="17"/>
                          <w:szCs w:val="17"/>
                        </w:rPr>
                        <w:t>UN</w:t>
                      </w:r>
                      <w:r w:rsidRPr="00EF39A8">
                        <w:rPr>
                          <w:sz w:val="17"/>
                          <w:szCs w:val="17"/>
                        </w:rPr>
                        <w:t>ECLAC)</w:t>
                      </w:r>
                    </w:p>
                    <w:p w14:paraId="2B164A9B" w14:textId="15297AF7" w:rsidR="00B70B14" w:rsidRPr="00EF39A8" w:rsidRDefault="00472E66" w:rsidP="00CC243B">
                      <w:pPr>
                        <w:pStyle w:val="TextboxBulletLvl1"/>
                        <w:numPr>
                          <w:ilvl w:val="0"/>
                          <w:numId w:val="4"/>
                        </w:numPr>
                        <w:spacing w:before="0" w:after="0"/>
                        <w:rPr>
                          <w:sz w:val="17"/>
                          <w:szCs w:val="17"/>
                        </w:rPr>
                      </w:pPr>
                      <w:r w:rsidRPr="00EF39A8">
                        <w:rPr>
                          <w:sz w:val="17"/>
                          <w:szCs w:val="17"/>
                        </w:rPr>
                        <w:t>United Nations Economic and Social Commission for Asia and the Pacific (UNESCAP)</w:t>
                      </w:r>
                    </w:p>
                    <w:p w14:paraId="1138D7F0" w14:textId="558C8391" w:rsidR="00B70B14" w:rsidRPr="00EF39A8" w:rsidRDefault="00961613" w:rsidP="00CC243B">
                      <w:pPr>
                        <w:pStyle w:val="TextboxBulletLvl1"/>
                        <w:numPr>
                          <w:ilvl w:val="0"/>
                          <w:numId w:val="4"/>
                        </w:numPr>
                        <w:spacing w:before="0" w:after="0"/>
                        <w:rPr>
                          <w:sz w:val="17"/>
                          <w:szCs w:val="17"/>
                        </w:rPr>
                      </w:pPr>
                      <w:r w:rsidRPr="00EF39A8">
                        <w:rPr>
                          <w:sz w:val="17"/>
                          <w:szCs w:val="17"/>
                        </w:rPr>
                        <w:t>United Nations Economic and Social Commission for Western Asia (</w:t>
                      </w:r>
                      <w:r w:rsidR="00F77563" w:rsidRPr="00EF39A8">
                        <w:rPr>
                          <w:sz w:val="17"/>
                          <w:szCs w:val="17"/>
                        </w:rPr>
                        <w:t>UNESCWA</w:t>
                      </w:r>
                      <w:r w:rsidRPr="00EF39A8">
                        <w:rPr>
                          <w:sz w:val="17"/>
                          <w:szCs w:val="17"/>
                        </w:rPr>
                        <w:t>)</w:t>
                      </w:r>
                    </w:p>
                    <w:p w14:paraId="763B82EB" w14:textId="08583C5E" w:rsidR="00F77563" w:rsidRPr="00EF39A8" w:rsidRDefault="002603EA" w:rsidP="00CC243B">
                      <w:pPr>
                        <w:pStyle w:val="TextboxBulletLvl1"/>
                        <w:numPr>
                          <w:ilvl w:val="0"/>
                          <w:numId w:val="4"/>
                        </w:numPr>
                        <w:spacing w:before="0" w:after="0"/>
                        <w:rPr>
                          <w:sz w:val="17"/>
                          <w:szCs w:val="17"/>
                        </w:rPr>
                      </w:pPr>
                      <w:r w:rsidRPr="00EF39A8">
                        <w:rPr>
                          <w:sz w:val="17"/>
                          <w:szCs w:val="17"/>
                        </w:rPr>
                        <w:t>UN Trade and Development (</w:t>
                      </w:r>
                      <w:r w:rsidR="00F77563" w:rsidRPr="00EF39A8">
                        <w:rPr>
                          <w:sz w:val="17"/>
                          <w:szCs w:val="17"/>
                        </w:rPr>
                        <w:t>UNCTAD</w:t>
                      </w:r>
                      <w:r w:rsidRPr="00EF39A8">
                        <w:rPr>
                          <w:sz w:val="17"/>
                          <w:szCs w:val="17"/>
                        </w:rPr>
                        <w:t>)</w:t>
                      </w:r>
                    </w:p>
                    <w:p w14:paraId="4CC0BDA5" w14:textId="6E9C20EC" w:rsidR="00B70B14" w:rsidRPr="00EF39A8" w:rsidRDefault="00B70B14" w:rsidP="00B70B14">
                      <w:pPr>
                        <w:pStyle w:val="TextboxText"/>
                        <w:rPr>
                          <w:b/>
                          <w:bCs/>
                          <w:noProof w:val="0"/>
                          <w:sz w:val="17"/>
                          <w:szCs w:val="17"/>
                        </w:rPr>
                      </w:pPr>
                      <w:r w:rsidRPr="00EF39A8">
                        <w:rPr>
                          <w:b/>
                          <w:bCs/>
                          <w:noProof w:val="0"/>
                          <w:sz w:val="17"/>
                          <w:szCs w:val="17"/>
                        </w:rPr>
                        <w:t xml:space="preserve">Cooperating Entities within the UN </w:t>
                      </w:r>
                      <w:r w:rsidR="00E97578" w:rsidRPr="00EF39A8">
                        <w:rPr>
                          <w:b/>
                          <w:bCs/>
                          <w:noProof w:val="0"/>
                          <w:sz w:val="17"/>
                          <w:szCs w:val="17"/>
                        </w:rPr>
                        <w:t>Secretariat and S</w:t>
                      </w:r>
                      <w:r w:rsidRPr="00EF39A8">
                        <w:rPr>
                          <w:b/>
                          <w:bCs/>
                          <w:noProof w:val="0"/>
                          <w:sz w:val="17"/>
                          <w:szCs w:val="17"/>
                        </w:rPr>
                        <w:t xml:space="preserve">ystem: </w:t>
                      </w:r>
                    </w:p>
                    <w:p w14:paraId="72966239" w14:textId="613F784B" w:rsidR="00B70B14" w:rsidRPr="00EF39A8" w:rsidRDefault="00A06EB1" w:rsidP="00CC243B">
                      <w:pPr>
                        <w:pStyle w:val="TextboxBulletLvl1"/>
                        <w:numPr>
                          <w:ilvl w:val="0"/>
                          <w:numId w:val="4"/>
                        </w:numPr>
                        <w:spacing w:before="0" w:after="0"/>
                        <w:rPr>
                          <w:sz w:val="17"/>
                          <w:szCs w:val="17"/>
                        </w:rPr>
                      </w:pPr>
                      <w:r w:rsidRPr="00EF39A8">
                        <w:rPr>
                          <w:sz w:val="17"/>
                          <w:szCs w:val="17"/>
                        </w:rPr>
                        <w:t>UN Resident Coordinator System</w:t>
                      </w:r>
                      <w:r w:rsidR="00814FD8">
                        <w:rPr>
                          <w:sz w:val="17"/>
                          <w:szCs w:val="17"/>
                        </w:rPr>
                        <w:t xml:space="preserve"> (RCO)</w:t>
                      </w:r>
                    </w:p>
                    <w:p w14:paraId="3DC9D466" w14:textId="07CDE41F" w:rsidR="00B70B14" w:rsidRPr="00EF39A8" w:rsidRDefault="00B70B14" w:rsidP="00CC243B">
                      <w:pPr>
                        <w:pStyle w:val="TextboxBulletLvl1"/>
                        <w:numPr>
                          <w:ilvl w:val="0"/>
                          <w:numId w:val="4"/>
                        </w:numPr>
                        <w:spacing w:before="0" w:after="0"/>
                        <w:rPr>
                          <w:sz w:val="17"/>
                          <w:szCs w:val="17"/>
                        </w:rPr>
                      </w:pPr>
                      <w:r w:rsidRPr="00EF39A8">
                        <w:rPr>
                          <w:sz w:val="17"/>
                          <w:szCs w:val="17"/>
                        </w:rPr>
                        <w:t>United Nations Development Programme (UNDP)</w:t>
                      </w:r>
                    </w:p>
                    <w:p w14:paraId="7CB93B16" w14:textId="3FB399B5" w:rsidR="00D30660" w:rsidRPr="00EF39A8" w:rsidRDefault="00555761" w:rsidP="00CC243B">
                      <w:pPr>
                        <w:pStyle w:val="TextboxBulletLvl1"/>
                        <w:numPr>
                          <w:ilvl w:val="0"/>
                          <w:numId w:val="4"/>
                        </w:numPr>
                        <w:spacing w:before="0" w:after="0"/>
                        <w:rPr>
                          <w:sz w:val="17"/>
                          <w:szCs w:val="17"/>
                        </w:rPr>
                      </w:pPr>
                      <w:r w:rsidRPr="00EF39A8">
                        <w:rPr>
                          <w:sz w:val="17"/>
                          <w:szCs w:val="17"/>
                          <w:lang w:val="en-GB"/>
                        </w:rPr>
                        <w:t>United Nations Educational, Scientific and Cultural Organisation (</w:t>
                      </w:r>
                      <w:r w:rsidR="00D30660" w:rsidRPr="00EF39A8">
                        <w:rPr>
                          <w:sz w:val="17"/>
                          <w:szCs w:val="17"/>
                        </w:rPr>
                        <w:t>U</w:t>
                      </w:r>
                      <w:r w:rsidR="00A74B6C" w:rsidRPr="00EF39A8">
                        <w:rPr>
                          <w:sz w:val="17"/>
                          <w:szCs w:val="17"/>
                        </w:rPr>
                        <w:t>NESCO</w:t>
                      </w:r>
                      <w:r w:rsidRPr="00EF39A8">
                        <w:rPr>
                          <w:sz w:val="17"/>
                          <w:szCs w:val="17"/>
                        </w:rPr>
                        <w:t>)</w:t>
                      </w:r>
                    </w:p>
                    <w:p w14:paraId="1C400D48" w14:textId="7A928A61" w:rsidR="00A74B6C" w:rsidRPr="00EF39A8" w:rsidRDefault="00D51574" w:rsidP="00CC243B">
                      <w:pPr>
                        <w:pStyle w:val="TextboxBulletLvl1"/>
                        <w:numPr>
                          <w:ilvl w:val="0"/>
                          <w:numId w:val="4"/>
                        </w:numPr>
                        <w:spacing w:before="0" w:after="0"/>
                        <w:rPr>
                          <w:sz w:val="17"/>
                          <w:szCs w:val="17"/>
                        </w:rPr>
                      </w:pPr>
                      <w:r w:rsidRPr="00EF39A8">
                        <w:rPr>
                          <w:sz w:val="17"/>
                          <w:szCs w:val="17"/>
                          <w:lang w:val="en-GB"/>
                        </w:rPr>
                        <w:t>United Nations</w:t>
                      </w:r>
                      <w:r w:rsidRPr="00EF39A8">
                        <w:rPr>
                          <w:sz w:val="17"/>
                          <w:szCs w:val="17"/>
                        </w:rPr>
                        <w:t xml:space="preserve"> Children’s Fund (</w:t>
                      </w:r>
                      <w:r w:rsidR="00A74B6C" w:rsidRPr="00EF39A8">
                        <w:rPr>
                          <w:sz w:val="17"/>
                          <w:szCs w:val="17"/>
                        </w:rPr>
                        <w:t>UNICEF</w:t>
                      </w:r>
                      <w:r w:rsidRPr="00EF39A8">
                        <w:rPr>
                          <w:sz w:val="17"/>
                          <w:szCs w:val="17"/>
                        </w:rPr>
                        <w:t>)</w:t>
                      </w:r>
                    </w:p>
                    <w:p w14:paraId="2ED583A0" w14:textId="33629C62" w:rsidR="00A74B6C" w:rsidRPr="00EF39A8" w:rsidRDefault="00640DF9" w:rsidP="00CC243B">
                      <w:pPr>
                        <w:pStyle w:val="TextboxBulletLvl1"/>
                        <w:numPr>
                          <w:ilvl w:val="0"/>
                          <w:numId w:val="4"/>
                        </w:numPr>
                        <w:spacing w:before="0" w:after="0"/>
                        <w:rPr>
                          <w:sz w:val="17"/>
                          <w:szCs w:val="17"/>
                        </w:rPr>
                      </w:pPr>
                      <w:r w:rsidRPr="00EF39A8">
                        <w:rPr>
                          <w:sz w:val="17"/>
                          <w:szCs w:val="17"/>
                          <w:lang w:val="en-GB"/>
                        </w:rPr>
                        <w:t>United Nations</w:t>
                      </w:r>
                      <w:r w:rsidRPr="00EF39A8">
                        <w:rPr>
                          <w:sz w:val="17"/>
                          <w:szCs w:val="17"/>
                        </w:rPr>
                        <w:t xml:space="preserve"> Institute for Training and Research (</w:t>
                      </w:r>
                      <w:r w:rsidR="00A74B6C" w:rsidRPr="00EF39A8">
                        <w:rPr>
                          <w:sz w:val="17"/>
                          <w:szCs w:val="17"/>
                        </w:rPr>
                        <w:t>UNITAR</w:t>
                      </w:r>
                      <w:r w:rsidRPr="00EF39A8">
                        <w:rPr>
                          <w:sz w:val="17"/>
                          <w:szCs w:val="17"/>
                        </w:rPr>
                        <w:t>)</w:t>
                      </w:r>
                    </w:p>
                    <w:p w14:paraId="369349F8" w14:textId="3D43293B" w:rsidR="00D30660" w:rsidRPr="00EF39A8" w:rsidRDefault="00640DF9" w:rsidP="00D30660">
                      <w:pPr>
                        <w:pStyle w:val="TextboxText"/>
                        <w:rPr>
                          <w:b/>
                          <w:bCs/>
                          <w:noProof w:val="0"/>
                          <w:sz w:val="17"/>
                          <w:szCs w:val="17"/>
                        </w:rPr>
                      </w:pPr>
                      <w:r w:rsidRPr="00EF39A8">
                        <w:rPr>
                          <w:b/>
                          <w:bCs/>
                          <w:noProof w:val="0"/>
                          <w:sz w:val="17"/>
                          <w:szCs w:val="17"/>
                        </w:rPr>
                        <w:t xml:space="preserve">Other Collaborating </w:t>
                      </w:r>
                      <w:r w:rsidR="00D30660" w:rsidRPr="00EF39A8">
                        <w:rPr>
                          <w:b/>
                          <w:bCs/>
                          <w:noProof w:val="0"/>
                          <w:sz w:val="17"/>
                          <w:szCs w:val="17"/>
                        </w:rPr>
                        <w:t xml:space="preserve">Entities: </w:t>
                      </w:r>
                    </w:p>
                    <w:p w14:paraId="325F00E9" w14:textId="7B7FAD90" w:rsidR="00D30660" w:rsidRPr="00EF39A8" w:rsidRDefault="00D5606B" w:rsidP="00CC243B">
                      <w:pPr>
                        <w:pStyle w:val="TextboxBulletLvl1"/>
                        <w:numPr>
                          <w:ilvl w:val="0"/>
                          <w:numId w:val="4"/>
                        </w:numPr>
                        <w:spacing w:before="0" w:after="0"/>
                        <w:rPr>
                          <w:sz w:val="17"/>
                          <w:szCs w:val="17"/>
                        </w:rPr>
                      </w:pPr>
                      <w:r w:rsidRPr="00EF39A8">
                        <w:rPr>
                          <w:sz w:val="17"/>
                          <w:szCs w:val="17"/>
                        </w:rPr>
                        <w:t>African Union (AU)</w:t>
                      </w:r>
                    </w:p>
                    <w:p w14:paraId="5BF06C1B" w14:textId="7CEE195A" w:rsidR="00D5606B" w:rsidRPr="00EF39A8" w:rsidRDefault="00D5606B" w:rsidP="00CC243B">
                      <w:pPr>
                        <w:pStyle w:val="TextboxBulletLvl1"/>
                        <w:numPr>
                          <w:ilvl w:val="0"/>
                          <w:numId w:val="4"/>
                        </w:numPr>
                        <w:spacing w:before="0" w:after="0"/>
                        <w:rPr>
                          <w:sz w:val="17"/>
                          <w:szCs w:val="17"/>
                        </w:rPr>
                      </w:pPr>
                      <w:r w:rsidRPr="00EF39A8">
                        <w:rPr>
                          <w:sz w:val="17"/>
                          <w:szCs w:val="17"/>
                        </w:rPr>
                        <w:t>African Development Bank (AfDB)</w:t>
                      </w:r>
                    </w:p>
                    <w:p w14:paraId="36840F26" w14:textId="77777777" w:rsidR="00D5606B" w:rsidRPr="00EF39A8" w:rsidRDefault="00D5606B" w:rsidP="00CC243B">
                      <w:pPr>
                        <w:pStyle w:val="TextboxBulletLvl1"/>
                        <w:numPr>
                          <w:ilvl w:val="0"/>
                          <w:numId w:val="4"/>
                        </w:numPr>
                        <w:spacing w:before="0" w:after="0"/>
                        <w:rPr>
                          <w:sz w:val="17"/>
                          <w:szCs w:val="17"/>
                        </w:rPr>
                      </w:pPr>
                      <w:r w:rsidRPr="00EF39A8">
                        <w:rPr>
                          <w:sz w:val="17"/>
                          <w:szCs w:val="17"/>
                        </w:rPr>
                        <w:t>African Forum and Network on Debt and Development (AFRODAD)</w:t>
                      </w:r>
                    </w:p>
                    <w:p w14:paraId="69359208" w14:textId="2FED8A1D" w:rsidR="00D5606B" w:rsidRPr="00EF39A8" w:rsidRDefault="00D5606B" w:rsidP="00CC243B">
                      <w:pPr>
                        <w:pStyle w:val="TextboxBulletLvl1"/>
                        <w:numPr>
                          <w:ilvl w:val="0"/>
                          <w:numId w:val="4"/>
                        </w:numPr>
                        <w:spacing w:before="0" w:after="0"/>
                        <w:rPr>
                          <w:sz w:val="17"/>
                          <w:szCs w:val="17"/>
                        </w:rPr>
                      </w:pPr>
                      <w:r w:rsidRPr="00EF39A8">
                        <w:rPr>
                          <w:sz w:val="17"/>
                          <w:szCs w:val="17"/>
                        </w:rPr>
                        <w:t>African Tax Administration Forum (ATAF)</w:t>
                      </w:r>
                    </w:p>
                    <w:p w14:paraId="652F2377" w14:textId="5DD42F1C" w:rsidR="00D5606B" w:rsidRPr="00EF39A8" w:rsidRDefault="00D5606B" w:rsidP="00CC243B">
                      <w:pPr>
                        <w:pStyle w:val="TextboxBulletLvl1"/>
                        <w:numPr>
                          <w:ilvl w:val="0"/>
                          <w:numId w:val="4"/>
                        </w:numPr>
                        <w:spacing w:before="0" w:after="0"/>
                        <w:rPr>
                          <w:sz w:val="17"/>
                          <w:szCs w:val="17"/>
                        </w:rPr>
                      </w:pPr>
                      <w:r w:rsidRPr="00EF39A8">
                        <w:rPr>
                          <w:sz w:val="17"/>
                          <w:szCs w:val="17"/>
                        </w:rPr>
                        <w:t>Eurasian Development Bank</w:t>
                      </w:r>
                      <w:r w:rsidR="000B0D7B">
                        <w:rPr>
                          <w:sz w:val="17"/>
                          <w:szCs w:val="17"/>
                        </w:rPr>
                        <w:t xml:space="preserve"> (EDB)</w:t>
                      </w:r>
                    </w:p>
                    <w:p w14:paraId="6A3730CE" w14:textId="1A4A295F" w:rsidR="00BC6A20" w:rsidRPr="00EF39A8" w:rsidRDefault="00BC6A20" w:rsidP="00CC243B">
                      <w:pPr>
                        <w:pStyle w:val="TextboxBulletLvl1"/>
                        <w:numPr>
                          <w:ilvl w:val="0"/>
                          <w:numId w:val="4"/>
                        </w:numPr>
                        <w:spacing w:before="0" w:after="0"/>
                        <w:rPr>
                          <w:sz w:val="17"/>
                          <w:szCs w:val="17"/>
                        </w:rPr>
                      </w:pPr>
                      <w:r w:rsidRPr="00EF39A8">
                        <w:rPr>
                          <w:sz w:val="17"/>
                          <w:szCs w:val="17"/>
                        </w:rPr>
                        <w:t>International Budget Partnership (IBP)</w:t>
                      </w:r>
                    </w:p>
                    <w:p w14:paraId="25DE11A1" w14:textId="2A21E433" w:rsidR="00BC6A20" w:rsidRPr="00EF39A8" w:rsidRDefault="00BC6A20" w:rsidP="00CC243B">
                      <w:pPr>
                        <w:pStyle w:val="TextboxBulletLvl1"/>
                        <w:numPr>
                          <w:ilvl w:val="0"/>
                          <w:numId w:val="4"/>
                        </w:numPr>
                        <w:spacing w:before="0" w:after="0"/>
                        <w:rPr>
                          <w:sz w:val="17"/>
                          <w:szCs w:val="17"/>
                        </w:rPr>
                      </w:pPr>
                      <w:r w:rsidRPr="00EF39A8">
                        <w:rPr>
                          <w:sz w:val="17"/>
                          <w:szCs w:val="17"/>
                        </w:rPr>
                        <w:t>International Monetary Fund (IMF)</w:t>
                      </w:r>
                    </w:p>
                    <w:p w14:paraId="303C8853" w14:textId="382898E5" w:rsidR="00BC6A20" w:rsidRPr="00EF39A8" w:rsidRDefault="00BC6A20" w:rsidP="00CC243B">
                      <w:pPr>
                        <w:pStyle w:val="TextboxBulletLvl1"/>
                        <w:numPr>
                          <w:ilvl w:val="0"/>
                          <w:numId w:val="4"/>
                        </w:numPr>
                        <w:spacing w:before="0" w:after="0"/>
                        <w:rPr>
                          <w:sz w:val="17"/>
                          <w:szCs w:val="17"/>
                        </w:rPr>
                      </w:pPr>
                      <w:r w:rsidRPr="00EF39A8">
                        <w:rPr>
                          <w:sz w:val="17"/>
                          <w:szCs w:val="17"/>
                        </w:rPr>
                        <w:t>Tax Justice Network Africa (TJNA)</w:t>
                      </w:r>
                    </w:p>
                    <w:p w14:paraId="02E62553" w14:textId="00177104" w:rsidR="00B70B14" w:rsidRPr="00EF39A8" w:rsidRDefault="00B70B14" w:rsidP="00B70B14">
                      <w:pPr>
                        <w:pStyle w:val="TextboxSource"/>
                        <w:rPr>
                          <w:sz w:val="17"/>
                          <w:szCs w:val="17"/>
                        </w:rPr>
                      </w:pPr>
                      <w:r w:rsidRPr="00EF39A8">
                        <w:rPr>
                          <w:sz w:val="17"/>
                          <w:szCs w:val="17"/>
                        </w:rPr>
                        <w:t>Source: Project document</w:t>
                      </w:r>
                      <w:r w:rsidR="008C1885" w:rsidRPr="00EF39A8">
                        <w:rPr>
                          <w:sz w:val="17"/>
                          <w:szCs w:val="17"/>
                        </w:rPr>
                        <w:t>;</w:t>
                      </w:r>
                      <w:r w:rsidR="00BC6A20" w:rsidRPr="00EF39A8">
                        <w:rPr>
                          <w:sz w:val="17"/>
                          <w:szCs w:val="17"/>
                        </w:rPr>
                        <w:t xml:space="preserve"> Final </w:t>
                      </w:r>
                      <w:r w:rsidR="00B3087C">
                        <w:rPr>
                          <w:sz w:val="17"/>
                          <w:szCs w:val="17"/>
                        </w:rPr>
                        <w:t>p</w:t>
                      </w:r>
                      <w:r w:rsidR="00244A61" w:rsidRPr="00EF39A8">
                        <w:rPr>
                          <w:sz w:val="17"/>
                          <w:szCs w:val="17"/>
                        </w:rPr>
                        <w:t>ro</w:t>
                      </w:r>
                      <w:r w:rsidR="000B0D7B">
                        <w:rPr>
                          <w:sz w:val="17"/>
                          <w:szCs w:val="17"/>
                        </w:rPr>
                        <w:t>ject</w:t>
                      </w:r>
                      <w:r w:rsidR="00244A61" w:rsidRPr="00EF39A8">
                        <w:rPr>
                          <w:sz w:val="17"/>
                          <w:szCs w:val="17"/>
                        </w:rPr>
                        <w:t xml:space="preserve"> </w:t>
                      </w:r>
                      <w:r w:rsidR="00B3087C">
                        <w:rPr>
                          <w:sz w:val="17"/>
                          <w:szCs w:val="17"/>
                        </w:rPr>
                        <w:t>r</w:t>
                      </w:r>
                      <w:r w:rsidR="00244A61" w:rsidRPr="00EF39A8">
                        <w:rPr>
                          <w:sz w:val="17"/>
                          <w:szCs w:val="17"/>
                        </w:rPr>
                        <w:t>eport</w:t>
                      </w:r>
                    </w:p>
                  </w:txbxContent>
                </v:textbox>
                <w10:anchorlock/>
              </v:shape>
            </w:pict>
          </mc:Fallback>
        </mc:AlternateContent>
      </w:r>
    </w:p>
    <w:p w14:paraId="291C656D" w14:textId="52329394" w:rsidR="00B70B14" w:rsidRPr="00B70B14" w:rsidRDefault="00B70B14" w:rsidP="00B70B14">
      <w:pPr>
        <w:sectPr w:rsidR="00B70B14" w:rsidRPr="00B70B14" w:rsidSect="00EF39A8">
          <w:type w:val="continuous"/>
          <w:pgSz w:w="12240" w:h="15840" w:code="1"/>
          <w:pgMar w:top="1276" w:right="1276" w:bottom="3686" w:left="1276" w:header="720" w:footer="720" w:gutter="0"/>
          <w:cols w:num="2" w:space="397"/>
          <w:docGrid w:linePitch="360"/>
        </w:sectPr>
      </w:pPr>
    </w:p>
    <w:p w14:paraId="6948A98F" w14:textId="4DEA1056" w:rsidR="00875969" w:rsidRPr="004E44D8" w:rsidRDefault="00875969" w:rsidP="00380878">
      <w:pPr>
        <w:pStyle w:val="Heading1"/>
        <w:numPr>
          <w:ilvl w:val="0"/>
          <w:numId w:val="3"/>
        </w:numPr>
      </w:pPr>
      <w:bookmarkStart w:id="6" w:name="_Toc210730306"/>
      <w:r w:rsidRPr="004E44D8">
        <w:lastRenderedPageBreak/>
        <w:t>Description of the Project</w:t>
      </w:r>
      <w:bookmarkEnd w:id="6"/>
    </w:p>
    <w:p w14:paraId="77D73B0E" w14:textId="1B84D6A5" w:rsidR="00875969" w:rsidRPr="0078167E" w:rsidRDefault="00875969" w:rsidP="00CE5D29">
      <w:pPr>
        <w:pStyle w:val="Heading2"/>
      </w:pPr>
      <w:bookmarkStart w:id="7" w:name="_Toc210730307"/>
      <w:r w:rsidRPr="0078167E">
        <w:t>Background</w:t>
      </w:r>
      <w:bookmarkEnd w:id="7"/>
    </w:p>
    <w:p w14:paraId="4DE44B1C" w14:textId="77777777" w:rsidR="00B70B14" w:rsidRDefault="00B70B14" w:rsidP="00F34B94">
      <w:pPr>
        <w:pStyle w:val="BodyText"/>
        <w:sectPr w:rsidR="00B70B14" w:rsidSect="00F666A1">
          <w:type w:val="continuous"/>
          <w:pgSz w:w="12240" w:h="15840" w:code="1"/>
          <w:pgMar w:top="1276" w:right="1276" w:bottom="1588" w:left="1276" w:header="720" w:footer="720" w:gutter="0"/>
          <w:cols w:space="720"/>
          <w:docGrid w:linePitch="360"/>
        </w:sectPr>
      </w:pPr>
    </w:p>
    <w:p w14:paraId="68C40648" w14:textId="13B2E0C2" w:rsidR="00D75AFE" w:rsidRPr="00D6692D" w:rsidRDefault="00D7792D" w:rsidP="00D75AFE">
      <w:pPr>
        <w:pStyle w:val="Heading3"/>
        <w:rPr>
          <w:lang w:eastAsia="en-US"/>
        </w:rPr>
      </w:pPr>
      <w:r>
        <w:rPr>
          <w:lang w:eastAsia="en-US"/>
        </w:rPr>
        <w:t>Project r</w:t>
      </w:r>
      <w:r w:rsidR="002273E8">
        <w:rPr>
          <w:lang w:eastAsia="en-US"/>
        </w:rPr>
        <w:t>ationale</w:t>
      </w:r>
    </w:p>
    <w:p w14:paraId="3BAA8979" w14:textId="48E3C362" w:rsidR="009A2160" w:rsidRDefault="009418A9" w:rsidP="00B33ADF">
      <w:pPr>
        <w:pStyle w:val="BodyText"/>
        <w:rPr>
          <w:lang w:val="en-GB"/>
        </w:rPr>
      </w:pPr>
      <w:r>
        <w:t>The rational</w:t>
      </w:r>
      <w:r w:rsidR="00105D30">
        <w:t>e</w:t>
      </w:r>
      <w:r>
        <w:t xml:space="preserve"> for the </w:t>
      </w:r>
      <w:r w:rsidR="00A34822">
        <w:t xml:space="preserve">INFF project was </w:t>
      </w:r>
      <w:r w:rsidR="00334B3A">
        <w:t xml:space="preserve">the </w:t>
      </w:r>
      <w:hyperlink r:id="rId16" w:history="1">
        <w:r w:rsidR="00334B3A" w:rsidRPr="00380868">
          <w:rPr>
            <w:rStyle w:val="Hyperlink"/>
          </w:rPr>
          <w:t xml:space="preserve">2015 Addis Ababa </w:t>
        </w:r>
        <w:r w:rsidR="006517D6" w:rsidRPr="00380868">
          <w:rPr>
            <w:rStyle w:val="Hyperlink"/>
          </w:rPr>
          <w:t xml:space="preserve">Action </w:t>
        </w:r>
        <w:r w:rsidR="00334B3A" w:rsidRPr="00380868">
          <w:rPr>
            <w:rStyle w:val="Hyperlink"/>
          </w:rPr>
          <w:t>Agenda</w:t>
        </w:r>
      </w:hyperlink>
      <w:r w:rsidR="00334B3A">
        <w:t xml:space="preserve"> (the</w:t>
      </w:r>
      <w:r w:rsidR="009439B5">
        <w:t xml:space="preserve"> </w:t>
      </w:r>
      <w:r w:rsidR="00334B3A">
        <w:t>Addis Agenda)</w:t>
      </w:r>
      <w:r w:rsidR="00325782">
        <w:t>, which</w:t>
      </w:r>
      <w:r w:rsidR="004975D4">
        <w:t xml:space="preserve"> was endorsed by the </w:t>
      </w:r>
      <w:r w:rsidR="006C72FC">
        <w:rPr>
          <w:lang w:val="en-GB"/>
        </w:rPr>
        <w:t>UN</w:t>
      </w:r>
      <w:r w:rsidR="00BB006D">
        <w:rPr>
          <w:lang w:val="en-GB"/>
        </w:rPr>
        <w:t xml:space="preserve"> General Assembly</w:t>
      </w:r>
      <w:r w:rsidR="00363398">
        <w:rPr>
          <w:rStyle w:val="FootnoteReference"/>
          <w:lang w:val="en-GB"/>
        </w:rPr>
        <w:footnoteReference w:id="5"/>
      </w:r>
      <w:r w:rsidR="009D3A3D">
        <w:rPr>
          <w:lang w:val="en-GB"/>
        </w:rPr>
        <w:t xml:space="preserve"> and</w:t>
      </w:r>
      <w:r w:rsidR="001517AB">
        <w:rPr>
          <w:lang w:val="en-GB"/>
        </w:rPr>
        <w:t xml:space="preserve"> </w:t>
      </w:r>
      <w:r w:rsidR="002505D1">
        <w:rPr>
          <w:lang w:val="en-GB"/>
        </w:rPr>
        <w:t xml:space="preserve">has </w:t>
      </w:r>
      <w:r w:rsidR="00BF28FA">
        <w:t>document</w:t>
      </w:r>
      <w:r w:rsidR="00B02B66">
        <w:t>ed</w:t>
      </w:r>
      <w:r w:rsidR="00BF28FA">
        <w:t xml:space="preserve"> </w:t>
      </w:r>
      <w:r w:rsidR="00325782">
        <w:t xml:space="preserve">the commitment of </w:t>
      </w:r>
      <w:r w:rsidR="008C5825">
        <w:t xml:space="preserve">UN </w:t>
      </w:r>
      <w:r w:rsidR="00325782">
        <w:rPr>
          <w:lang w:val="en-GB"/>
        </w:rPr>
        <w:t>Member States</w:t>
      </w:r>
      <w:r w:rsidR="006709F1">
        <w:rPr>
          <w:lang w:val="en-GB"/>
        </w:rPr>
        <w:t xml:space="preserve"> </w:t>
      </w:r>
      <w:r w:rsidR="002F1F2D">
        <w:rPr>
          <w:lang w:val="en-GB"/>
        </w:rPr>
        <w:t xml:space="preserve">to </w:t>
      </w:r>
      <w:r w:rsidR="00F80D09">
        <w:rPr>
          <w:lang w:val="en-GB"/>
        </w:rPr>
        <w:t>an enabling environment for sustainable development</w:t>
      </w:r>
      <w:r w:rsidR="00B27D32">
        <w:rPr>
          <w:lang w:val="en-GB"/>
        </w:rPr>
        <w:t xml:space="preserve"> at all levels</w:t>
      </w:r>
      <w:r w:rsidR="005278A2">
        <w:rPr>
          <w:lang w:val="en-GB"/>
        </w:rPr>
        <w:t xml:space="preserve">. </w:t>
      </w:r>
      <w:r w:rsidR="00CE0CA0">
        <w:rPr>
          <w:lang w:val="en-GB"/>
        </w:rPr>
        <w:t xml:space="preserve">There </w:t>
      </w:r>
      <w:r w:rsidR="004C0124">
        <w:rPr>
          <w:lang w:val="en-GB"/>
        </w:rPr>
        <w:t xml:space="preserve">has been </w:t>
      </w:r>
      <w:r w:rsidR="00CE0CA0">
        <w:rPr>
          <w:lang w:val="en-GB"/>
        </w:rPr>
        <w:t xml:space="preserve">specific emphasis on </w:t>
      </w:r>
      <w:r w:rsidR="00084811">
        <w:rPr>
          <w:lang w:val="en-GB"/>
        </w:rPr>
        <w:t xml:space="preserve">the development of </w:t>
      </w:r>
      <w:r w:rsidR="00356E3B">
        <w:rPr>
          <w:lang w:val="en-GB"/>
        </w:rPr>
        <w:t>c</w:t>
      </w:r>
      <w:r w:rsidR="00141636">
        <w:rPr>
          <w:lang w:val="en-GB"/>
        </w:rPr>
        <w:t>ohesive</w:t>
      </w:r>
      <w:r w:rsidR="009549C6">
        <w:rPr>
          <w:lang w:val="en-GB"/>
        </w:rPr>
        <w:t xml:space="preserve">, </w:t>
      </w:r>
      <w:r w:rsidR="00084811">
        <w:rPr>
          <w:lang w:val="en-GB"/>
        </w:rPr>
        <w:t>nationally-owned strategies</w:t>
      </w:r>
      <w:r w:rsidR="00900F67">
        <w:rPr>
          <w:lang w:val="en-GB"/>
        </w:rPr>
        <w:t xml:space="preserve">, </w:t>
      </w:r>
      <w:r w:rsidR="00D065EB">
        <w:rPr>
          <w:lang w:val="en-GB"/>
        </w:rPr>
        <w:t xml:space="preserve">to support </w:t>
      </w:r>
      <w:r w:rsidR="00195798">
        <w:rPr>
          <w:lang w:val="en-GB"/>
        </w:rPr>
        <w:t xml:space="preserve">the </w:t>
      </w:r>
      <w:r w:rsidR="00563CEB">
        <w:rPr>
          <w:lang w:val="en-GB"/>
        </w:rPr>
        <w:t xml:space="preserve">operationalisation of the post-2015 </w:t>
      </w:r>
      <w:r w:rsidR="00464ECF">
        <w:rPr>
          <w:lang w:val="en-GB"/>
        </w:rPr>
        <w:t>d</w:t>
      </w:r>
      <w:r w:rsidR="00563CEB">
        <w:rPr>
          <w:lang w:val="en-GB"/>
        </w:rPr>
        <w:t xml:space="preserve">evelopment </w:t>
      </w:r>
      <w:r w:rsidR="00464ECF">
        <w:rPr>
          <w:lang w:val="en-GB"/>
        </w:rPr>
        <w:t>a</w:t>
      </w:r>
      <w:r w:rsidR="00563CEB">
        <w:rPr>
          <w:lang w:val="en-GB"/>
        </w:rPr>
        <w:t>genda</w:t>
      </w:r>
      <w:r w:rsidR="00E57FF3">
        <w:rPr>
          <w:lang w:val="en-GB"/>
        </w:rPr>
        <w:t>.</w:t>
      </w:r>
      <w:r w:rsidR="00563CEB">
        <w:rPr>
          <w:rStyle w:val="FootnoteReference"/>
          <w:lang w:val="en-GB"/>
        </w:rPr>
        <w:footnoteReference w:id="6"/>
      </w:r>
      <w:r w:rsidR="00E57FF3">
        <w:rPr>
          <w:lang w:val="en-GB"/>
        </w:rPr>
        <w:t xml:space="preserve"> </w:t>
      </w:r>
    </w:p>
    <w:p w14:paraId="47E4341D" w14:textId="23241E49" w:rsidR="00013D58" w:rsidRDefault="00D97E92" w:rsidP="00B33ADF">
      <w:pPr>
        <w:pStyle w:val="BodyText"/>
        <w:rPr>
          <w:lang w:val="en-GB"/>
        </w:rPr>
      </w:pPr>
      <w:r>
        <w:rPr>
          <w:lang w:val="en-GB"/>
        </w:rPr>
        <w:t>To facilitate sustai</w:t>
      </w:r>
      <w:r w:rsidR="00ED18A1">
        <w:rPr>
          <w:lang w:val="en-GB"/>
        </w:rPr>
        <w:t xml:space="preserve">nable development, including the </w:t>
      </w:r>
      <w:r w:rsidR="003646AF">
        <w:rPr>
          <w:lang w:val="en-GB"/>
        </w:rPr>
        <w:t xml:space="preserve">eradication of </w:t>
      </w:r>
      <w:r w:rsidR="00490B6C">
        <w:rPr>
          <w:lang w:val="en-GB"/>
        </w:rPr>
        <w:t xml:space="preserve">poverty and </w:t>
      </w:r>
      <w:r w:rsidR="003646AF">
        <w:rPr>
          <w:lang w:val="en-GB"/>
        </w:rPr>
        <w:t>hunger</w:t>
      </w:r>
      <w:r w:rsidR="00377A8F">
        <w:rPr>
          <w:lang w:val="en-GB"/>
        </w:rPr>
        <w:t xml:space="preserve">, </w:t>
      </w:r>
      <w:r w:rsidR="00ED18A1">
        <w:rPr>
          <w:lang w:val="en-GB"/>
        </w:rPr>
        <w:t>the</w:t>
      </w:r>
      <w:r w:rsidR="00E57FF3">
        <w:rPr>
          <w:lang w:val="en-GB"/>
        </w:rPr>
        <w:t xml:space="preserve"> </w:t>
      </w:r>
      <w:r w:rsidR="00550CD1">
        <w:rPr>
          <w:lang w:val="en-GB"/>
        </w:rPr>
        <w:t xml:space="preserve">2015 </w:t>
      </w:r>
      <w:r w:rsidR="00E57FF3">
        <w:rPr>
          <w:lang w:val="en-GB"/>
        </w:rPr>
        <w:t>Addis Agenda</w:t>
      </w:r>
      <w:r w:rsidR="00563CEB">
        <w:rPr>
          <w:lang w:val="en-GB"/>
        </w:rPr>
        <w:t xml:space="preserve"> </w:t>
      </w:r>
      <w:r w:rsidR="00550CD1">
        <w:rPr>
          <w:lang w:val="en-GB"/>
        </w:rPr>
        <w:t>has advocated</w:t>
      </w:r>
      <w:r w:rsidR="00013D58">
        <w:rPr>
          <w:lang w:val="en-GB"/>
        </w:rPr>
        <w:t>:</w:t>
      </w:r>
    </w:p>
    <w:p w14:paraId="227DB3B3" w14:textId="77777777" w:rsidR="00CF7EDD" w:rsidRDefault="00CF7EDD" w:rsidP="003B672F">
      <w:pPr>
        <w:pStyle w:val="BodyText"/>
        <w:numPr>
          <w:ilvl w:val="0"/>
          <w:numId w:val="82"/>
        </w:numPr>
        <w:rPr>
          <w:lang w:val="en-GB"/>
        </w:rPr>
      </w:pPr>
      <w:r>
        <w:rPr>
          <w:lang w:val="en-GB"/>
        </w:rPr>
        <w:t>Strong political commitment and global partnership;</w:t>
      </w:r>
    </w:p>
    <w:p w14:paraId="01F93031" w14:textId="77777777" w:rsidR="00CF7EDD" w:rsidRDefault="00CF7EDD" w:rsidP="003B672F">
      <w:pPr>
        <w:pStyle w:val="BodyText"/>
        <w:numPr>
          <w:ilvl w:val="0"/>
          <w:numId w:val="82"/>
        </w:numPr>
        <w:rPr>
          <w:lang w:val="en-GB"/>
        </w:rPr>
      </w:pPr>
      <w:r>
        <w:rPr>
          <w:lang w:val="en-GB"/>
        </w:rPr>
        <w:t>Inclusive economic growth;</w:t>
      </w:r>
    </w:p>
    <w:p w14:paraId="0250A57A" w14:textId="77777777" w:rsidR="00A24210" w:rsidRDefault="00A24210" w:rsidP="003B672F">
      <w:pPr>
        <w:pStyle w:val="BodyText"/>
        <w:numPr>
          <w:ilvl w:val="0"/>
          <w:numId w:val="82"/>
        </w:numPr>
        <w:rPr>
          <w:lang w:val="en-GB"/>
        </w:rPr>
      </w:pPr>
      <w:r>
        <w:rPr>
          <w:lang w:val="en-GB"/>
        </w:rPr>
        <w:t>Environmental protection; and</w:t>
      </w:r>
    </w:p>
    <w:p w14:paraId="1CD516A5" w14:textId="77777777" w:rsidR="00A24210" w:rsidRDefault="00A24210" w:rsidP="003B672F">
      <w:pPr>
        <w:pStyle w:val="BodyText"/>
        <w:numPr>
          <w:ilvl w:val="0"/>
          <w:numId w:val="82"/>
        </w:numPr>
        <w:rPr>
          <w:lang w:val="en-GB"/>
        </w:rPr>
      </w:pPr>
      <w:r>
        <w:rPr>
          <w:lang w:val="en-GB"/>
        </w:rPr>
        <w:t>Social inclusion</w:t>
      </w:r>
    </w:p>
    <w:p w14:paraId="2397B430" w14:textId="29FACCEB" w:rsidR="0068505A" w:rsidRPr="006F029A" w:rsidRDefault="00A24210" w:rsidP="00A24210">
      <w:pPr>
        <w:pStyle w:val="BodyText"/>
        <w:jc w:val="right"/>
        <w:rPr>
          <w:i/>
          <w:iCs/>
          <w:lang w:val="en-GB"/>
        </w:rPr>
      </w:pPr>
      <w:r w:rsidRPr="006F029A">
        <w:rPr>
          <w:i/>
          <w:iCs/>
          <w:lang w:val="en-GB"/>
        </w:rPr>
        <w:t>Source:</w:t>
      </w:r>
      <w:r w:rsidR="00485EDC" w:rsidRPr="006F029A">
        <w:rPr>
          <w:i/>
          <w:iCs/>
          <w:lang w:val="en-GB"/>
        </w:rPr>
        <w:t xml:space="preserve"> </w:t>
      </w:r>
      <w:r w:rsidRPr="006F029A">
        <w:rPr>
          <w:i/>
          <w:iCs/>
          <w:lang w:val="en-GB"/>
        </w:rPr>
        <w:t xml:space="preserve">Addis </w:t>
      </w:r>
      <w:r w:rsidR="00E02735" w:rsidRPr="006F029A">
        <w:rPr>
          <w:i/>
          <w:iCs/>
          <w:lang w:val="en-GB"/>
        </w:rPr>
        <w:t xml:space="preserve">Ababa Action </w:t>
      </w:r>
      <w:r w:rsidR="00947A3C" w:rsidRPr="006F029A">
        <w:rPr>
          <w:i/>
          <w:iCs/>
          <w:lang w:val="en-GB"/>
        </w:rPr>
        <w:t>Agenda, p.1, para.1.</w:t>
      </w:r>
      <w:r w:rsidR="002310C6" w:rsidRPr="006F029A">
        <w:rPr>
          <w:i/>
          <w:iCs/>
          <w:lang w:val="en-GB"/>
        </w:rPr>
        <w:t xml:space="preserve"> </w:t>
      </w:r>
    </w:p>
    <w:p w14:paraId="4C6F5F6D" w14:textId="421B3EEF" w:rsidR="00EE2323" w:rsidRDefault="0074324E" w:rsidP="00E82B68">
      <w:pPr>
        <w:pStyle w:val="BodyText"/>
        <w:rPr>
          <w:szCs w:val="20"/>
          <w:lang w:val="en-GB"/>
        </w:rPr>
      </w:pPr>
      <w:r>
        <w:rPr>
          <w:lang w:val="en-GB"/>
        </w:rPr>
        <w:t>I</w:t>
      </w:r>
      <w:r w:rsidR="00450CE2">
        <w:rPr>
          <w:lang w:val="en-GB"/>
        </w:rPr>
        <w:t xml:space="preserve">t </w:t>
      </w:r>
      <w:r w:rsidR="00A63BF4">
        <w:rPr>
          <w:lang w:val="en-GB"/>
        </w:rPr>
        <w:t xml:space="preserve">has </w:t>
      </w:r>
      <w:r w:rsidR="00816B63">
        <w:rPr>
          <w:lang w:val="en-GB"/>
        </w:rPr>
        <w:t xml:space="preserve">built </w:t>
      </w:r>
      <w:r w:rsidR="00570FFB">
        <w:rPr>
          <w:lang w:val="en-GB"/>
        </w:rPr>
        <w:t xml:space="preserve">on the </w:t>
      </w:r>
      <w:hyperlink r:id="rId17" w:history="1">
        <w:r w:rsidR="002F68F0" w:rsidRPr="00DE3D56">
          <w:rPr>
            <w:rStyle w:val="Hyperlink"/>
            <w:lang w:val="en-GB"/>
          </w:rPr>
          <w:t>200</w:t>
        </w:r>
        <w:r w:rsidR="002F68F0">
          <w:rPr>
            <w:rStyle w:val="Hyperlink"/>
            <w:lang w:val="en-GB"/>
          </w:rPr>
          <w:t>2</w:t>
        </w:r>
        <w:r w:rsidR="002F68F0" w:rsidRPr="00DE3D56">
          <w:rPr>
            <w:rStyle w:val="Hyperlink"/>
            <w:lang w:val="en-GB"/>
          </w:rPr>
          <w:t xml:space="preserve"> Monterrey Consensus</w:t>
        </w:r>
      </w:hyperlink>
      <w:r w:rsidR="00570FFB" w:rsidRPr="002F68F0">
        <w:rPr>
          <w:lang w:val="en-GB"/>
        </w:rPr>
        <w:t xml:space="preserve"> </w:t>
      </w:r>
      <w:r w:rsidR="00E9688F">
        <w:rPr>
          <w:lang w:val="en-GB"/>
        </w:rPr>
        <w:t xml:space="preserve">and the </w:t>
      </w:r>
      <w:hyperlink r:id="rId18" w:history="1">
        <w:r w:rsidR="00EB168A" w:rsidRPr="00AB4087">
          <w:rPr>
            <w:rStyle w:val="Hyperlink"/>
            <w:lang w:val="en-GB"/>
          </w:rPr>
          <w:t>200</w:t>
        </w:r>
        <w:r w:rsidR="00EB168A">
          <w:rPr>
            <w:rStyle w:val="Hyperlink"/>
            <w:lang w:val="en-GB"/>
          </w:rPr>
          <w:t>8</w:t>
        </w:r>
        <w:r w:rsidR="00EB168A" w:rsidRPr="00AB4087">
          <w:rPr>
            <w:rStyle w:val="Hyperlink"/>
            <w:lang w:val="en-GB"/>
          </w:rPr>
          <w:t xml:space="preserve"> Doha Declaration on Financing for Development</w:t>
        </w:r>
      </w:hyperlink>
      <w:r w:rsidR="00EB168A">
        <w:rPr>
          <w:lang w:val="en-GB"/>
        </w:rPr>
        <w:t xml:space="preserve">, which </w:t>
      </w:r>
      <w:r w:rsidR="00395C2A">
        <w:rPr>
          <w:lang w:val="en-GB"/>
        </w:rPr>
        <w:t xml:space="preserve">have </w:t>
      </w:r>
      <w:r w:rsidR="00487C88">
        <w:rPr>
          <w:lang w:val="en-GB"/>
        </w:rPr>
        <w:t>support</w:t>
      </w:r>
      <w:r w:rsidR="00EF5EBA">
        <w:rPr>
          <w:lang w:val="en-GB"/>
        </w:rPr>
        <w:t>ed</w:t>
      </w:r>
      <w:r w:rsidR="00B3398E">
        <w:rPr>
          <w:lang w:val="en-GB"/>
        </w:rPr>
        <w:t xml:space="preserve"> the mobilisation and effective use of development financ</w:t>
      </w:r>
      <w:r w:rsidR="00F714B8">
        <w:rPr>
          <w:lang w:val="en-GB"/>
        </w:rPr>
        <w:t>e</w:t>
      </w:r>
      <w:r w:rsidR="00B3398E">
        <w:rPr>
          <w:lang w:val="en-GB"/>
        </w:rPr>
        <w:t xml:space="preserve"> for</w:t>
      </w:r>
      <w:r w:rsidR="00487C88">
        <w:rPr>
          <w:lang w:val="en-GB"/>
        </w:rPr>
        <w:t xml:space="preserve"> </w:t>
      </w:r>
      <w:r w:rsidR="00346B67">
        <w:rPr>
          <w:lang w:val="en-GB"/>
        </w:rPr>
        <w:t xml:space="preserve">an inclusive and equitable </w:t>
      </w:r>
      <w:r w:rsidR="00D27694">
        <w:rPr>
          <w:lang w:val="en-GB"/>
        </w:rPr>
        <w:t>global economic system.</w:t>
      </w:r>
      <w:r w:rsidR="002B51CA">
        <w:rPr>
          <w:lang w:val="en-GB"/>
        </w:rPr>
        <w:t xml:space="preserve"> </w:t>
      </w:r>
      <w:r w:rsidR="00395C2A">
        <w:rPr>
          <w:lang w:val="en-GB"/>
        </w:rPr>
        <w:t xml:space="preserve">As a contribution towards </w:t>
      </w:r>
      <w:r w:rsidR="00E227FE">
        <w:rPr>
          <w:lang w:val="en-GB"/>
        </w:rPr>
        <w:t xml:space="preserve">this process, </w:t>
      </w:r>
      <w:r w:rsidR="00462942">
        <w:rPr>
          <w:lang w:val="en-GB"/>
        </w:rPr>
        <w:t xml:space="preserve">the </w:t>
      </w:r>
      <w:r w:rsidR="00462942" w:rsidRPr="00EA4B1C">
        <w:rPr>
          <w:szCs w:val="20"/>
          <w:lang w:val="en-GB"/>
        </w:rPr>
        <w:t>2015 Addis Agenda</w:t>
      </w:r>
      <w:r w:rsidR="008D695A">
        <w:rPr>
          <w:szCs w:val="20"/>
          <w:lang w:val="en-GB"/>
        </w:rPr>
        <w:t xml:space="preserve"> has</w:t>
      </w:r>
      <w:r w:rsidR="000D1B08">
        <w:rPr>
          <w:szCs w:val="20"/>
          <w:lang w:val="en-GB"/>
        </w:rPr>
        <w:t xml:space="preserve"> </w:t>
      </w:r>
      <w:r w:rsidR="00381F44">
        <w:rPr>
          <w:szCs w:val="20"/>
          <w:lang w:val="en-GB"/>
        </w:rPr>
        <w:t xml:space="preserve">underscored the need for </w:t>
      </w:r>
      <w:r w:rsidR="00462942" w:rsidRPr="00EA4B1C">
        <w:rPr>
          <w:szCs w:val="20"/>
          <w:lang w:val="en-GB"/>
        </w:rPr>
        <w:t xml:space="preserve">country-led </w:t>
      </w:r>
      <w:r w:rsidR="00623432" w:rsidRPr="00EA4B1C">
        <w:rPr>
          <w:szCs w:val="20"/>
          <w:lang w:val="en-GB"/>
        </w:rPr>
        <w:t>development financing</w:t>
      </w:r>
      <w:r w:rsidR="0095320C">
        <w:rPr>
          <w:szCs w:val="20"/>
          <w:lang w:val="en-GB"/>
        </w:rPr>
        <w:t xml:space="preserve"> </w:t>
      </w:r>
      <w:r w:rsidR="00381F44">
        <w:rPr>
          <w:szCs w:val="20"/>
          <w:lang w:val="en-GB"/>
        </w:rPr>
        <w:t xml:space="preserve">through </w:t>
      </w:r>
      <w:r w:rsidR="00FE7CC9">
        <w:rPr>
          <w:szCs w:val="20"/>
          <w:lang w:val="en-GB"/>
        </w:rPr>
        <w:t>international capital flows</w:t>
      </w:r>
      <w:r w:rsidR="00B96969">
        <w:rPr>
          <w:szCs w:val="20"/>
          <w:lang w:val="en-GB"/>
        </w:rPr>
        <w:t xml:space="preserve">, </w:t>
      </w:r>
      <w:r w:rsidR="0095320C">
        <w:rPr>
          <w:szCs w:val="20"/>
          <w:lang w:val="en-GB"/>
        </w:rPr>
        <w:t xml:space="preserve">in particular, </w:t>
      </w:r>
      <w:r w:rsidR="00A520A6">
        <w:rPr>
          <w:szCs w:val="20"/>
          <w:lang w:val="en-GB"/>
        </w:rPr>
        <w:t xml:space="preserve">to </w:t>
      </w:r>
      <w:r w:rsidR="00BB7E85">
        <w:rPr>
          <w:szCs w:val="20"/>
          <w:lang w:val="en-GB"/>
        </w:rPr>
        <w:t>foster</w:t>
      </w:r>
      <w:r w:rsidR="00A520A6">
        <w:rPr>
          <w:szCs w:val="20"/>
          <w:lang w:val="en-GB"/>
        </w:rPr>
        <w:t xml:space="preserve"> national ownership of social and economic developmen</w:t>
      </w:r>
      <w:r w:rsidR="00CE68A9">
        <w:rPr>
          <w:szCs w:val="20"/>
          <w:lang w:val="en-GB"/>
        </w:rPr>
        <w:t>t.</w:t>
      </w:r>
      <w:r w:rsidR="002B0DEC">
        <w:rPr>
          <w:rStyle w:val="FootnoteReference"/>
          <w:szCs w:val="20"/>
          <w:lang w:val="en-GB"/>
        </w:rPr>
        <w:footnoteReference w:id="7"/>
      </w:r>
      <w:r w:rsidR="00CE68A9">
        <w:rPr>
          <w:szCs w:val="20"/>
          <w:lang w:val="en-GB"/>
        </w:rPr>
        <w:t xml:space="preserve"> </w:t>
      </w:r>
    </w:p>
    <w:p w14:paraId="6CC1F708" w14:textId="684F1759" w:rsidR="00115CF7" w:rsidRDefault="00B01C38" w:rsidP="00E82B68">
      <w:pPr>
        <w:pStyle w:val="BodyText"/>
        <w:rPr>
          <w:szCs w:val="20"/>
          <w:lang w:val="en-GB"/>
        </w:rPr>
      </w:pPr>
      <w:r>
        <w:rPr>
          <w:szCs w:val="20"/>
          <w:lang w:val="en-GB"/>
        </w:rPr>
        <w:t xml:space="preserve">Given </w:t>
      </w:r>
      <w:r w:rsidR="009202DC">
        <w:rPr>
          <w:szCs w:val="20"/>
          <w:lang w:val="en-GB"/>
        </w:rPr>
        <w:t>the persi</w:t>
      </w:r>
      <w:r w:rsidR="00222335">
        <w:rPr>
          <w:szCs w:val="20"/>
          <w:lang w:val="en-GB"/>
        </w:rPr>
        <w:t xml:space="preserve">stent challenge of socio-economic inequality at the State-specific and </w:t>
      </w:r>
      <w:r w:rsidR="00C535EC">
        <w:rPr>
          <w:szCs w:val="20"/>
          <w:lang w:val="en-GB"/>
        </w:rPr>
        <w:t>global levels,</w:t>
      </w:r>
      <w:r w:rsidR="005A3AD8">
        <w:rPr>
          <w:rStyle w:val="FootnoteReference"/>
          <w:szCs w:val="20"/>
          <w:lang w:val="en-GB"/>
        </w:rPr>
        <w:footnoteReference w:id="8"/>
      </w:r>
      <w:r w:rsidR="00C535EC">
        <w:rPr>
          <w:szCs w:val="20"/>
          <w:lang w:val="en-GB"/>
        </w:rPr>
        <w:t xml:space="preserve"> </w:t>
      </w:r>
      <w:r w:rsidR="00390BD7">
        <w:rPr>
          <w:szCs w:val="20"/>
          <w:lang w:val="en-GB"/>
        </w:rPr>
        <w:t xml:space="preserve">country-led resource mobilisation </w:t>
      </w:r>
      <w:r w:rsidR="00C568CD">
        <w:rPr>
          <w:szCs w:val="20"/>
          <w:lang w:val="en-GB"/>
        </w:rPr>
        <w:t>has</w:t>
      </w:r>
      <w:r w:rsidR="00D8007B">
        <w:rPr>
          <w:szCs w:val="20"/>
          <w:lang w:val="en-GB"/>
        </w:rPr>
        <w:t xml:space="preserve"> </w:t>
      </w:r>
      <w:r w:rsidR="002C1116">
        <w:rPr>
          <w:szCs w:val="20"/>
          <w:lang w:val="en-GB"/>
        </w:rPr>
        <w:t>position</w:t>
      </w:r>
      <w:r w:rsidR="00C568CD">
        <w:rPr>
          <w:szCs w:val="20"/>
          <w:lang w:val="en-GB"/>
        </w:rPr>
        <w:t>ed</w:t>
      </w:r>
      <w:r w:rsidR="002C1116">
        <w:rPr>
          <w:szCs w:val="20"/>
          <w:lang w:val="en-GB"/>
        </w:rPr>
        <w:t xml:space="preserve"> </w:t>
      </w:r>
      <w:r w:rsidR="00C535EC">
        <w:rPr>
          <w:szCs w:val="20"/>
          <w:lang w:val="en-GB"/>
        </w:rPr>
        <w:t xml:space="preserve">UN Member States </w:t>
      </w:r>
      <w:r w:rsidR="002C1116">
        <w:rPr>
          <w:szCs w:val="20"/>
          <w:lang w:val="en-GB"/>
        </w:rPr>
        <w:t>to</w:t>
      </w:r>
      <w:r w:rsidR="00FB56D2">
        <w:rPr>
          <w:szCs w:val="20"/>
          <w:lang w:val="en-GB"/>
        </w:rPr>
        <w:t xml:space="preserve"> </w:t>
      </w:r>
      <w:r w:rsidR="003B2A87">
        <w:rPr>
          <w:szCs w:val="20"/>
          <w:lang w:val="en-GB"/>
        </w:rPr>
        <w:t>adopt a holi</w:t>
      </w:r>
      <w:r w:rsidR="008C5414">
        <w:rPr>
          <w:szCs w:val="20"/>
          <w:lang w:val="en-GB"/>
        </w:rPr>
        <w:t>sti</w:t>
      </w:r>
      <w:r w:rsidR="003B2A87">
        <w:rPr>
          <w:szCs w:val="20"/>
          <w:lang w:val="en-GB"/>
        </w:rPr>
        <w:t>c</w:t>
      </w:r>
      <w:r w:rsidR="008C5414">
        <w:rPr>
          <w:szCs w:val="20"/>
          <w:lang w:val="en-GB"/>
        </w:rPr>
        <w:t xml:space="preserve"> approach to resource mobilisation</w:t>
      </w:r>
      <w:r w:rsidR="001B12EF">
        <w:rPr>
          <w:szCs w:val="20"/>
          <w:lang w:val="en-GB"/>
        </w:rPr>
        <w:t>,</w:t>
      </w:r>
      <w:r w:rsidR="008C5414">
        <w:rPr>
          <w:szCs w:val="20"/>
          <w:lang w:val="en-GB"/>
        </w:rPr>
        <w:t xml:space="preserve"> </w:t>
      </w:r>
      <w:r w:rsidR="007F28E3">
        <w:rPr>
          <w:szCs w:val="20"/>
          <w:lang w:val="en-GB"/>
        </w:rPr>
        <w:t xml:space="preserve">to </w:t>
      </w:r>
      <w:r w:rsidR="00CA4045">
        <w:rPr>
          <w:szCs w:val="20"/>
          <w:lang w:val="en-GB"/>
        </w:rPr>
        <w:t>facilitate the No Country Left Behind (NCLB) principle</w:t>
      </w:r>
      <w:r w:rsidR="00EA56D7">
        <w:rPr>
          <w:szCs w:val="20"/>
          <w:lang w:val="en-GB"/>
        </w:rPr>
        <w:t>s</w:t>
      </w:r>
      <w:r w:rsidR="00115CF7">
        <w:rPr>
          <w:szCs w:val="20"/>
          <w:lang w:val="en-GB"/>
        </w:rPr>
        <w:t xml:space="preserve"> of the </w:t>
      </w:r>
      <w:hyperlink r:id="rId19" w:history="1">
        <w:r w:rsidR="00115CF7" w:rsidRPr="00CA437F">
          <w:rPr>
            <w:rStyle w:val="Hyperlink"/>
            <w:szCs w:val="20"/>
            <w:lang w:val="en-GB"/>
          </w:rPr>
          <w:t>2030 Agenda</w:t>
        </w:r>
        <w:r w:rsidR="00382DF4" w:rsidRPr="00CA437F">
          <w:rPr>
            <w:rStyle w:val="Hyperlink"/>
            <w:szCs w:val="20"/>
            <w:lang w:val="en-GB"/>
          </w:rPr>
          <w:t xml:space="preserve"> for Sustainable Development</w:t>
        </w:r>
      </w:hyperlink>
      <w:r w:rsidR="00115CF7">
        <w:rPr>
          <w:szCs w:val="20"/>
          <w:lang w:val="en-GB"/>
        </w:rPr>
        <w:t>.</w:t>
      </w:r>
      <w:r w:rsidR="00A7437D">
        <w:rPr>
          <w:rStyle w:val="FootnoteReference"/>
          <w:szCs w:val="20"/>
          <w:lang w:val="en-GB"/>
        </w:rPr>
        <w:footnoteReference w:id="9"/>
      </w:r>
      <w:r w:rsidR="00115CF7">
        <w:rPr>
          <w:szCs w:val="20"/>
          <w:lang w:val="en-GB"/>
        </w:rPr>
        <w:t xml:space="preserve"> </w:t>
      </w:r>
      <w:r w:rsidR="00BC0181">
        <w:rPr>
          <w:szCs w:val="20"/>
          <w:lang w:val="en-GB"/>
        </w:rPr>
        <w:t>In line with the 2015 Addis Agenda, the aim has been to align available financial flows with the national trajectory towards sustainable development, with emphasis on national development priorities, policies and strategies.</w:t>
      </w:r>
      <w:r w:rsidR="00BC0181">
        <w:rPr>
          <w:rStyle w:val="FootnoteReference"/>
          <w:szCs w:val="20"/>
          <w:lang w:val="en-GB"/>
        </w:rPr>
        <w:footnoteReference w:id="10"/>
      </w:r>
      <w:r w:rsidR="00BC0181">
        <w:rPr>
          <w:szCs w:val="20"/>
          <w:lang w:val="en-GB"/>
        </w:rPr>
        <w:t xml:space="preserve"> </w:t>
      </w:r>
      <w:r w:rsidR="000A4528">
        <w:rPr>
          <w:szCs w:val="20"/>
          <w:lang w:val="en-GB"/>
        </w:rPr>
        <w:t>Within</w:t>
      </w:r>
      <w:r w:rsidR="008C0645">
        <w:rPr>
          <w:szCs w:val="20"/>
          <w:lang w:val="en-GB"/>
        </w:rPr>
        <w:t xml:space="preserve"> this context,</w:t>
      </w:r>
      <w:r w:rsidR="00D90765" w:rsidRPr="00D90765">
        <w:rPr>
          <w:szCs w:val="20"/>
          <w:lang w:val="en-GB"/>
        </w:rPr>
        <w:t xml:space="preserve"> country-governments are responsible for leading the targeted replenishment of the national financial reserves</w:t>
      </w:r>
      <w:r w:rsidR="008C0645">
        <w:rPr>
          <w:szCs w:val="20"/>
          <w:lang w:val="en-GB"/>
        </w:rPr>
        <w:t xml:space="preserve">. </w:t>
      </w:r>
      <w:r w:rsidR="00C211BD">
        <w:rPr>
          <w:szCs w:val="20"/>
          <w:lang w:val="en-GB"/>
        </w:rPr>
        <w:t xml:space="preserve">They </w:t>
      </w:r>
      <w:r w:rsidR="00D90765" w:rsidRPr="00D90765">
        <w:rPr>
          <w:szCs w:val="20"/>
          <w:lang w:val="en-GB"/>
        </w:rPr>
        <w:t>have an opportunity</w:t>
      </w:r>
      <w:r w:rsidR="00C211BD">
        <w:rPr>
          <w:szCs w:val="20"/>
          <w:lang w:val="en-GB"/>
        </w:rPr>
        <w:t>, therefore,</w:t>
      </w:r>
      <w:r w:rsidR="00D90765" w:rsidRPr="00D90765">
        <w:rPr>
          <w:szCs w:val="20"/>
          <w:lang w:val="en-GB"/>
        </w:rPr>
        <w:t xml:space="preserve"> to identify and engage</w:t>
      </w:r>
      <w:r w:rsidR="00446E4F">
        <w:rPr>
          <w:szCs w:val="20"/>
          <w:lang w:val="en-GB"/>
        </w:rPr>
        <w:t xml:space="preserve"> suitable and</w:t>
      </w:r>
      <w:r w:rsidR="00D90765" w:rsidRPr="00D90765">
        <w:rPr>
          <w:szCs w:val="20"/>
          <w:lang w:val="en-GB"/>
        </w:rPr>
        <w:t xml:space="preserve"> sustainable sources of development financing.</w:t>
      </w:r>
    </w:p>
    <w:p w14:paraId="308CE5D6" w14:textId="66CCF3BC" w:rsidR="008E0A91" w:rsidRDefault="004318EC" w:rsidP="00592BB4">
      <w:pPr>
        <w:pStyle w:val="BodyText"/>
        <w:rPr>
          <w:lang w:val="en-GB"/>
        </w:rPr>
      </w:pPr>
      <w:r>
        <w:rPr>
          <w:szCs w:val="20"/>
          <w:lang w:val="en-GB"/>
        </w:rPr>
        <w:t xml:space="preserve">As the established </w:t>
      </w:r>
      <w:r w:rsidR="00F434EA">
        <w:rPr>
          <w:szCs w:val="20"/>
          <w:lang w:val="en-GB"/>
        </w:rPr>
        <w:t xml:space="preserve">plan of action for the </w:t>
      </w:r>
      <w:r w:rsidR="006F2573">
        <w:rPr>
          <w:szCs w:val="20"/>
          <w:lang w:val="en-GB"/>
        </w:rPr>
        <w:t xml:space="preserve">post-2015 </w:t>
      </w:r>
      <w:r w:rsidR="00F434EA">
        <w:rPr>
          <w:szCs w:val="20"/>
          <w:lang w:val="en-GB"/>
        </w:rPr>
        <w:t xml:space="preserve">development agenda, </w:t>
      </w:r>
      <w:r w:rsidR="006A1671">
        <w:rPr>
          <w:szCs w:val="20"/>
          <w:lang w:val="en-GB"/>
        </w:rPr>
        <w:t xml:space="preserve">the </w:t>
      </w:r>
      <w:r w:rsidR="002D5716">
        <w:rPr>
          <w:szCs w:val="20"/>
          <w:lang w:val="en-GB"/>
        </w:rPr>
        <w:t>2030 Agenda for Sustainable Development</w:t>
      </w:r>
      <w:r w:rsidR="00666E7A">
        <w:rPr>
          <w:szCs w:val="20"/>
          <w:lang w:val="en-GB"/>
        </w:rPr>
        <w:t>, including the Sustainable Development Goals (SDGs),</w:t>
      </w:r>
      <w:r w:rsidR="002D5716">
        <w:rPr>
          <w:szCs w:val="20"/>
          <w:lang w:val="en-GB"/>
        </w:rPr>
        <w:t xml:space="preserve"> </w:t>
      </w:r>
      <w:r w:rsidR="00331967">
        <w:rPr>
          <w:szCs w:val="20"/>
          <w:lang w:val="en-GB"/>
        </w:rPr>
        <w:t>has been</w:t>
      </w:r>
      <w:r w:rsidR="00AF6F91">
        <w:rPr>
          <w:szCs w:val="20"/>
          <w:lang w:val="en-GB"/>
        </w:rPr>
        <w:t xml:space="preserve"> anchored in </w:t>
      </w:r>
      <w:r w:rsidR="006A1671">
        <w:rPr>
          <w:szCs w:val="20"/>
          <w:lang w:val="en-GB"/>
        </w:rPr>
        <w:t>collaborative partnership</w:t>
      </w:r>
      <w:r w:rsidR="00007C55">
        <w:rPr>
          <w:szCs w:val="20"/>
          <w:lang w:val="en-GB"/>
        </w:rPr>
        <w:t>s for poverty reduction</w:t>
      </w:r>
      <w:r w:rsidR="00870C3E">
        <w:rPr>
          <w:szCs w:val="20"/>
          <w:lang w:val="en-GB"/>
        </w:rPr>
        <w:t>; the NLCB principles</w:t>
      </w:r>
      <w:r w:rsidR="00843223">
        <w:rPr>
          <w:szCs w:val="20"/>
          <w:lang w:val="en-GB"/>
        </w:rPr>
        <w:t>;</w:t>
      </w:r>
      <w:r w:rsidR="00007C55">
        <w:rPr>
          <w:szCs w:val="20"/>
          <w:lang w:val="en-GB"/>
        </w:rPr>
        <w:t xml:space="preserve"> and the </w:t>
      </w:r>
      <w:r w:rsidR="009B7491">
        <w:rPr>
          <w:szCs w:val="20"/>
          <w:lang w:val="en-GB"/>
        </w:rPr>
        <w:t xml:space="preserve">three dimensions of </w:t>
      </w:r>
      <w:r w:rsidR="00ED47BC">
        <w:rPr>
          <w:szCs w:val="20"/>
          <w:lang w:val="en-GB"/>
        </w:rPr>
        <w:t>sustainable development</w:t>
      </w:r>
      <w:r w:rsidR="009B7491">
        <w:rPr>
          <w:szCs w:val="20"/>
          <w:lang w:val="en-GB"/>
        </w:rPr>
        <w:t xml:space="preserve"> (</w:t>
      </w:r>
      <w:r w:rsidR="004735D1">
        <w:rPr>
          <w:szCs w:val="20"/>
          <w:lang w:val="en-GB"/>
        </w:rPr>
        <w:t xml:space="preserve">i.e. </w:t>
      </w:r>
      <w:r w:rsidR="009B7491">
        <w:rPr>
          <w:szCs w:val="20"/>
          <w:lang w:val="en-GB"/>
        </w:rPr>
        <w:t>the economic; environmen</w:t>
      </w:r>
      <w:r w:rsidR="002B4897">
        <w:rPr>
          <w:szCs w:val="20"/>
          <w:lang w:val="en-GB"/>
        </w:rPr>
        <w:t>t</w:t>
      </w:r>
      <w:r w:rsidR="009B7491">
        <w:rPr>
          <w:szCs w:val="20"/>
          <w:lang w:val="en-GB"/>
        </w:rPr>
        <w:t xml:space="preserve">al; and social </w:t>
      </w:r>
      <w:r w:rsidR="002B4897">
        <w:rPr>
          <w:szCs w:val="20"/>
          <w:lang w:val="en-GB"/>
        </w:rPr>
        <w:t>dimensions).</w:t>
      </w:r>
      <w:r w:rsidR="00772021">
        <w:rPr>
          <w:rStyle w:val="FootnoteReference"/>
          <w:szCs w:val="20"/>
          <w:lang w:val="en-GB"/>
        </w:rPr>
        <w:footnoteReference w:id="11"/>
      </w:r>
      <w:r w:rsidR="00A0045A">
        <w:rPr>
          <w:szCs w:val="20"/>
          <w:lang w:val="en-GB"/>
        </w:rPr>
        <w:t xml:space="preserve"> By default, </w:t>
      </w:r>
      <w:r w:rsidR="00023945">
        <w:rPr>
          <w:szCs w:val="20"/>
          <w:lang w:val="en-GB"/>
        </w:rPr>
        <w:t>t</w:t>
      </w:r>
      <w:r w:rsidR="00A0045A">
        <w:rPr>
          <w:szCs w:val="20"/>
          <w:lang w:val="en-GB"/>
        </w:rPr>
        <w:t xml:space="preserve">he facilitation of </w:t>
      </w:r>
      <w:r w:rsidR="00A0045A" w:rsidRPr="00A0045A">
        <w:rPr>
          <w:szCs w:val="20"/>
          <w:lang w:val="en-GB"/>
        </w:rPr>
        <w:t xml:space="preserve">nationally-owned development financing is muti-tiered. </w:t>
      </w:r>
      <w:r w:rsidR="00E773D9">
        <w:rPr>
          <w:szCs w:val="20"/>
          <w:lang w:val="en-GB"/>
        </w:rPr>
        <w:t>It is significant, therefore, that</w:t>
      </w:r>
      <w:r w:rsidR="00117C75">
        <w:rPr>
          <w:szCs w:val="20"/>
          <w:lang w:val="en-GB"/>
        </w:rPr>
        <w:t xml:space="preserve"> </w:t>
      </w:r>
      <w:r w:rsidR="00343990">
        <w:rPr>
          <w:szCs w:val="20"/>
          <w:lang w:val="en-GB"/>
        </w:rPr>
        <w:t xml:space="preserve">UN Member States have been challenged by insufficient access to development financing to </w:t>
      </w:r>
      <w:r w:rsidR="005808CA">
        <w:rPr>
          <w:szCs w:val="20"/>
          <w:lang w:val="en-GB"/>
        </w:rPr>
        <w:t>facilitat</w:t>
      </w:r>
      <w:r w:rsidR="00343990">
        <w:rPr>
          <w:szCs w:val="20"/>
          <w:lang w:val="en-GB"/>
        </w:rPr>
        <w:t>e</w:t>
      </w:r>
      <w:r w:rsidR="005808CA">
        <w:rPr>
          <w:szCs w:val="20"/>
          <w:lang w:val="en-GB"/>
        </w:rPr>
        <w:t xml:space="preserve"> the</w:t>
      </w:r>
      <w:r w:rsidR="00E228A7">
        <w:rPr>
          <w:szCs w:val="20"/>
          <w:lang w:val="en-GB"/>
        </w:rPr>
        <w:t>ir contributions tow</w:t>
      </w:r>
      <w:r w:rsidR="00666E7A">
        <w:rPr>
          <w:szCs w:val="20"/>
          <w:lang w:val="en-GB"/>
        </w:rPr>
        <w:t>ards</w:t>
      </w:r>
      <w:r w:rsidR="00C252FB">
        <w:rPr>
          <w:szCs w:val="20"/>
          <w:lang w:val="en-GB"/>
        </w:rPr>
        <w:t xml:space="preserve"> </w:t>
      </w:r>
      <w:r w:rsidR="005808CA">
        <w:rPr>
          <w:szCs w:val="20"/>
          <w:lang w:val="en-GB"/>
        </w:rPr>
        <w:t>the</w:t>
      </w:r>
      <w:r w:rsidR="005D2495">
        <w:rPr>
          <w:szCs w:val="20"/>
          <w:lang w:val="en-GB"/>
        </w:rPr>
        <w:t xml:space="preserve"> 2030 Agenda</w:t>
      </w:r>
      <w:r w:rsidR="00C320CF">
        <w:rPr>
          <w:szCs w:val="20"/>
          <w:lang w:val="en-GB"/>
        </w:rPr>
        <w:t>, with a focus on SDG achievement</w:t>
      </w:r>
      <w:r w:rsidR="00343990">
        <w:rPr>
          <w:szCs w:val="20"/>
          <w:lang w:val="en-GB"/>
        </w:rPr>
        <w:t>.</w:t>
      </w:r>
      <w:r w:rsidR="00AE1E30">
        <w:rPr>
          <w:rStyle w:val="FootnoteReference"/>
          <w:szCs w:val="20"/>
          <w:lang w:val="en-GB"/>
        </w:rPr>
        <w:footnoteReference w:id="12"/>
      </w:r>
      <w:r w:rsidR="004E658D">
        <w:rPr>
          <w:szCs w:val="20"/>
          <w:lang w:val="en-GB"/>
        </w:rPr>
        <w:t xml:space="preserve"> </w:t>
      </w:r>
      <w:r w:rsidR="00264B19">
        <w:rPr>
          <w:szCs w:val="20"/>
          <w:lang w:val="en-GB"/>
        </w:rPr>
        <w:t>In 2020, t</w:t>
      </w:r>
      <w:r w:rsidR="00B14C83">
        <w:rPr>
          <w:szCs w:val="20"/>
          <w:lang w:val="en-GB"/>
        </w:rPr>
        <w:t>he</w:t>
      </w:r>
      <w:r w:rsidR="004E658D">
        <w:rPr>
          <w:szCs w:val="20"/>
          <w:lang w:val="en-GB"/>
        </w:rPr>
        <w:t xml:space="preserve"> </w:t>
      </w:r>
      <w:r w:rsidR="00D70EE7">
        <w:rPr>
          <w:szCs w:val="20"/>
          <w:lang w:val="en-GB"/>
        </w:rPr>
        <w:t xml:space="preserve">emergent effects of the </w:t>
      </w:r>
      <w:r w:rsidR="004E658D">
        <w:rPr>
          <w:szCs w:val="20"/>
          <w:lang w:val="en-GB"/>
        </w:rPr>
        <w:t xml:space="preserve">COVID-19 pandemic </w:t>
      </w:r>
      <w:r w:rsidR="00B14C83">
        <w:rPr>
          <w:szCs w:val="20"/>
          <w:lang w:val="en-GB"/>
        </w:rPr>
        <w:t xml:space="preserve">also </w:t>
      </w:r>
      <w:r w:rsidR="00352213">
        <w:rPr>
          <w:szCs w:val="20"/>
          <w:lang w:val="en-GB"/>
        </w:rPr>
        <w:t xml:space="preserve">created challenges for the </w:t>
      </w:r>
      <w:r w:rsidR="00022DDF">
        <w:rPr>
          <w:lang w:val="en-GB"/>
        </w:rPr>
        <w:t>State-level</w:t>
      </w:r>
      <w:r w:rsidR="00D6282E" w:rsidRPr="00EA4B1C">
        <w:rPr>
          <w:lang w:val="en-GB"/>
        </w:rPr>
        <w:t xml:space="preserve"> mobilisation of development financing.</w:t>
      </w:r>
      <w:r w:rsidR="00D6282E" w:rsidRPr="00EA4B1C">
        <w:rPr>
          <w:rStyle w:val="FootnoteReference"/>
          <w:lang w:val="en-GB"/>
        </w:rPr>
        <w:footnoteReference w:id="13"/>
      </w:r>
      <w:r w:rsidR="00AD7C7E">
        <w:rPr>
          <w:lang w:val="en-GB"/>
        </w:rPr>
        <w:t xml:space="preserve"> </w:t>
      </w:r>
      <w:r w:rsidR="001D59DE">
        <w:rPr>
          <w:lang w:val="en-GB"/>
        </w:rPr>
        <w:t xml:space="preserve">The INFF </w:t>
      </w:r>
      <w:r w:rsidR="0063487B">
        <w:rPr>
          <w:lang w:val="en-GB"/>
        </w:rPr>
        <w:t xml:space="preserve">project was developed </w:t>
      </w:r>
      <w:r w:rsidR="001C7388">
        <w:rPr>
          <w:lang w:val="en-GB"/>
        </w:rPr>
        <w:t xml:space="preserve">as a contextual </w:t>
      </w:r>
      <w:r w:rsidR="00E917C2">
        <w:rPr>
          <w:lang w:val="en-GB"/>
        </w:rPr>
        <w:t xml:space="preserve">response to the </w:t>
      </w:r>
      <w:r w:rsidR="00F048BB">
        <w:rPr>
          <w:lang w:val="en-GB"/>
        </w:rPr>
        <w:t>challenge</w:t>
      </w:r>
      <w:r w:rsidR="001C7388">
        <w:rPr>
          <w:lang w:val="en-GB"/>
        </w:rPr>
        <w:t xml:space="preserve"> of insuffici</w:t>
      </w:r>
      <w:r w:rsidR="004A431F">
        <w:rPr>
          <w:lang w:val="en-GB"/>
        </w:rPr>
        <w:t>e</w:t>
      </w:r>
      <w:r w:rsidR="001C7388">
        <w:rPr>
          <w:lang w:val="en-GB"/>
        </w:rPr>
        <w:t xml:space="preserve">nt development </w:t>
      </w:r>
      <w:r w:rsidR="001C7388">
        <w:rPr>
          <w:lang w:val="en-GB"/>
        </w:rPr>
        <w:lastRenderedPageBreak/>
        <w:t>financing across</w:t>
      </w:r>
      <w:r w:rsidR="00F048BB">
        <w:rPr>
          <w:lang w:val="en-GB"/>
        </w:rPr>
        <w:t xml:space="preserve"> UN Member States</w:t>
      </w:r>
      <w:r w:rsidR="00134D7B">
        <w:rPr>
          <w:lang w:val="en-GB"/>
        </w:rPr>
        <w:t>, t</w:t>
      </w:r>
      <w:r w:rsidR="00203E35">
        <w:rPr>
          <w:lang w:val="en-GB"/>
        </w:rPr>
        <w:t>o buil</w:t>
      </w:r>
      <w:r w:rsidR="002505A2">
        <w:rPr>
          <w:lang w:val="en-GB"/>
        </w:rPr>
        <w:t>d</w:t>
      </w:r>
      <w:r w:rsidR="00203E35">
        <w:rPr>
          <w:lang w:val="en-GB"/>
        </w:rPr>
        <w:t xml:space="preserve"> capacities for resource mobilisation based on the INFF</w:t>
      </w:r>
      <w:r w:rsidR="00AA37D2">
        <w:rPr>
          <w:lang w:val="en-GB"/>
        </w:rPr>
        <w:t xml:space="preserve"> approach</w:t>
      </w:r>
      <w:r w:rsidR="004A431F">
        <w:rPr>
          <w:lang w:val="en-GB"/>
        </w:rPr>
        <w:t xml:space="preserve">. </w:t>
      </w:r>
    </w:p>
    <w:p w14:paraId="1649B195" w14:textId="4C20823A" w:rsidR="002273E8" w:rsidRPr="00D6692D" w:rsidRDefault="007F351A" w:rsidP="002273E8">
      <w:pPr>
        <w:pStyle w:val="Heading3"/>
        <w:rPr>
          <w:lang w:eastAsia="en-US"/>
        </w:rPr>
      </w:pPr>
      <w:r>
        <w:rPr>
          <w:lang w:eastAsia="en-US"/>
        </w:rPr>
        <w:t xml:space="preserve"> The </w:t>
      </w:r>
      <w:r w:rsidR="002273E8">
        <w:rPr>
          <w:lang w:eastAsia="en-US"/>
        </w:rPr>
        <w:t xml:space="preserve">INFF </w:t>
      </w:r>
      <w:r w:rsidR="0001042A">
        <w:rPr>
          <w:lang w:eastAsia="en-US"/>
        </w:rPr>
        <w:t>t</w:t>
      </w:r>
      <w:r>
        <w:rPr>
          <w:lang w:eastAsia="en-US"/>
        </w:rPr>
        <w:t>ool</w:t>
      </w:r>
    </w:p>
    <w:p w14:paraId="69A6CC3F" w14:textId="7A2CA34E" w:rsidR="00564EBD" w:rsidRDefault="00523E8E" w:rsidP="00564EBD">
      <w:pPr>
        <w:pStyle w:val="BodyText"/>
        <w:rPr>
          <w:lang w:val="en-GB"/>
        </w:rPr>
      </w:pPr>
      <w:r>
        <w:rPr>
          <w:lang w:val="en-GB"/>
        </w:rPr>
        <w:t xml:space="preserve">An INFF is a customised tool </w:t>
      </w:r>
      <w:r w:rsidR="00B850B2">
        <w:rPr>
          <w:lang w:val="en-GB"/>
        </w:rPr>
        <w:t>for strengthening national planning processes</w:t>
      </w:r>
      <w:r w:rsidR="005119CA">
        <w:rPr>
          <w:lang w:val="en-GB"/>
        </w:rPr>
        <w:t>,</w:t>
      </w:r>
      <w:r w:rsidR="00B850B2">
        <w:rPr>
          <w:lang w:val="en-GB"/>
        </w:rPr>
        <w:t xml:space="preserve"> to enable State</w:t>
      </w:r>
      <w:r w:rsidR="00094A6E">
        <w:rPr>
          <w:lang w:val="en-GB"/>
        </w:rPr>
        <w:t xml:space="preserve">s </w:t>
      </w:r>
      <w:r w:rsidR="00A85FC2">
        <w:rPr>
          <w:lang w:val="en-GB"/>
        </w:rPr>
        <w:t xml:space="preserve">to </w:t>
      </w:r>
      <w:r w:rsidR="009058D1">
        <w:rPr>
          <w:lang w:val="en-GB"/>
        </w:rPr>
        <w:t xml:space="preserve">address and </w:t>
      </w:r>
      <w:r w:rsidR="00743861">
        <w:rPr>
          <w:lang w:val="en-GB"/>
        </w:rPr>
        <w:t>‘</w:t>
      </w:r>
      <w:r w:rsidR="009058D1">
        <w:rPr>
          <w:lang w:val="en-GB"/>
        </w:rPr>
        <w:t xml:space="preserve">overcome </w:t>
      </w:r>
      <w:r w:rsidR="00743861">
        <w:rPr>
          <w:lang w:val="en-GB"/>
        </w:rPr>
        <w:t xml:space="preserve">existing </w:t>
      </w:r>
      <w:r w:rsidR="009058D1">
        <w:rPr>
          <w:lang w:val="en-GB"/>
        </w:rPr>
        <w:t>impedi</w:t>
      </w:r>
      <w:r w:rsidR="00743861">
        <w:rPr>
          <w:lang w:val="en-GB"/>
        </w:rPr>
        <w:t xml:space="preserve">ments to </w:t>
      </w:r>
      <w:r w:rsidR="00872E81">
        <w:rPr>
          <w:lang w:val="en-GB"/>
        </w:rPr>
        <w:t xml:space="preserve">[the] </w:t>
      </w:r>
      <w:r w:rsidR="00FC672E">
        <w:rPr>
          <w:lang w:val="en-GB"/>
        </w:rPr>
        <w:t>financing of s</w:t>
      </w:r>
      <w:r w:rsidR="00D0211C">
        <w:rPr>
          <w:lang w:val="en-GB"/>
        </w:rPr>
        <w:t>ustainab</w:t>
      </w:r>
      <w:r w:rsidR="00A26605">
        <w:rPr>
          <w:lang w:val="en-GB"/>
        </w:rPr>
        <w:t xml:space="preserve">le </w:t>
      </w:r>
      <w:r w:rsidR="003D513C">
        <w:rPr>
          <w:lang w:val="en-GB"/>
        </w:rPr>
        <w:t>development</w:t>
      </w:r>
      <w:r w:rsidR="00A26605">
        <w:rPr>
          <w:lang w:val="en-GB"/>
        </w:rPr>
        <w:t xml:space="preserve"> and the SDGs.’</w:t>
      </w:r>
      <w:r w:rsidR="00A26605">
        <w:rPr>
          <w:rStyle w:val="FootnoteReference"/>
          <w:lang w:val="en-GB"/>
        </w:rPr>
        <w:footnoteReference w:id="14"/>
      </w:r>
      <w:r w:rsidR="00A26605">
        <w:rPr>
          <w:lang w:val="en-GB"/>
        </w:rPr>
        <w:t xml:space="preserve"> </w:t>
      </w:r>
      <w:r w:rsidR="006D10B2">
        <w:rPr>
          <w:lang w:val="en-GB"/>
        </w:rPr>
        <w:t xml:space="preserve">It </w:t>
      </w:r>
      <w:r w:rsidR="00564EBD">
        <w:rPr>
          <w:lang w:val="en-GB"/>
        </w:rPr>
        <w:t xml:space="preserve">comprises four components or </w:t>
      </w:r>
      <w:r w:rsidR="00F05FBC">
        <w:rPr>
          <w:lang w:val="en-GB"/>
        </w:rPr>
        <w:t>building blocks</w:t>
      </w:r>
      <w:r w:rsidR="00564EBD">
        <w:rPr>
          <w:lang w:val="en-GB"/>
        </w:rPr>
        <w:t xml:space="preserve"> (see Exhibit 1) </w:t>
      </w:r>
      <w:r w:rsidR="00A83AF6">
        <w:rPr>
          <w:lang w:val="en-GB"/>
        </w:rPr>
        <w:t xml:space="preserve">that are used </w:t>
      </w:r>
      <w:r w:rsidR="00564EBD">
        <w:rPr>
          <w:lang w:val="en-GB"/>
        </w:rPr>
        <w:t xml:space="preserve">to guide strategic planning; management; and </w:t>
      </w:r>
      <w:r w:rsidR="00DB01A2">
        <w:rPr>
          <w:lang w:val="en-GB"/>
        </w:rPr>
        <w:t xml:space="preserve">the </w:t>
      </w:r>
      <w:r w:rsidR="00564EBD">
        <w:rPr>
          <w:lang w:val="en-GB"/>
        </w:rPr>
        <w:t>financing of all dimensions of sustainable development.</w:t>
      </w:r>
      <w:r w:rsidR="00564EBD">
        <w:rPr>
          <w:rStyle w:val="FootnoteReference"/>
          <w:lang w:val="en-GB"/>
        </w:rPr>
        <w:footnoteReference w:id="15"/>
      </w:r>
      <w:r w:rsidR="00564EBD">
        <w:rPr>
          <w:lang w:val="en-GB"/>
        </w:rPr>
        <w:t>The process aligns with the 2030 Agenda, including the SDGs, and is State-led and voluntary.</w:t>
      </w:r>
      <w:r w:rsidR="00564EBD">
        <w:rPr>
          <w:rStyle w:val="FootnoteReference"/>
          <w:lang w:val="en-GB"/>
        </w:rPr>
        <w:footnoteReference w:id="16"/>
      </w:r>
      <w:r w:rsidR="00564EBD">
        <w:rPr>
          <w:lang w:val="en-GB"/>
        </w:rPr>
        <w:t xml:space="preserve"> </w:t>
      </w:r>
    </w:p>
    <w:p w14:paraId="04DF0000" w14:textId="1CD5BCB6" w:rsidR="00A83AF6" w:rsidRDefault="00A83AF6" w:rsidP="00A83AF6">
      <w:pPr>
        <w:pStyle w:val="Caption"/>
      </w:pPr>
      <w:bookmarkStart w:id="8" w:name="_Toc210730334"/>
      <w:r w:rsidRPr="00F34B94">
        <w:t xml:space="preserve">Exhibit </w:t>
      </w:r>
      <w:r w:rsidRPr="00F34B94">
        <w:fldChar w:fldCharType="begin"/>
      </w:r>
      <w:r w:rsidRPr="00F34B94">
        <w:instrText xml:space="preserve"> SEQ Table \* ARABIC </w:instrText>
      </w:r>
      <w:r w:rsidRPr="00F34B94">
        <w:fldChar w:fldCharType="separate"/>
      </w:r>
      <w:r>
        <w:t>1</w:t>
      </w:r>
      <w:r w:rsidRPr="00F34B94">
        <w:fldChar w:fldCharType="end"/>
      </w:r>
      <w:r w:rsidRPr="00F34B94">
        <w:t xml:space="preserve"> </w:t>
      </w:r>
      <w:r>
        <w:t xml:space="preserve">The INFF </w:t>
      </w:r>
      <w:r w:rsidR="00F05FBC">
        <w:t>building blocks</w:t>
      </w:r>
      <w:bookmarkEnd w:id="8"/>
    </w:p>
    <w:p w14:paraId="7A0FAF0D" w14:textId="77777777" w:rsidR="00A83AF6" w:rsidRDefault="00A83AF6" w:rsidP="00A83AF6">
      <w:pPr>
        <w:pStyle w:val="BodyText"/>
        <w:rPr>
          <w:lang w:val="en-GB"/>
        </w:rPr>
      </w:pPr>
      <w:r w:rsidRPr="00DE7EBE">
        <w:rPr>
          <w:noProof/>
        </w:rPr>
        <w:drawing>
          <wp:inline distT="0" distB="0" distL="0" distR="0" wp14:anchorId="23752231" wp14:editId="5FAD70E4">
            <wp:extent cx="2887039" cy="3061607"/>
            <wp:effectExtent l="0" t="0" r="8890" b="5715"/>
            <wp:docPr id="1537080004" name="Picture 1" descr="A diagram of a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080004" name="Picture 1" descr="A diagram of a diagram&#10;&#10;AI-generated content may be incorrect."/>
                    <pic:cNvPicPr/>
                  </pic:nvPicPr>
                  <pic:blipFill>
                    <a:blip r:embed="rId20"/>
                    <a:stretch>
                      <a:fillRect/>
                    </a:stretch>
                  </pic:blipFill>
                  <pic:spPr>
                    <a:xfrm>
                      <a:off x="0" y="0"/>
                      <a:ext cx="2887039" cy="3061607"/>
                    </a:xfrm>
                    <a:prstGeom prst="rect">
                      <a:avLst/>
                    </a:prstGeom>
                  </pic:spPr>
                </pic:pic>
              </a:graphicData>
            </a:graphic>
          </wp:inline>
        </w:drawing>
      </w:r>
    </w:p>
    <w:p w14:paraId="46BB889F" w14:textId="0B4A7763" w:rsidR="00A83AF6" w:rsidRPr="00F5487A" w:rsidRDefault="00A83AF6" w:rsidP="00A83AF6">
      <w:pPr>
        <w:rPr>
          <w:i/>
          <w:iCs/>
          <w:lang w:val="fr-CH" w:eastAsia="en-US"/>
        </w:rPr>
      </w:pPr>
      <w:r w:rsidRPr="00F5487A">
        <w:rPr>
          <w:i/>
          <w:iCs/>
          <w:lang w:val="fr-CH" w:eastAsia="en-US"/>
        </w:rPr>
        <w:t xml:space="preserve">Source: </w:t>
      </w:r>
      <w:hyperlink r:id="rId21" w:anchor="building-blocks" w:history="1">
        <w:r w:rsidR="003D3B45" w:rsidRPr="00F5487A">
          <w:rPr>
            <w:rStyle w:val="Hyperlink"/>
            <w:i/>
            <w:iCs/>
            <w:lang w:val="fr-CH" w:eastAsia="en-US"/>
          </w:rPr>
          <w:t>https://inff.org/about/about-inffs#building-blocks</w:t>
        </w:r>
      </w:hyperlink>
      <w:r w:rsidR="003D3B45" w:rsidRPr="00F5487A">
        <w:rPr>
          <w:i/>
          <w:iCs/>
          <w:lang w:val="fr-CH" w:eastAsia="en-US"/>
        </w:rPr>
        <w:t xml:space="preserve"> </w:t>
      </w:r>
    </w:p>
    <w:p w14:paraId="03C11F8E" w14:textId="4FCB6847" w:rsidR="005C535B" w:rsidRDefault="00DD5B5E" w:rsidP="00DD5B5E">
      <w:pPr>
        <w:pStyle w:val="BodyText"/>
        <w:rPr>
          <w:lang w:val="en-GB"/>
        </w:rPr>
      </w:pPr>
      <w:r>
        <w:rPr>
          <w:lang w:val="en-GB"/>
        </w:rPr>
        <w:t xml:space="preserve">The </w:t>
      </w:r>
      <w:r w:rsidR="00EB5520">
        <w:rPr>
          <w:lang w:val="en-GB"/>
        </w:rPr>
        <w:t xml:space="preserve">importance of </w:t>
      </w:r>
      <w:r>
        <w:rPr>
          <w:lang w:val="en-GB"/>
        </w:rPr>
        <w:t xml:space="preserve">the INFF tool </w:t>
      </w:r>
      <w:r w:rsidR="00EB5520">
        <w:rPr>
          <w:lang w:val="en-GB"/>
        </w:rPr>
        <w:t xml:space="preserve">for development financing </w:t>
      </w:r>
      <w:r>
        <w:rPr>
          <w:lang w:val="en-GB"/>
        </w:rPr>
        <w:t xml:space="preserve">was </w:t>
      </w:r>
      <w:r w:rsidR="00903E1C">
        <w:rPr>
          <w:lang w:val="en-GB"/>
        </w:rPr>
        <w:t xml:space="preserve">established </w:t>
      </w:r>
      <w:r>
        <w:rPr>
          <w:lang w:val="en-GB"/>
        </w:rPr>
        <w:t xml:space="preserve">during the </w:t>
      </w:r>
      <w:r w:rsidR="00B16154">
        <w:rPr>
          <w:lang w:val="en-GB"/>
        </w:rPr>
        <w:t>Third International Conference on Financing for Development</w:t>
      </w:r>
      <w:r w:rsidR="0087778C">
        <w:rPr>
          <w:lang w:val="en-GB"/>
        </w:rPr>
        <w:t xml:space="preserve"> (FFD3)</w:t>
      </w:r>
      <w:r w:rsidR="00B16154">
        <w:rPr>
          <w:lang w:val="en-GB"/>
        </w:rPr>
        <w:t>, which took place in Addis Ababa</w:t>
      </w:r>
      <w:r w:rsidR="009C4FE6">
        <w:rPr>
          <w:lang w:val="en-GB"/>
        </w:rPr>
        <w:t xml:space="preserve">, </w:t>
      </w:r>
      <w:r w:rsidR="009C4FE6">
        <w:rPr>
          <w:lang w:val="en-GB"/>
        </w:rPr>
        <w:t>Ethiopia</w:t>
      </w:r>
      <w:r w:rsidR="000156CA">
        <w:rPr>
          <w:lang w:val="en-GB"/>
        </w:rPr>
        <w:t>,</w:t>
      </w:r>
      <w:r w:rsidR="009C4FE6">
        <w:rPr>
          <w:lang w:val="en-GB"/>
        </w:rPr>
        <w:t xml:space="preserve"> in 2015.</w:t>
      </w:r>
      <w:r w:rsidR="00E86922">
        <w:rPr>
          <w:rStyle w:val="FootnoteReference"/>
          <w:lang w:val="en-GB"/>
        </w:rPr>
        <w:footnoteReference w:id="17"/>
      </w:r>
      <w:r w:rsidR="009C4FE6">
        <w:rPr>
          <w:lang w:val="en-GB"/>
        </w:rPr>
        <w:t xml:space="preserve"> </w:t>
      </w:r>
      <w:r w:rsidR="0087778C">
        <w:rPr>
          <w:lang w:val="en-GB"/>
        </w:rPr>
        <w:t xml:space="preserve">As </w:t>
      </w:r>
      <w:r w:rsidR="00E5419D">
        <w:rPr>
          <w:lang w:val="en-GB"/>
        </w:rPr>
        <w:t xml:space="preserve">the </w:t>
      </w:r>
      <w:r w:rsidR="0087778C">
        <w:rPr>
          <w:lang w:val="en-GB"/>
        </w:rPr>
        <w:t>major outcome of FF</w:t>
      </w:r>
      <w:r w:rsidR="00D01AB7">
        <w:rPr>
          <w:lang w:val="en-GB"/>
        </w:rPr>
        <w:t xml:space="preserve">D3, </w:t>
      </w:r>
      <w:r w:rsidR="00312C2B">
        <w:rPr>
          <w:lang w:val="en-GB"/>
        </w:rPr>
        <w:t>the 2015 Addis Agenda</w:t>
      </w:r>
      <w:r w:rsidR="00B559FC">
        <w:rPr>
          <w:lang w:val="en-GB"/>
        </w:rPr>
        <w:t xml:space="preserve"> </w:t>
      </w:r>
      <w:r w:rsidR="00B559FC" w:rsidRPr="00EC1C6F">
        <w:rPr>
          <w:lang w:val="en-GB"/>
        </w:rPr>
        <w:t xml:space="preserve">advocated </w:t>
      </w:r>
      <w:r w:rsidR="00EC1C6F">
        <w:rPr>
          <w:lang w:val="en-GB"/>
        </w:rPr>
        <w:t>the INFF as</w:t>
      </w:r>
      <w:r w:rsidR="004465E4">
        <w:rPr>
          <w:lang w:val="en-GB"/>
        </w:rPr>
        <w:t xml:space="preserve"> the </w:t>
      </w:r>
      <w:r w:rsidR="002F0B53">
        <w:rPr>
          <w:lang w:val="en-GB"/>
        </w:rPr>
        <w:t>main</w:t>
      </w:r>
      <w:r w:rsidR="00581488">
        <w:rPr>
          <w:lang w:val="en-GB"/>
        </w:rPr>
        <w:t xml:space="preserve"> tool for </w:t>
      </w:r>
      <w:r w:rsidR="002F0B53">
        <w:rPr>
          <w:lang w:val="en-GB"/>
        </w:rPr>
        <w:t>resource mobilisation</w:t>
      </w:r>
      <w:r w:rsidR="00985C78">
        <w:rPr>
          <w:lang w:val="en-GB"/>
        </w:rPr>
        <w:t xml:space="preserve"> and</w:t>
      </w:r>
      <w:r w:rsidR="00581488">
        <w:rPr>
          <w:lang w:val="en-GB"/>
        </w:rPr>
        <w:t xml:space="preserve"> coordination</w:t>
      </w:r>
      <w:r w:rsidR="00985C78">
        <w:rPr>
          <w:lang w:val="en-GB"/>
        </w:rPr>
        <w:t>,</w:t>
      </w:r>
      <w:r w:rsidR="00581488">
        <w:rPr>
          <w:lang w:val="en-GB"/>
        </w:rPr>
        <w:t xml:space="preserve"> and </w:t>
      </w:r>
      <w:r w:rsidR="00985C78">
        <w:rPr>
          <w:lang w:val="en-GB"/>
        </w:rPr>
        <w:t xml:space="preserve">the monitoring of national contributions </w:t>
      </w:r>
      <w:r w:rsidR="005C535B">
        <w:rPr>
          <w:lang w:val="en-GB"/>
        </w:rPr>
        <w:t>towards SDG achievement.</w:t>
      </w:r>
      <w:r w:rsidR="008E68E0" w:rsidRPr="008E68E0">
        <w:rPr>
          <w:rStyle w:val="FootnoteReference"/>
          <w:lang w:val="en-GB"/>
        </w:rPr>
        <w:t xml:space="preserve"> </w:t>
      </w:r>
      <w:r w:rsidR="008E68E0">
        <w:rPr>
          <w:rStyle w:val="FootnoteReference"/>
          <w:lang w:val="en-GB"/>
        </w:rPr>
        <w:footnoteReference w:id="18"/>
      </w:r>
    </w:p>
    <w:p w14:paraId="0B51FFDB" w14:textId="75F22D38" w:rsidR="0078489E" w:rsidRDefault="00A83AF6" w:rsidP="00F34B94">
      <w:pPr>
        <w:pStyle w:val="BodyText"/>
        <w:rPr>
          <w:lang w:val="en-GB"/>
        </w:rPr>
      </w:pPr>
      <w:r>
        <w:rPr>
          <w:lang w:val="en-GB"/>
        </w:rPr>
        <w:t>INFF</w:t>
      </w:r>
      <w:r w:rsidR="00EA7E35">
        <w:rPr>
          <w:lang w:val="en-GB"/>
        </w:rPr>
        <w:t xml:space="preserve">s are </w:t>
      </w:r>
      <w:r w:rsidR="007331BE">
        <w:rPr>
          <w:lang w:val="en-GB"/>
        </w:rPr>
        <w:t xml:space="preserve">embedded into </w:t>
      </w:r>
      <w:r w:rsidR="00535BAA">
        <w:rPr>
          <w:lang w:val="en-GB"/>
        </w:rPr>
        <w:t xml:space="preserve">strategic </w:t>
      </w:r>
      <w:r w:rsidR="00E4110A">
        <w:rPr>
          <w:lang w:val="en-GB"/>
        </w:rPr>
        <w:t>national</w:t>
      </w:r>
      <w:r w:rsidR="007E2267">
        <w:rPr>
          <w:lang w:val="en-GB"/>
        </w:rPr>
        <w:t xml:space="preserve"> processes </w:t>
      </w:r>
      <w:r w:rsidR="00535BAA">
        <w:rPr>
          <w:lang w:val="en-GB"/>
        </w:rPr>
        <w:t xml:space="preserve">to </w:t>
      </w:r>
      <w:r w:rsidR="00F5158B">
        <w:rPr>
          <w:lang w:val="en-GB"/>
        </w:rPr>
        <w:t>support the implementation of the 2015 Addis Agenda</w:t>
      </w:r>
      <w:r w:rsidR="00584CAC">
        <w:rPr>
          <w:lang w:val="en-GB"/>
        </w:rPr>
        <w:t xml:space="preserve">. </w:t>
      </w:r>
      <w:r w:rsidR="00EA7E35">
        <w:rPr>
          <w:lang w:val="en-GB"/>
        </w:rPr>
        <w:t>They</w:t>
      </w:r>
      <w:r w:rsidR="00D316AB">
        <w:rPr>
          <w:lang w:val="en-GB"/>
        </w:rPr>
        <w:t xml:space="preserve"> </w:t>
      </w:r>
      <w:r w:rsidR="002610F3">
        <w:rPr>
          <w:lang w:val="en-GB"/>
        </w:rPr>
        <w:t xml:space="preserve">are used to </w:t>
      </w:r>
      <w:r w:rsidR="0055259E">
        <w:rPr>
          <w:lang w:val="en-GB"/>
        </w:rPr>
        <w:t xml:space="preserve">source </w:t>
      </w:r>
      <w:r w:rsidR="00C31820">
        <w:rPr>
          <w:lang w:val="en-GB"/>
        </w:rPr>
        <w:t xml:space="preserve">the </w:t>
      </w:r>
      <w:r w:rsidR="003A0ACE">
        <w:rPr>
          <w:lang w:val="en-GB"/>
        </w:rPr>
        <w:t>financial resources t</w:t>
      </w:r>
      <w:r w:rsidR="00BD61C7">
        <w:rPr>
          <w:lang w:val="en-GB"/>
        </w:rPr>
        <w:t xml:space="preserve">hat </w:t>
      </w:r>
      <w:r w:rsidR="00B669B7">
        <w:rPr>
          <w:lang w:val="en-GB"/>
        </w:rPr>
        <w:t xml:space="preserve">States require </w:t>
      </w:r>
      <w:r w:rsidR="00C31820">
        <w:rPr>
          <w:lang w:val="en-GB"/>
        </w:rPr>
        <w:t xml:space="preserve">to </w:t>
      </w:r>
      <w:r w:rsidR="00AC723B">
        <w:rPr>
          <w:lang w:val="en-GB"/>
        </w:rPr>
        <w:t>achieve the objectives of</w:t>
      </w:r>
      <w:r w:rsidR="00B669B7">
        <w:rPr>
          <w:lang w:val="en-GB"/>
        </w:rPr>
        <w:t xml:space="preserve"> their</w:t>
      </w:r>
      <w:r w:rsidR="00AC723B">
        <w:rPr>
          <w:lang w:val="en-GB"/>
        </w:rPr>
        <w:t xml:space="preserve"> strategic national development plans. The INFF tool </w:t>
      </w:r>
      <w:r w:rsidR="00584CAC">
        <w:rPr>
          <w:lang w:val="en-GB"/>
        </w:rPr>
        <w:t>allow</w:t>
      </w:r>
      <w:r w:rsidR="00AC723B">
        <w:rPr>
          <w:lang w:val="en-GB"/>
        </w:rPr>
        <w:t>s</w:t>
      </w:r>
      <w:r w:rsidR="00584CAC">
        <w:rPr>
          <w:lang w:val="en-GB"/>
        </w:rPr>
        <w:t xml:space="preserve"> </w:t>
      </w:r>
      <w:r w:rsidR="00907CF2">
        <w:rPr>
          <w:lang w:val="en-GB"/>
        </w:rPr>
        <w:t>States to</w:t>
      </w:r>
      <w:r w:rsidR="00595623">
        <w:rPr>
          <w:lang w:val="en-GB"/>
        </w:rPr>
        <w:t xml:space="preserve">: </w:t>
      </w:r>
    </w:p>
    <w:p w14:paraId="42957D58" w14:textId="7148F8CD" w:rsidR="0078489E" w:rsidRDefault="0078489E" w:rsidP="003B672F">
      <w:pPr>
        <w:pStyle w:val="BodyText"/>
        <w:numPr>
          <w:ilvl w:val="0"/>
          <w:numId w:val="83"/>
        </w:numPr>
        <w:rPr>
          <w:lang w:val="en-GB"/>
        </w:rPr>
      </w:pPr>
      <w:r>
        <w:rPr>
          <w:lang w:val="en-GB"/>
        </w:rPr>
        <w:t>I</w:t>
      </w:r>
      <w:r w:rsidR="00907CF2">
        <w:rPr>
          <w:lang w:val="en-GB"/>
        </w:rPr>
        <w:t xml:space="preserve">dentify </w:t>
      </w:r>
      <w:r w:rsidR="001B61E8">
        <w:rPr>
          <w:lang w:val="en-GB"/>
        </w:rPr>
        <w:t xml:space="preserve">and mobilise </w:t>
      </w:r>
      <w:r w:rsidR="00C00357">
        <w:rPr>
          <w:lang w:val="en-GB"/>
        </w:rPr>
        <w:t>all sources of potential financing (</w:t>
      </w:r>
      <w:r w:rsidR="00595623">
        <w:rPr>
          <w:lang w:val="en-GB"/>
        </w:rPr>
        <w:t xml:space="preserve">i.e. from </w:t>
      </w:r>
      <w:r w:rsidR="00C00357">
        <w:rPr>
          <w:lang w:val="en-GB"/>
        </w:rPr>
        <w:t>international; domestic; private; and public</w:t>
      </w:r>
      <w:r w:rsidR="00595623">
        <w:rPr>
          <w:lang w:val="en-GB"/>
        </w:rPr>
        <w:t xml:space="preserve"> sources)</w:t>
      </w:r>
      <w:r w:rsidR="00E856C9">
        <w:rPr>
          <w:lang w:val="en-GB"/>
        </w:rPr>
        <w:t>;</w:t>
      </w:r>
      <w:r>
        <w:rPr>
          <w:lang w:val="en-GB"/>
        </w:rPr>
        <w:t xml:space="preserve"> and</w:t>
      </w:r>
    </w:p>
    <w:p w14:paraId="22EE903B" w14:textId="70FB2EE6" w:rsidR="000D0B7F" w:rsidRDefault="00A72294" w:rsidP="003B672F">
      <w:pPr>
        <w:pStyle w:val="BodyText"/>
        <w:numPr>
          <w:ilvl w:val="0"/>
          <w:numId w:val="83"/>
        </w:numPr>
        <w:rPr>
          <w:lang w:val="en-GB"/>
        </w:rPr>
      </w:pPr>
      <w:r>
        <w:rPr>
          <w:lang w:val="en-GB"/>
        </w:rPr>
        <w:t xml:space="preserve">Develop a strategic approach </w:t>
      </w:r>
      <w:r w:rsidR="002001D8">
        <w:rPr>
          <w:lang w:val="en-GB"/>
        </w:rPr>
        <w:t>for</w:t>
      </w:r>
      <w:r w:rsidR="00C31BCE">
        <w:rPr>
          <w:lang w:val="en-GB"/>
        </w:rPr>
        <w:t xml:space="preserve"> increase</w:t>
      </w:r>
      <w:r w:rsidR="00E67B4F">
        <w:rPr>
          <w:lang w:val="en-GB"/>
        </w:rPr>
        <w:t>d</w:t>
      </w:r>
      <w:r w:rsidR="00C31BCE">
        <w:rPr>
          <w:lang w:val="en-GB"/>
        </w:rPr>
        <w:t xml:space="preserve"> investment</w:t>
      </w:r>
      <w:r w:rsidR="002001D8">
        <w:rPr>
          <w:lang w:val="en-GB"/>
        </w:rPr>
        <w:t xml:space="preserve">; </w:t>
      </w:r>
      <w:r w:rsidR="00E67B4F">
        <w:rPr>
          <w:lang w:val="en-GB"/>
        </w:rPr>
        <w:t xml:space="preserve">risk </w:t>
      </w:r>
      <w:r w:rsidR="002001D8">
        <w:rPr>
          <w:lang w:val="en-GB"/>
        </w:rPr>
        <w:t>manag</w:t>
      </w:r>
      <w:r w:rsidR="00C31BCE">
        <w:rPr>
          <w:lang w:val="en-GB"/>
        </w:rPr>
        <w:t>e</w:t>
      </w:r>
      <w:r w:rsidR="00E67B4F">
        <w:rPr>
          <w:lang w:val="en-GB"/>
        </w:rPr>
        <w:t>ment</w:t>
      </w:r>
      <w:r w:rsidR="00C31BCE">
        <w:rPr>
          <w:lang w:val="en-GB"/>
        </w:rPr>
        <w:t xml:space="preserve">; and </w:t>
      </w:r>
      <w:r w:rsidR="00E67B4F">
        <w:rPr>
          <w:lang w:val="en-GB"/>
        </w:rPr>
        <w:t xml:space="preserve">the </w:t>
      </w:r>
      <w:r w:rsidR="00C31BCE">
        <w:rPr>
          <w:lang w:val="en-GB"/>
        </w:rPr>
        <w:t>achieve</w:t>
      </w:r>
      <w:r w:rsidR="00E67B4F">
        <w:rPr>
          <w:lang w:val="en-GB"/>
        </w:rPr>
        <w:t>ment of the national</w:t>
      </w:r>
      <w:r w:rsidR="00C31BCE">
        <w:rPr>
          <w:lang w:val="en-GB"/>
        </w:rPr>
        <w:t xml:space="preserve"> </w:t>
      </w:r>
      <w:r w:rsidR="00E67B4F">
        <w:rPr>
          <w:lang w:val="en-GB"/>
        </w:rPr>
        <w:t>priorities for sustainable development</w:t>
      </w:r>
    </w:p>
    <w:p w14:paraId="00D7D594" w14:textId="0ABECAC6" w:rsidR="0049093F" w:rsidRDefault="000D0B7F" w:rsidP="007778A8">
      <w:pPr>
        <w:pStyle w:val="BodyText"/>
        <w:rPr>
          <w:lang w:val="en-GB"/>
        </w:rPr>
      </w:pPr>
      <w:r w:rsidRPr="006F029A">
        <w:rPr>
          <w:i/>
          <w:iCs/>
          <w:lang w:val="en-GB"/>
        </w:rPr>
        <w:t>Source</w:t>
      </w:r>
      <w:r w:rsidR="007778A8" w:rsidRPr="006F029A">
        <w:rPr>
          <w:i/>
          <w:iCs/>
          <w:lang w:val="en-GB"/>
        </w:rPr>
        <w:t>: Adapted from</w:t>
      </w:r>
      <w:r w:rsidR="007778A8">
        <w:rPr>
          <w:lang w:val="en-GB"/>
        </w:rPr>
        <w:t xml:space="preserve"> </w:t>
      </w:r>
      <w:hyperlink r:id="rId22" w:history="1">
        <w:r w:rsidR="00FA3BFF" w:rsidRPr="00754D57">
          <w:rPr>
            <w:rStyle w:val="Hyperlink"/>
            <w:lang w:val="en-GB"/>
          </w:rPr>
          <w:t>https://inff.org/about/about-inffs</w:t>
        </w:r>
      </w:hyperlink>
      <w:r w:rsidR="00BF07AD">
        <w:rPr>
          <w:lang w:val="en-GB"/>
        </w:rPr>
        <w:t>.</w:t>
      </w:r>
      <w:r w:rsidR="00FA3BFF">
        <w:rPr>
          <w:lang w:val="en-GB"/>
        </w:rPr>
        <w:t xml:space="preserve"> </w:t>
      </w:r>
      <w:r w:rsidR="004C2A39">
        <w:rPr>
          <w:lang w:val="en-GB"/>
        </w:rPr>
        <w:t xml:space="preserve"> </w:t>
      </w:r>
    </w:p>
    <w:p w14:paraId="5FF5420B" w14:textId="51FF2490" w:rsidR="006D3791" w:rsidRDefault="00904CF5" w:rsidP="007778A8">
      <w:pPr>
        <w:pStyle w:val="BodyText"/>
        <w:rPr>
          <w:lang w:val="en-GB"/>
        </w:rPr>
      </w:pPr>
      <w:r>
        <w:rPr>
          <w:lang w:val="en-GB"/>
        </w:rPr>
        <w:t xml:space="preserve">As a result, </w:t>
      </w:r>
      <w:r w:rsidR="0015394C">
        <w:rPr>
          <w:lang w:val="en-GB"/>
        </w:rPr>
        <w:t xml:space="preserve">while the INFF concept is transferrable across countries, the </w:t>
      </w:r>
      <w:r w:rsidR="00544AE8">
        <w:rPr>
          <w:lang w:val="en-GB"/>
        </w:rPr>
        <w:t xml:space="preserve">INFF </w:t>
      </w:r>
      <w:r w:rsidR="0015394C">
        <w:rPr>
          <w:lang w:val="en-GB"/>
        </w:rPr>
        <w:t>tool</w:t>
      </w:r>
      <w:r w:rsidR="00544AE8">
        <w:rPr>
          <w:lang w:val="en-GB"/>
        </w:rPr>
        <w:t xml:space="preserve"> is not based on a one-size-fits-all approach.</w:t>
      </w:r>
      <w:r w:rsidR="00544AE8">
        <w:rPr>
          <w:rStyle w:val="FootnoteReference"/>
          <w:lang w:val="en-GB"/>
        </w:rPr>
        <w:footnoteReference w:id="19"/>
      </w:r>
      <w:r w:rsidR="00544AE8">
        <w:rPr>
          <w:lang w:val="en-GB"/>
        </w:rPr>
        <w:t xml:space="preserve"> </w:t>
      </w:r>
      <w:r w:rsidR="00FB7274">
        <w:rPr>
          <w:lang w:val="en-GB"/>
        </w:rPr>
        <w:t xml:space="preserve">The </w:t>
      </w:r>
      <w:r w:rsidR="007973EA">
        <w:rPr>
          <w:lang w:val="en-GB"/>
        </w:rPr>
        <w:t xml:space="preserve">facilitation </w:t>
      </w:r>
      <w:r w:rsidR="00FB7274">
        <w:rPr>
          <w:lang w:val="en-GB"/>
        </w:rPr>
        <w:t xml:space="preserve">of the INFF </w:t>
      </w:r>
      <w:r w:rsidR="00F05FBC">
        <w:rPr>
          <w:lang w:val="en-GB"/>
        </w:rPr>
        <w:t>building blocks</w:t>
      </w:r>
      <w:r w:rsidR="00D1005C">
        <w:rPr>
          <w:lang w:val="en-GB"/>
        </w:rPr>
        <w:t xml:space="preserve"> is based on an iterative process</w:t>
      </w:r>
      <w:r w:rsidR="00E513FB">
        <w:rPr>
          <w:lang w:val="en-GB"/>
        </w:rPr>
        <w:t xml:space="preserve"> that is informed by country conte</w:t>
      </w:r>
      <w:r w:rsidR="00F771D6">
        <w:rPr>
          <w:lang w:val="en-GB"/>
        </w:rPr>
        <w:t>x</w:t>
      </w:r>
      <w:r w:rsidR="00E513FB">
        <w:rPr>
          <w:lang w:val="en-GB"/>
        </w:rPr>
        <w:t xml:space="preserve">t, with emphasis on </w:t>
      </w:r>
      <w:r w:rsidR="00053C33">
        <w:rPr>
          <w:lang w:val="en-GB"/>
        </w:rPr>
        <w:t xml:space="preserve">national </w:t>
      </w:r>
      <w:r w:rsidR="00597101">
        <w:rPr>
          <w:lang w:val="en-GB"/>
        </w:rPr>
        <w:t>strategies</w:t>
      </w:r>
      <w:r w:rsidR="00DF420D">
        <w:rPr>
          <w:lang w:val="en-GB"/>
        </w:rPr>
        <w:t xml:space="preserve"> and priorities</w:t>
      </w:r>
      <w:r w:rsidR="00191A1B">
        <w:rPr>
          <w:lang w:val="en-GB"/>
        </w:rPr>
        <w:t xml:space="preserve">; </w:t>
      </w:r>
      <w:r w:rsidR="00DF420D">
        <w:rPr>
          <w:lang w:val="en-GB"/>
        </w:rPr>
        <w:t xml:space="preserve">capacities and </w:t>
      </w:r>
      <w:r w:rsidR="0029216D">
        <w:rPr>
          <w:lang w:val="en-GB"/>
        </w:rPr>
        <w:t>administrative structures</w:t>
      </w:r>
      <w:r w:rsidR="002D1786">
        <w:rPr>
          <w:lang w:val="en-GB"/>
        </w:rPr>
        <w:t xml:space="preserve"> (</w:t>
      </w:r>
      <w:r w:rsidR="00DF420D">
        <w:rPr>
          <w:lang w:val="en-GB"/>
        </w:rPr>
        <w:t xml:space="preserve">e.g. </w:t>
      </w:r>
      <w:r w:rsidR="002D1786">
        <w:rPr>
          <w:lang w:val="en-GB"/>
        </w:rPr>
        <w:t xml:space="preserve">processes; mechanisms; frameworks; </w:t>
      </w:r>
      <w:r w:rsidR="00DF420D">
        <w:rPr>
          <w:lang w:val="en-GB"/>
        </w:rPr>
        <w:t xml:space="preserve">resources; </w:t>
      </w:r>
      <w:r w:rsidR="002D1786">
        <w:rPr>
          <w:lang w:val="en-GB"/>
        </w:rPr>
        <w:t>etc.)</w:t>
      </w:r>
      <w:r w:rsidR="00DF420D">
        <w:rPr>
          <w:lang w:val="en-GB"/>
        </w:rPr>
        <w:t xml:space="preserve">; </w:t>
      </w:r>
      <w:r w:rsidR="006D3791">
        <w:rPr>
          <w:lang w:val="en-GB"/>
        </w:rPr>
        <w:t>vulnerabilities and strengths</w:t>
      </w:r>
      <w:r w:rsidR="00AC3F51">
        <w:rPr>
          <w:lang w:val="en-GB"/>
        </w:rPr>
        <w:t xml:space="preserve"> (see Exhibit 2). </w:t>
      </w:r>
      <w:r w:rsidR="0031307B">
        <w:rPr>
          <w:lang w:val="en-GB"/>
        </w:rPr>
        <w:t xml:space="preserve">Each building block is informed by </w:t>
      </w:r>
      <w:r w:rsidR="00A16AD7">
        <w:rPr>
          <w:lang w:val="en-GB"/>
        </w:rPr>
        <w:t xml:space="preserve">and/ or reinforces </w:t>
      </w:r>
      <w:r w:rsidR="0031307B">
        <w:rPr>
          <w:lang w:val="en-GB"/>
        </w:rPr>
        <w:t xml:space="preserve">the </w:t>
      </w:r>
      <w:r w:rsidR="00F47983">
        <w:rPr>
          <w:lang w:val="en-GB"/>
        </w:rPr>
        <w:t xml:space="preserve">development of the </w:t>
      </w:r>
      <w:r w:rsidR="00A16AD7">
        <w:rPr>
          <w:lang w:val="en-GB"/>
        </w:rPr>
        <w:t xml:space="preserve">other </w:t>
      </w:r>
      <w:r w:rsidR="00F05FBC">
        <w:rPr>
          <w:lang w:val="en-GB"/>
        </w:rPr>
        <w:t>building blocks</w:t>
      </w:r>
      <w:r w:rsidR="00F47983">
        <w:rPr>
          <w:lang w:val="en-GB"/>
        </w:rPr>
        <w:t xml:space="preserve">. </w:t>
      </w:r>
    </w:p>
    <w:p w14:paraId="1BD072DB" w14:textId="0C5D5135" w:rsidR="00AE7CCA" w:rsidRDefault="001E700E" w:rsidP="007778A8">
      <w:pPr>
        <w:pStyle w:val="BodyText"/>
        <w:rPr>
          <w:lang w:val="en-GB"/>
        </w:rPr>
      </w:pPr>
      <w:r>
        <w:rPr>
          <w:lang w:val="en-GB"/>
        </w:rPr>
        <w:t xml:space="preserve">In </w:t>
      </w:r>
      <w:r w:rsidR="00E060DF">
        <w:rPr>
          <w:lang w:val="en-GB"/>
        </w:rPr>
        <w:t xml:space="preserve">2015, </w:t>
      </w:r>
      <w:r w:rsidR="00854695">
        <w:rPr>
          <w:lang w:val="en-GB"/>
        </w:rPr>
        <w:t>the</w:t>
      </w:r>
      <w:r w:rsidR="00577E91">
        <w:rPr>
          <w:lang w:val="en-GB"/>
        </w:rPr>
        <w:t xml:space="preserve"> UN</w:t>
      </w:r>
      <w:r w:rsidR="00854695">
        <w:rPr>
          <w:lang w:val="en-GB"/>
        </w:rPr>
        <w:t xml:space="preserve"> </w:t>
      </w:r>
      <w:r w:rsidR="00577E91">
        <w:rPr>
          <w:lang w:val="en-GB"/>
        </w:rPr>
        <w:t xml:space="preserve">Secretary General convened the </w:t>
      </w:r>
      <w:r w:rsidR="00204310">
        <w:rPr>
          <w:lang w:val="en-GB"/>
        </w:rPr>
        <w:t>Inter</w:t>
      </w:r>
      <w:r w:rsidR="001E6B52">
        <w:rPr>
          <w:lang w:val="en-GB"/>
        </w:rPr>
        <w:t>-Agency Task Force (IATF) on F</w:t>
      </w:r>
      <w:r w:rsidR="00F15518">
        <w:rPr>
          <w:lang w:val="en-GB"/>
        </w:rPr>
        <w:t>inancing for Development</w:t>
      </w:r>
      <w:r w:rsidR="00E060DF">
        <w:rPr>
          <w:lang w:val="en-GB"/>
        </w:rPr>
        <w:t xml:space="preserve"> to monitor State-level progress in facilitati</w:t>
      </w:r>
      <w:r w:rsidR="00407075">
        <w:rPr>
          <w:lang w:val="en-GB"/>
        </w:rPr>
        <w:t>ng</w:t>
      </w:r>
      <w:r w:rsidR="00E060DF">
        <w:rPr>
          <w:lang w:val="en-GB"/>
        </w:rPr>
        <w:t xml:space="preserve"> </w:t>
      </w:r>
      <w:r w:rsidR="00280F0E">
        <w:rPr>
          <w:lang w:val="en-GB"/>
        </w:rPr>
        <w:t>INFFs</w:t>
      </w:r>
      <w:r w:rsidR="00764DA3">
        <w:rPr>
          <w:lang w:val="en-GB"/>
        </w:rPr>
        <w:t>.</w:t>
      </w:r>
      <w:r w:rsidR="00C96D83">
        <w:rPr>
          <w:rStyle w:val="FootnoteReference"/>
          <w:lang w:val="en-GB"/>
        </w:rPr>
        <w:footnoteReference w:id="20"/>
      </w:r>
      <w:r w:rsidR="00764DA3">
        <w:rPr>
          <w:lang w:val="en-GB"/>
        </w:rPr>
        <w:t xml:space="preserve"> The IATF </w:t>
      </w:r>
      <w:r w:rsidR="005E7A3E">
        <w:rPr>
          <w:lang w:val="en-GB"/>
        </w:rPr>
        <w:t xml:space="preserve">comprises </w:t>
      </w:r>
      <w:r w:rsidR="00662033">
        <w:rPr>
          <w:lang w:val="en-GB"/>
        </w:rPr>
        <w:t xml:space="preserve">representatives from </w:t>
      </w:r>
      <w:r w:rsidR="007559DD">
        <w:rPr>
          <w:lang w:val="en-GB"/>
        </w:rPr>
        <w:t xml:space="preserve">over 50 </w:t>
      </w:r>
      <w:r w:rsidR="005E7A3E">
        <w:rPr>
          <w:lang w:val="en-GB"/>
        </w:rPr>
        <w:t>UN Agencies, programmes and offices; RECs</w:t>
      </w:r>
      <w:r w:rsidR="005A1CF3">
        <w:rPr>
          <w:lang w:val="en-GB"/>
        </w:rPr>
        <w:t xml:space="preserve">; and </w:t>
      </w:r>
      <w:r w:rsidR="00D910D7">
        <w:rPr>
          <w:lang w:val="en-GB"/>
        </w:rPr>
        <w:t>other relevant international institutions</w:t>
      </w:r>
      <w:r w:rsidR="00662033">
        <w:rPr>
          <w:lang w:val="en-GB"/>
        </w:rPr>
        <w:t xml:space="preserve">. </w:t>
      </w:r>
      <w:r w:rsidR="00F951D4">
        <w:rPr>
          <w:lang w:val="en-GB"/>
        </w:rPr>
        <w:t xml:space="preserve">While </w:t>
      </w:r>
      <w:r w:rsidR="00BA5D6A">
        <w:rPr>
          <w:lang w:val="en-GB"/>
        </w:rPr>
        <w:t xml:space="preserve">the IATF has been </w:t>
      </w:r>
      <w:r w:rsidR="00662033">
        <w:rPr>
          <w:lang w:val="en-GB"/>
        </w:rPr>
        <w:t>respon</w:t>
      </w:r>
      <w:r w:rsidR="007559DD">
        <w:rPr>
          <w:lang w:val="en-GB"/>
        </w:rPr>
        <w:t xml:space="preserve">sible for </w:t>
      </w:r>
      <w:r w:rsidR="00BA5D6A">
        <w:rPr>
          <w:lang w:val="en-GB"/>
        </w:rPr>
        <w:t xml:space="preserve">annual progress reporting on the </w:t>
      </w:r>
      <w:r w:rsidR="007242A3">
        <w:rPr>
          <w:lang w:val="en-GB"/>
        </w:rPr>
        <w:t>implementation of the 2015 A</w:t>
      </w:r>
      <w:r w:rsidR="00280F0E">
        <w:rPr>
          <w:lang w:val="en-GB"/>
        </w:rPr>
        <w:t>d</w:t>
      </w:r>
      <w:r w:rsidR="007242A3">
        <w:rPr>
          <w:lang w:val="en-GB"/>
        </w:rPr>
        <w:t xml:space="preserve">dis Agenda, inter alia, </w:t>
      </w:r>
      <w:r w:rsidR="00451BAA">
        <w:rPr>
          <w:lang w:val="en-GB"/>
        </w:rPr>
        <w:t xml:space="preserve">it has </w:t>
      </w:r>
      <w:r w:rsidR="00FB4D1F">
        <w:rPr>
          <w:lang w:val="en-GB"/>
        </w:rPr>
        <w:t xml:space="preserve">also </w:t>
      </w:r>
      <w:r w:rsidR="00451BAA">
        <w:rPr>
          <w:lang w:val="en-GB"/>
        </w:rPr>
        <w:t xml:space="preserve">played a major role in providing guidance to </w:t>
      </w:r>
      <w:r w:rsidR="00451BAA">
        <w:rPr>
          <w:lang w:val="en-GB"/>
        </w:rPr>
        <w:lastRenderedPageBreak/>
        <w:t xml:space="preserve">States for INFF </w:t>
      </w:r>
      <w:r w:rsidR="00246960">
        <w:rPr>
          <w:lang w:val="en-GB"/>
        </w:rPr>
        <w:t>development</w:t>
      </w:r>
      <w:r w:rsidR="00451BAA">
        <w:rPr>
          <w:lang w:val="en-GB"/>
        </w:rPr>
        <w:t>. In 20</w:t>
      </w:r>
      <w:r w:rsidR="00C952BE">
        <w:rPr>
          <w:lang w:val="en-GB"/>
        </w:rPr>
        <w:t xml:space="preserve">20, for example, the IATF </w:t>
      </w:r>
      <w:r w:rsidR="000167B8">
        <w:rPr>
          <w:lang w:val="en-GB"/>
        </w:rPr>
        <w:t xml:space="preserve">produced </w:t>
      </w:r>
      <w:hyperlink r:id="rId23" w:history="1">
        <w:r w:rsidR="000167B8" w:rsidRPr="00405E27">
          <w:rPr>
            <w:rStyle w:val="Hyperlink"/>
            <w:lang w:val="en-GB"/>
          </w:rPr>
          <w:t xml:space="preserve">an </w:t>
        </w:r>
        <w:r w:rsidR="0027721C" w:rsidRPr="00405E27">
          <w:rPr>
            <w:rStyle w:val="Hyperlink"/>
            <w:lang w:val="en-GB"/>
          </w:rPr>
          <w:t xml:space="preserve">inception phase guide </w:t>
        </w:r>
        <w:r w:rsidR="00AE7CCA" w:rsidRPr="00405E27">
          <w:rPr>
            <w:rStyle w:val="Hyperlink"/>
            <w:lang w:val="en-GB"/>
          </w:rPr>
          <w:t>on starting an INFF</w:t>
        </w:r>
      </w:hyperlink>
      <w:r w:rsidR="00AE7CCA">
        <w:rPr>
          <w:lang w:val="en-GB"/>
        </w:rPr>
        <w:t xml:space="preserve">, and </w:t>
      </w:r>
      <w:hyperlink r:id="rId24" w:history="1">
        <w:r w:rsidR="00AE7CCA" w:rsidRPr="00B02596">
          <w:rPr>
            <w:rStyle w:val="Hyperlink"/>
            <w:lang w:val="en-GB"/>
          </w:rPr>
          <w:t>guidance for Building Block 1: Assessment and Diagnostics</w:t>
        </w:r>
      </w:hyperlink>
      <w:r w:rsidR="00AE7CCA">
        <w:rPr>
          <w:lang w:val="en-GB"/>
        </w:rPr>
        <w:t>.</w:t>
      </w:r>
    </w:p>
    <w:p w14:paraId="3D3A10B2" w14:textId="2B6DA7EB" w:rsidR="00AC3F51" w:rsidRDefault="00AC3F51" w:rsidP="00AC3F51">
      <w:pPr>
        <w:pStyle w:val="Caption"/>
      </w:pPr>
      <w:bookmarkStart w:id="9" w:name="_Toc210730335"/>
      <w:r w:rsidRPr="00F34B94">
        <w:t xml:space="preserve">Exhibit </w:t>
      </w:r>
      <w:r w:rsidRPr="00F34B94">
        <w:fldChar w:fldCharType="begin"/>
      </w:r>
      <w:r w:rsidRPr="00F34B94">
        <w:instrText xml:space="preserve"> SEQ Table \* ARABIC </w:instrText>
      </w:r>
      <w:r w:rsidRPr="00F34B94">
        <w:fldChar w:fldCharType="separate"/>
      </w:r>
      <w:r w:rsidR="00E005E2">
        <w:rPr>
          <w:noProof/>
        </w:rPr>
        <w:t>2</w:t>
      </w:r>
      <w:r w:rsidRPr="00F34B94">
        <w:fldChar w:fldCharType="end"/>
      </w:r>
      <w:r w:rsidRPr="00F34B94">
        <w:t xml:space="preserve"> </w:t>
      </w:r>
      <w:r w:rsidR="00020258">
        <w:t xml:space="preserve">Elements of the </w:t>
      </w:r>
      <w:r>
        <w:t xml:space="preserve">INFF </w:t>
      </w:r>
      <w:r w:rsidR="00E2439D">
        <w:t>process</w:t>
      </w:r>
      <w:bookmarkEnd w:id="9"/>
    </w:p>
    <w:tbl>
      <w:tblPr>
        <w:tblStyle w:val="BlueTable"/>
        <w:tblW w:w="5000" w:type="pct"/>
        <w:jc w:val="center"/>
        <w:tblLook w:val="04A0" w:firstRow="1" w:lastRow="0" w:firstColumn="1" w:lastColumn="0" w:noHBand="0" w:noVBand="1"/>
      </w:tblPr>
      <w:tblGrid>
        <w:gridCol w:w="1552"/>
        <w:gridCol w:w="3077"/>
      </w:tblGrid>
      <w:tr w:rsidR="008946D1" w:rsidRPr="00D12632" w14:paraId="22082D25" w14:textId="77777777" w:rsidTr="00BE13D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52" w:type="dxa"/>
          </w:tcPr>
          <w:p w14:paraId="06285C9E" w14:textId="4F0BBD3B" w:rsidR="008946D1" w:rsidRPr="00D12632" w:rsidRDefault="0022030D" w:rsidP="0077692D">
            <w:r>
              <w:t>Phase/ Building block</w:t>
            </w:r>
          </w:p>
        </w:tc>
        <w:tc>
          <w:tcPr>
            <w:tcW w:w="3077" w:type="dxa"/>
          </w:tcPr>
          <w:p w14:paraId="5575C4B5" w14:textId="77777777" w:rsidR="008946D1" w:rsidRPr="00D12632" w:rsidRDefault="008946D1" w:rsidP="00DA2649">
            <w:pPr>
              <w:jc w:val="center"/>
              <w:cnfStyle w:val="100000000000" w:firstRow="1" w:lastRow="0" w:firstColumn="0" w:lastColumn="0" w:oddVBand="0" w:evenVBand="0" w:oddHBand="0" w:evenHBand="0" w:firstRowFirstColumn="0" w:firstRowLastColumn="0" w:lastRowFirstColumn="0" w:lastRowLastColumn="0"/>
            </w:pPr>
            <w:r w:rsidRPr="00D12632">
              <w:t>Description</w:t>
            </w:r>
          </w:p>
        </w:tc>
      </w:tr>
      <w:tr w:rsidR="008946D1" w:rsidRPr="00884EEC" w14:paraId="7893FCF7"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2EB8B2AB" w14:textId="1D760045" w:rsidR="008946D1" w:rsidRPr="00D12632" w:rsidRDefault="00744C63" w:rsidP="00E4778C">
            <w:pPr>
              <w:spacing w:before="0" w:after="120"/>
            </w:pPr>
            <w:r>
              <w:t>Inception phase</w:t>
            </w:r>
          </w:p>
        </w:tc>
        <w:tc>
          <w:tcPr>
            <w:tcW w:w="3077" w:type="dxa"/>
          </w:tcPr>
          <w:p w14:paraId="516AC1AF" w14:textId="77777777" w:rsidR="008946D1" w:rsidRDefault="00AE6B9D" w:rsidP="00E4778C">
            <w:pPr>
              <w:pStyle w:val="Normal-sizedTableBullets"/>
              <w:spacing w:before="0" w:after="120"/>
              <w:ind w:left="197" w:hanging="197"/>
              <w:cnfStyle w:val="000000000000" w:firstRow="0" w:lastRow="0" w:firstColumn="0" w:lastColumn="0" w:oddVBand="0" w:evenVBand="0" w:oddHBand="0" w:evenHBand="0" w:firstRowFirstColumn="0" w:firstRowLastColumn="0" w:lastRowFirstColumn="0" w:lastRowLastColumn="0"/>
            </w:pPr>
            <w:r>
              <w:t xml:space="preserve">Scoping exercise </w:t>
            </w:r>
            <w:r w:rsidR="00522619">
              <w:t>to assess the financial lan</w:t>
            </w:r>
            <w:r w:rsidR="00084089">
              <w:t>dscape</w:t>
            </w:r>
          </w:p>
          <w:p w14:paraId="30CC46CD" w14:textId="77777777" w:rsidR="00084089" w:rsidRDefault="00084089" w:rsidP="00E4778C">
            <w:pPr>
              <w:pStyle w:val="Normal-sizedTableBullets"/>
              <w:spacing w:before="0" w:after="120"/>
              <w:ind w:left="197" w:hanging="197"/>
              <w:jc w:val="both"/>
              <w:cnfStyle w:val="000000000000" w:firstRow="0" w:lastRow="0" w:firstColumn="0" w:lastColumn="0" w:oddVBand="0" w:evenVBand="0" w:oddHBand="0" w:evenHBand="0" w:firstRowFirstColumn="0" w:firstRowLastColumn="0" w:lastRowFirstColumn="0" w:lastRowLastColumn="0"/>
            </w:pPr>
            <w:r>
              <w:t>Identification of an institutional home for the INFF process</w:t>
            </w:r>
          </w:p>
          <w:p w14:paraId="12E865BF" w14:textId="5A96C6A4" w:rsidR="009C220E" w:rsidRPr="00884EEC" w:rsidRDefault="009C220E" w:rsidP="00E4778C">
            <w:pPr>
              <w:pStyle w:val="Normal-sizedTableBullets"/>
              <w:spacing w:before="0" w:after="120"/>
              <w:ind w:left="197" w:hanging="197"/>
              <w:cnfStyle w:val="000000000000" w:firstRow="0" w:lastRow="0" w:firstColumn="0" w:lastColumn="0" w:oddVBand="0" w:evenVBand="0" w:oddHBand="0" w:evenHBand="0" w:firstRowFirstColumn="0" w:firstRowLastColumn="0" w:lastRowFirstColumn="0" w:lastRowLastColumn="0"/>
            </w:pPr>
            <w:r>
              <w:t xml:space="preserve">Development of an INFF roadmap </w:t>
            </w:r>
          </w:p>
        </w:tc>
      </w:tr>
      <w:tr w:rsidR="008946D1" w:rsidRPr="00041EA7" w14:paraId="5756B795"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605C92DA" w14:textId="1CF3C528" w:rsidR="008946D1" w:rsidRPr="00D12632" w:rsidRDefault="00744C63" w:rsidP="00E4778C">
            <w:pPr>
              <w:spacing w:before="0" w:after="120"/>
            </w:pPr>
            <w:r>
              <w:t xml:space="preserve">Assessment </w:t>
            </w:r>
            <w:r w:rsidR="00757E77">
              <w:t>&amp;</w:t>
            </w:r>
            <w:r>
              <w:t xml:space="preserve"> diagnostics</w:t>
            </w:r>
          </w:p>
        </w:tc>
        <w:tc>
          <w:tcPr>
            <w:tcW w:w="3077" w:type="dxa"/>
          </w:tcPr>
          <w:p w14:paraId="526A5DD3" w14:textId="77777777" w:rsidR="008946D1" w:rsidRDefault="00F61EFE"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Assessment of:</w:t>
            </w:r>
          </w:p>
          <w:p w14:paraId="6A77EA7B" w14:textId="2E2D7735" w:rsidR="00F61EFE" w:rsidRDefault="00F61EFE"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Financi</w:t>
            </w:r>
            <w:r w:rsidR="00B71D69">
              <w:t>ng</w:t>
            </w:r>
            <w:r>
              <w:t xml:space="preserve"> needs</w:t>
            </w:r>
          </w:p>
          <w:p w14:paraId="153DA003" w14:textId="77777777" w:rsidR="00F61EFE" w:rsidRDefault="00B71D69"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The financing landscape</w:t>
            </w:r>
          </w:p>
          <w:p w14:paraId="5838D3CC" w14:textId="12EFD26D" w:rsidR="00B71D69" w:rsidRDefault="00B71D69"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Risk</w:t>
            </w:r>
          </w:p>
          <w:p w14:paraId="76027530" w14:textId="3C0DF13B" w:rsidR="00B71D69" w:rsidRPr="00041EA7" w:rsidRDefault="00350730"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Policy and institutional binding constraints</w:t>
            </w:r>
          </w:p>
        </w:tc>
      </w:tr>
      <w:tr w:rsidR="008946D1" w:rsidRPr="00041EA7" w14:paraId="72A8B2EE"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3B8BDC15" w14:textId="315E3AF5" w:rsidR="008946D1" w:rsidRPr="00D12632" w:rsidRDefault="00744C63" w:rsidP="00E4778C">
            <w:pPr>
              <w:spacing w:before="0" w:after="120"/>
            </w:pPr>
            <w:r>
              <w:t>Financing strategy</w:t>
            </w:r>
          </w:p>
        </w:tc>
        <w:tc>
          <w:tcPr>
            <w:tcW w:w="3077" w:type="dxa"/>
          </w:tcPr>
          <w:p w14:paraId="60EDE06B" w14:textId="315EE8DA" w:rsidR="00DE3BDA" w:rsidRDefault="00A87D7E"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Mobilisation and alignment of domestic public financing with national priorities</w:t>
            </w:r>
          </w:p>
          <w:p w14:paraId="3F78B8F2" w14:textId="72200607" w:rsidR="00A87D7E" w:rsidRDefault="00A87D7E"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A</w:t>
            </w:r>
            <w:r w:rsidR="00975830">
              <w:t>lignment</w:t>
            </w:r>
            <w:r>
              <w:t xml:space="preserve"> of:</w:t>
            </w:r>
          </w:p>
          <w:p w14:paraId="0320C81A" w14:textId="056EF3EF" w:rsidR="00A87D7E" w:rsidRDefault="00975830"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Private f</w:t>
            </w:r>
            <w:r w:rsidR="00A87D7E">
              <w:t>inanc</w:t>
            </w:r>
            <w:r>
              <w:t xml:space="preserve">e </w:t>
            </w:r>
            <w:r w:rsidR="008314C6">
              <w:t>and investment with national priorities</w:t>
            </w:r>
          </w:p>
          <w:p w14:paraId="1BA93649" w14:textId="46799E2A" w:rsidR="00A87D7E" w:rsidRDefault="008314C6" w:rsidP="003B672F">
            <w:pPr>
              <w:pStyle w:val="Normal-sizedTableBullets"/>
              <w:numPr>
                <w:ilvl w:val="1"/>
                <w:numId w:val="10"/>
              </w:numPr>
              <w:spacing w:before="0" w:after="120"/>
              <w:ind w:left="630" w:hanging="284"/>
              <w:cnfStyle w:val="000000000000" w:firstRow="0" w:lastRow="0" w:firstColumn="0" w:lastColumn="0" w:oddVBand="0" w:evenVBand="0" w:oddHBand="0" w:evenHBand="0" w:firstRowFirstColumn="0" w:firstRowLastColumn="0" w:lastRowFirstColumn="0" w:lastRowLastColumn="0"/>
            </w:pPr>
            <w:r>
              <w:t xml:space="preserve">Development cooperation with </w:t>
            </w:r>
            <w:r w:rsidR="00A419CD">
              <w:t>national priorities</w:t>
            </w:r>
          </w:p>
          <w:p w14:paraId="7F86D510" w14:textId="11367492" w:rsidR="008946D1" w:rsidRPr="00041EA7" w:rsidRDefault="00A419CD"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Enablement of environments and </w:t>
            </w:r>
            <w:r w:rsidR="00D77B7A">
              <w:t xml:space="preserve">non-financial means of implementation </w:t>
            </w:r>
          </w:p>
        </w:tc>
      </w:tr>
      <w:tr w:rsidR="008946D1" w:rsidRPr="00041EA7" w14:paraId="603BDEDE"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71E1F40B" w14:textId="4CF9A147" w:rsidR="008946D1" w:rsidRPr="00D12632" w:rsidRDefault="003E3322" w:rsidP="00E4778C">
            <w:pPr>
              <w:spacing w:before="0" w:after="120"/>
            </w:pPr>
            <w:r>
              <w:t>Monitoring</w:t>
            </w:r>
            <w:r w:rsidR="00757E77">
              <w:t xml:space="preserve"> &amp;</w:t>
            </w:r>
            <w:r>
              <w:t xml:space="preserve"> review</w:t>
            </w:r>
          </w:p>
        </w:tc>
        <w:tc>
          <w:tcPr>
            <w:tcW w:w="3077" w:type="dxa"/>
          </w:tcPr>
          <w:p w14:paraId="709B350E" w14:textId="77777777" w:rsidR="008946D1" w:rsidRDefault="009D37DD"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Monitoring progress in different financing flows and policy areas</w:t>
            </w:r>
          </w:p>
          <w:p w14:paraId="0F4E136C" w14:textId="77777777" w:rsidR="009D37DD" w:rsidRDefault="009D37DD"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Strengthening coherence among </w:t>
            </w:r>
            <w:r w:rsidR="00AE207D">
              <w:t xml:space="preserve">existing monitoring </w:t>
            </w:r>
            <w:r w:rsidR="00AE207D">
              <w:t>systems and closing gaps in the architecture</w:t>
            </w:r>
          </w:p>
          <w:p w14:paraId="342ED88A" w14:textId="77777777" w:rsidR="00AE207D" w:rsidRDefault="003E0297"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Understanding the impact and added value of the financing strategy</w:t>
            </w:r>
          </w:p>
          <w:p w14:paraId="045C33CC" w14:textId="14E5F37C" w:rsidR="003E0297" w:rsidRPr="00041EA7" w:rsidRDefault="004F37E7"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Establishment of transparency and accountability mechanisms</w:t>
            </w:r>
          </w:p>
        </w:tc>
      </w:tr>
      <w:tr w:rsidR="008946D1" w:rsidRPr="00041EA7" w14:paraId="3FA0B91F" w14:textId="77777777" w:rsidTr="00BE13D0">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3A68E5A7" w14:textId="3BE9C9B2" w:rsidR="008946D1" w:rsidRPr="00D12632" w:rsidRDefault="003E3322" w:rsidP="00E4778C">
            <w:pPr>
              <w:spacing w:before="0" w:after="120"/>
            </w:pPr>
            <w:r>
              <w:t xml:space="preserve">Governance </w:t>
            </w:r>
            <w:r w:rsidR="00757E77">
              <w:t xml:space="preserve">&amp; </w:t>
            </w:r>
            <w:r>
              <w:t>coordination</w:t>
            </w:r>
          </w:p>
        </w:tc>
        <w:tc>
          <w:tcPr>
            <w:tcW w:w="3077" w:type="dxa"/>
          </w:tcPr>
          <w:p w14:paraId="459E0878" w14:textId="44128A8E" w:rsidR="008946D1" w:rsidRDefault="00D5516E"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Oversight by the national body that </w:t>
            </w:r>
            <w:r w:rsidR="005A7D29">
              <w:t xml:space="preserve">holds responsibility for </w:t>
            </w:r>
            <w:r w:rsidR="00C634E9">
              <w:t>the national sustainable development strategy</w:t>
            </w:r>
          </w:p>
          <w:p w14:paraId="653F11F4" w14:textId="159CBA1D" w:rsidR="00C634E9" w:rsidRPr="00041EA7" w:rsidRDefault="00C347AD" w:rsidP="00E4778C">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Application of </w:t>
            </w:r>
            <w:r w:rsidR="006D4609">
              <w:t xml:space="preserve">a range of tools for effective coordination; </w:t>
            </w:r>
            <w:r w:rsidR="000006B7">
              <w:t>coherent financing policies; and effective delivery</w:t>
            </w:r>
          </w:p>
        </w:tc>
      </w:tr>
    </w:tbl>
    <w:p w14:paraId="4A516541" w14:textId="60586A7E" w:rsidR="00AC3F51" w:rsidRDefault="008946D1" w:rsidP="007778A8">
      <w:pPr>
        <w:pStyle w:val="BodyText"/>
        <w:rPr>
          <w:lang w:val="en-GB"/>
        </w:rPr>
      </w:pPr>
      <w:r w:rsidRPr="00F5487A">
        <w:rPr>
          <w:i/>
          <w:iCs/>
          <w:lang w:val="fr-CH"/>
        </w:rPr>
        <w:t xml:space="preserve">Source: </w:t>
      </w:r>
      <w:r w:rsidR="000071F6">
        <w:t xml:space="preserve"> </w:t>
      </w:r>
      <w:hyperlink r:id="rId25" w:history="1">
        <w:r w:rsidR="000071F6" w:rsidRPr="004A7648">
          <w:rPr>
            <w:rStyle w:val="Hyperlink"/>
          </w:rPr>
          <w:t>https://inff.org/</w:t>
        </w:r>
      </w:hyperlink>
      <w:r w:rsidR="000071F6">
        <w:t xml:space="preserve"> </w:t>
      </w:r>
    </w:p>
    <w:p w14:paraId="77666F5C" w14:textId="0407AC50" w:rsidR="00AE61EE" w:rsidRDefault="00A825B8" w:rsidP="007778A8">
      <w:pPr>
        <w:pStyle w:val="BodyText"/>
        <w:rPr>
          <w:lang w:val="en-GB"/>
        </w:rPr>
      </w:pPr>
      <w:r w:rsidRPr="00476089">
        <w:rPr>
          <w:lang w:val="en-GB"/>
        </w:rPr>
        <w:t xml:space="preserve">To further support INFF facilitation, </w:t>
      </w:r>
      <w:r w:rsidR="001D0E6E" w:rsidRPr="00476089">
        <w:rPr>
          <w:lang w:val="en-GB"/>
        </w:rPr>
        <w:t xml:space="preserve">the G20 Leaders of </w:t>
      </w:r>
      <w:hyperlink r:id="rId26" w:history="1">
        <w:r w:rsidR="001D0E6E" w:rsidRPr="00476089">
          <w:rPr>
            <w:rStyle w:val="Hyperlink"/>
            <w:lang w:val="en-GB"/>
          </w:rPr>
          <w:t>the G20 Framework</w:t>
        </w:r>
        <w:r w:rsidR="006F21A6" w:rsidRPr="00476089">
          <w:rPr>
            <w:rStyle w:val="Hyperlink"/>
            <w:lang w:val="en-GB"/>
          </w:rPr>
          <w:t xml:space="preserve"> of Voluntary Support </w:t>
        </w:r>
        <w:r w:rsidR="008F43A3" w:rsidRPr="00476089">
          <w:rPr>
            <w:rStyle w:val="Hyperlink"/>
            <w:lang w:val="en-GB"/>
          </w:rPr>
          <w:t>to</w:t>
        </w:r>
        <w:r w:rsidR="006F21A6" w:rsidRPr="00476089">
          <w:rPr>
            <w:rStyle w:val="Hyperlink"/>
            <w:lang w:val="en-GB"/>
          </w:rPr>
          <w:t xml:space="preserve"> INFFs</w:t>
        </w:r>
      </w:hyperlink>
      <w:r w:rsidR="006F21A6" w:rsidRPr="00476089">
        <w:rPr>
          <w:lang w:val="en-GB"/>
        </w:rPr>
        <w:t xml:space="preserve"> </w:t>
      </w:r>
      <w:r w:rsidR="00CB3366" w:rsidRPr="00476089">
        <w:rPr>
          <w:lang w:val="en-GB"/>
        </w:rPr>
        <w:t xml:space="preserve">endorsed the launch of an INFF Facility in 2022. </w:t>
      </w:r>
      <w:r w:rsidR="00C57D6E" w:rsidRPr="00476089">
        <w:rPr>
          <w:lang w:val="en-GB"/>
        </w:rPr>
        <w:t xml:space="preserve">The INFF Facility </w:t>
      </w:r>
      <w:r w:rsidR="00DB198C" w:rsidRPr="00476089">
        <w:rPr>
          <w:lang w:val="en-GB"/>
        </w:rPr>
        <w:t xml:space="preserve">is </w:t>
      </w:r>
      <w:r w:rsidR="00984969" w:rsidRPr="00476089">
        <w:rPr>
          <w:lang w:val="en-GB"/>
        </w:rPr>
        <w:t xml:space="preserve">a joint initiative of UNDESA; UNDP; OECD; </w:t>
      </w:r>
      <w:r w:rsidR="00B438DC" w:rsidRPr="00476089">
        <w:rPr>
          <w:lang w:val="en-GB"/>
        </w:rPr>
        <w:t xml:space="preserve">UNICEF; the European Union; and the governments of Italy, </w:t>
      </w:r>
      <w:r w:rsidR="0017718D" w:rsidRPr="00476089">
        <w:rPr>
          <w:lang w:val="en-GB"/>
        </w:rPr>
        <w:t>Spain and Sweden.</w:t>
      </w:r>
      <w:r w:rsidR="000B51A4" w:rsidRPr="00476089">
        <w:rPr>
          <w:rStyle w:val="FootnoteReference"/>
          <w:lang w:val="en-GB"/>
        </w:rPr>
        <w:footnoteReference w:id="21"/>
      </w:r>
      <w:r w:rsidR="0017718D" w:rsidRPr="00476089">
        <w:rPr>
          <w:lang w:val="en-GB"/>
        </w:rPr>
        <w:t xml:space="preserve"> It is responsive to State-level demand for technical assistance to </w:t>
      </w:r>
      <w:r w:rsidR="00130240">
        <w:rPr>
          <w:lang w:val="en-GB"/>
        </w:rPr>
        <w:t>develop</w:t>
      </w:r>
      <w:r w:rsidR="0017718D" w:rsidRPr="00476089">
        <w:rPr>
          <w:lang w:val="en-GB"/>
        </w:rPr>
        <w:t xml:space="preserve"> an INFF. </w:t>
      </w:r>
      <w:r w:rsidR="00AF09EC" w:rsidRPr="00476089">
        <w:rPr>
          <w:lang w:val="en-GB"/>
        </w:rPr>
        <w:t xml:space="preserve">The INFF Facility </w:t>
      </w:r>
      <w:r w:rsidR="0017718D" w:rsidRPr="00476089">
        <w:rPr>
          <w:lang w:val="en-GB"/>
        </w:rPr>
        <w:t xml:space="preserve">provides </w:t>
      </w:r>
      <w:r w:rsidR="00DB198C" w:rsidRPr="00476089">
        <w:rPr>
          <w:lang w:val="en-GB"/>
        </w:rPr>
        <w:t>a platform for experience-sharing</w:t>
      </w:r>
      <w:r w:rsidR="00D56D61" w:rsidRPr="00476089">
        <w:rPr>
          <w:lang w:val="en-GB"/>
        </w:rPr>
        <w:t>;</w:t>
      </w:r>
      <w:r w:rsidR="009930EC" w:rsidRPr="00476089">
        <w:rPr>
          <w:lang w:val="en-GB"/>
        </w:rPr>
        <w:t xml:space="preserve"> learning</w:t>
      </w:r>
      <w:r w:rsidR="00487EF6" w:rsidRPr="00476089">
        <w:rPr>
          <w:lang w:val="en-GB"/>
        </w:rPr>
        <w:t>; and the strengthening of partnerships</w:t>
      </w:r>
      <w:r w:rsidR="009930EC" w:rsidRPr="00476089">
        <w:rPr>
          <w:lang w:val="en-GB"/>
        </w:rPr>
        <w:t xml:space="preserve"> among States</w:t>
      </w:r>
      <w:r w:rsidR="00246960">
        <w:rPr>
          <w:lang w:val="en-GB"/>
        </w:rPr>
        <w:t>,</w:t>
      </w:r>
      <w:r w:rsidR="009930EC" w:rsidRPr="00476089">
        <w:rPr>
          <w:lang w:val="en-GB"/>
        </w:rPr>
        <w:t xml:space="preserve"> </w:t>
      </w:r>
      <w:r w:rsidR="00455B2A" w:rsidRPr="00476089">
        <w:rPr>
          <w:lang w:val="en-GB"/>
        </w:rPr>
        <w:t>and</w:t>
      </w:r>
      <w:r w:rsidR="00E23CC5" w:rsidRPr="00476089">
        <w:rPr>
          <w:lang w:val="en-GB"/>
        </w:rPr>
        <w:t xml:space="preserve"> brokers technical </w:t>
      </w:r>
      <w:r w:rsidR="00455B2A" w:rsidRPr="00476089">
        <w:rPr>
          <w:lang w:val="en-GB"/>
        </w:rPr>
        <w:t xml:space="preserve">assistance </w:t>
      </w:r>
      <w:r w:rsidR="00AE61EE" w:rsidRPr="00476089">
        <w:rPr>
          <w:lang w:val="en-GB"/>
        </w:rPr>
        <w:t xml:space="preserve">for </w:t>
      </w:r>
      <w:r w:rsidR="00455B2A" w:rsidRPr="00476089">
        <w:rPr>
          <w:lang w:val="en-GB"/>
        </w:rPr>
        <w:t xml:space="preserve">INFF </w:t>
      </w:r>
      <w:r w:rsidR="00246960">
        <w:rPr>
          <w:lang w:val="en-GB"/>
        </w:rPr>
        <w:t>development</w:t>
      </w:r>
      <w:r w:rsidR="00455B2A" w:rsidRPr="00476089">
        <w:rPr>
          <w:lang w:val="en-GB"/>
        </w:rPr>
        <w:t>.</w:t>
      </w:r>
      <w:r w:rsidR="00455B2A">
        <w:rPr>
          <w:lang w:val="en-GB"/>
        </w:rPr>
        <w:t xml:space="preserve"> </w:t>
      </w:r>
    </w:p>
    <w:p w14:paraId="29C84655" w14:textId="7B161F07" w:rsidR="007F13E1" w:rsidRDefault="00A37700" w:rsidP="007778A8">
      <w:pPr>
        <w:pStyle w:val="Heading3"/>
        <w:rPr>
          <w:lang w:eastAsia="en-US"/>
        </w:rPr>
      </w:pPr>
      <w:r>
        <w:rPr>
          <w:lang w:eastAsia="en-US"/>
        </w:rPr>
        <w:t xml:space="preserve">INFF-related </w:t>
      </w:r>
      <w:r w:rsidR="008C3A7F">
        <w:rPr>
          <w:lang w:eastAsia="en-US"/>
        </w:rPr>
        <w:t>experience</w:t>
      </w:r>
    </w:p>
    <w:p w14:paraId="56F440C3" w14:textId="6F344AFA" w:rsidR="00C33635" w:rsidRDefault="005B7798" w:rsidP="007778A8">
      <w:pPr>
        <w:pStyle w:val="BodyText"/>
        <w:rPr>
          <w:lang w:val="en-GB"/>
        </w:rPr>
      </w:pPr>
      <w:r>
        <w:rPr>
          <w:lang w:val="en-GB"/>
        </w:rPr>
        <w:t xml:space="preserve">A major factor </w:t>
      </w:r>
      <w:r w:rsidR="00490542">
        <w:rPr>
          <w:lang w:val="en-GB"/>
        </w:rPr>
        <w:t>i</w:t>
      </w:r>
      <w:r w:rsidR="006217E8">
        <w:rPr>
          <w:lang w:val="en-GB"/>
        </w:rPr>
        <w:t xml:space="preserve">n </w:t>
      </w:r>
      <w:r w:rsidR="0012017E">
        <w:rPr>
          <w:lang w:val="en-GB"/>
        </w:rPr>
        <w:t xml:space="preserve">the selection of the executing entities was </w:t>
      </w:r>
      <w:r w:rsidR="007B46CD">
        <w:rPr>
          <w:lang w:val="en-GB"/>
        </w:rPr>
        <w:t xml:space="preserve">the </w:t>
      </w:r>
      <w:r w:rsidR="0037135A">
        <w:rPr>
          <w:lang w:val="en-GB"/>
        </w:rPr>
        <w:t xml:space="preserve">contribution of each entity towards </w:t>
      </w:r>
      <w:r w:rsidR="00816A2B">
        <w:rPr>
          <w:lang w:val="en-GB"/>
        </w:rPr>
        <w:t>INFF</w:t>
      </w:r>
      <w:r w:rsidR="00FE33FE">
        <w:rPr>
          <w:lang w:val="en-GB"/>
        </w:rPr>
        <w:t xml:space="preserve"> </w:t>
      </w:r>
      <w:r w:rsidR="006107DC">
        <w:rPr>
          <w:lang w:val="en-GB"/>
        </w:rPr>
        <w:t>development</w:t>
      </w:r>
      <w:r w:rsidR="001D4A0C">
        <w:rPr>
          <w:lang w:val="en-GB"/>
        </w:rPr>
        <w:t xml:space="preserve"> at the global</w:t>
      </w:r>
      <w:r w:rsidR="00524335">
        <w:rPr>
          <w:lang w:val="en-GB"/>
        </w:rPr>
        <w:t xml:space="preserve"> level, including within the project regions</w:t>
      </w:r>
      <w:r w:rsidR="00FE33FE">
        <w:rPr>
          <w:lang w:val="en-GB"/>
        </w:rPr>
        <w:t xml:space="preserve">. </w:t>
      </w:r>
      <w:r w:rsidR="00BE2DB6">
        <w:rPr>
          <w:lang w:val="en-GB"/>
        </w:rPr>
        <w:t>As the e</w:t>
      </w:r>
      <w:r w:rsidR="00FE33FE">
        <w:rPr>
          <w:lang w:val="en-GB"/>
        </w:rPr>
        <w:t>xecuting entit</w:t>
      </w:r>
      <w:r w:rsidR="00BE2DB6">
        <w:rPr>
          <w:lang w:val="en-GB"/>
        </w:rPr>
        <w:t xml:space="preserve">ies </w:t>
      </w:r>
      <w:r w:rsidR="00D24A24">
        <w:rPr>
          <w:lang w:val="en-GB"/>
        </w:rPr>
        <w:t>ar</w:t>
      </w:r>
      <w:r w:rsidR="00BE2DB6">
        <w:rPr>
          <w:lang w:val="en-GB"/>
        </w:rPr>
        <w:t>e all</w:t>
      </w:r>
      <w:r w:rsidR="00FE33FE">
        <w:rPr>
          <w:lang w:val="en-GB"/>
        </w:rPr>
        <w:t xml:space="preserve"> represented </w:t>
      </w:r>
      <w:r w:rsidR="001D4A0C">
        <w:rPr>
          <w:lang w:val="en-GB"/>
        </w:rPr>
        <w:t>on the IATF</w:t>
      </w:r>
      <w:r w:rsidR="00BE2DB6">
        <w:rPr>
          <w:lang w:val="en-GB"/>
        </w:rPr>
        <w:t>,</w:t>
      </w:r>
      <w:r w:rsidR="004C76D0">
        <w:rPr>
          <w:rStyle w:val="FootnoteReference"/>
          <w:lang w:val="en-GB"/>
        </w:rPr>
        <w:footnoteReference w:id="22"/>
      </w:r>
      <w:r w:rsidR="00BE2DB6">
        <w:rPr>
          <w:lang w:val="en-GB"/>
        </w:rPr>
        <w:t xml:space="preserve"> they jointly contributed towards the development of the INFF concept.</w:t>
      </w:r>
      <w:r w:rsidR="00E17472">
        <w:rPr>
          <w:rStyle w:val="FootnoteReference"/>
          <w:lang w:val="en-GB"/>
        </w:rPr>
        <w:footnoteReference w:id="23"/>
      </w:r>
      <w:r w:rsidR="00BE2DB6">
        <w:rPr>
          <w:lang w:val="en-GB"/>
        </w:rPr>
        <w:t xml:space="preserve"> </w:t>
      </w:r>
      <w:r w:rsidR="00B2399A">
        <w:rPr>
          <w:lang w:val="en-GB"/>
        </w:rPr>
        <w:t>The</w:t>
      </w:r>
      <w:r w:rsidR="00E44864">
        <w:rPr>
          <w:lang w:val="en-GB"/>
        </w:rPr>
        <w:t xml:space="preserve"> RECs </w:t>
      </w:r>
      <w:r w:rsidR="00766BA4">
        <w:rPr>
          <w:lang w:val="en-GB"/>
        </w:rPr>
        <w:t xml:space="preserve">also </w:t>
      </w:r>
      <w:r w:rsidR="00B2399A">
        <w:rPr>
          <w:lang w:val="en-GB"/>
        </w:rPr>
        <w:t>had the comparative advantage of</w:t>
      </w:r>
      <w:r w:rsidR="003F0F21">
        <w:rPr>
          <w:lang w:val="en-GB"/>
        </w:rPr>
        <w:t>: i)</w:t>
      </w:r>
      <w:r w:rsidR="00B2399A">
        <w:rPr>
          <w:lang w:val="en-GB"/>
        </w:rPr>
        <w:t xml:space="preserve"> </w:t>
      </w:r>
      <w:r w:rsidR="002F5A82">
        <w:rPr>
          <w:lang w:val="en-GB"/>
        </w:rPr>
        <w:t>significant</w:t>
      </w:r>
      <w:r w:rsidR="000E70DE">
        <w:rPr>
          <w:lang w:val="en-GB"/>
        </w:rPr>
        <w:t xml:space="preserve"> contextual</w:t>
      </w:r>
      <w:r w:rsidR="002F5A82">
        <w:rPr>
          <w:lang w:val="en-GB"/>
        </w:rPr>
        <w:t xml:space="preserve"> </w:t>
      </w:r>
      <w:r w:rsidR="003F0F21">
        <w:rPr>
          <w:lang w:val="en-GB"/>
        </w:rPr>
        <w:t xml:space="preserve">understanding of development </w:t>
      </w:r>
      <w:r w:rsidR="003F0F21">
        <w:rPr>
          <w:lang w:val="en-GB"/>
        </w:rPr>
        <w:lastRenderedPageBreak/>
        <w:t>issues</w:t>
      </w:r>
      <w:r w:rsidR="00836FCD">
        <w:rPr>
          <w:lang w:val="en-GB"/>
        </w:rPr>
        <w:t xml:space="preserve"> within their regions</w:t>
      </w:r>
      <w:r w:rsidR="003F0F21">
        <w:rPr>
          <w:lang w:val="en-GB"/>
        </w:rPr>
        <w:t xml:space="preserve">; ii) a </w:t>
      </w:r>
      <w:r w:rsidR="00B2399A">
        <w:rPr>
          <w:lang w:val="en-GB"/>
        </w:rPr>
        <w:t>working partnership with regional Member States</w:t>
      </w:r>
      <w:r w:rsidR="00D44095">
        <w:rPr>
          <w:lang w:val="en-GB"/>
        </w:rPr>
        <w:t>;</w:t>
      </w:r>
      <w:r w:rsidR="00AA0651">
        <w:rPr>
          <w:lang w:val="en-GB"/>
        </w:rPr>
        <w:t xml:space="preserve"> and </w:t>
      </w:r>
      <w:r w:rsidR="00D44095">
        <w:rPr>
          <w:lang w:val="en-GB"/>
        </w:rPr>
        <w:t xml:space="preserve">iii) </w:t>
      </w:r>
      <w:r w:rsidR="00AA0651">
        <w:rPr>
          <w:lang w:val="en-GB"/>
        </w:rPr>
        <w:t xml:space="preserve">expertise in </w:t>
      </w:r>
      <w:r w:rsidR="001E1365">
        <w:rPr>
          <w:lang w:val="en-GB"/>
        </w:rPr>
        <w:t>elements of development financing</w:t>
      </w:r>
      <w:r w:rsidR="004A51AD">
        <w:rPr>
          <w:lang w:val="en-GB"/>
        </w:rPr>
        <w:t xml:space="preserve">. </w:t>
      </w:r>
      <w:r w:rsidR="0070416D">
        <w:rPr>
          <w:lang w:val="en-GB"/>
        </w:rPr>
        <w:t xml:space="preserve">The </w:t>
      </w:r>
      <w:r w:rsidR="008531F3">
        <w:rPr>
          <w:lang w:val="en-GB"/>
        </w:rPr>
        <w:t xml:space="preserve">nature of </w:t>
      </w:r>
      <w:r w:rsidR="00635778">
        <w:rPr>
          <w:lang w:val="en-GB"/>
        </w:rPr>
        <w:t>t</w:t>
      </w:r>
      <w:r w:rsidR="00E07943">
        <w:rPr>
          <w:lang w:val="en-GB"/>
        </w:rPr>
        <w:t>h</w:t>
      </w:r>
      <w:r w:rsidR="00B73670">
        <w:rPr>
          <w:lang w:val="en-GB"/>
        </w:rPr>
        <w:t>e</w:t>
      </w:r>
      <w:r w:rsidR="00E07943">
        <w:rPr>
          <w:lang w:val="en-GB"/>
        </w:rPr>
        <w:t xml:space="preserve"> </w:t>
      </w:r>
      <w:r w:rsidR="00506C19">
        <w:rPr>
          <w:lang w:val="en-GB"/>
        </w:rPr>
        <w:t xml:space="preserve">comparative advantage </w:t>
      </w:r>
      <w:r w:rsidR="00705CCA">
        <w:rPr>
          <w:lang w:val="en-GB"/>
        </w:rPr>
        <w:t xml:space="preserve">in development financing </w:t>
      </w:r>
      <w:r w:rsidR="00C33635">
        <w:rPr>
          <w:lang w:val="en-GB"/>
        </w:rPr>
        <w:t>differed across the executing entities</w:t>
      </w:r>
      <w:r w:rsidR="007C0E1B">
        <w:rPr>
          <w:lang w:val="en-GB"/>
        </w:rPr>
        <w:t xml:space="preserve"> and </w:t>
      </w:r>
      <w:r w:rsidR="00ED0E4C">
        <w:rPr>
          <w:lang w:val="en-GB"/>
        </w:rPr>
        <w:t>ranged from specific experience in INFF</w:t>
      </w:r>
      <w:r w:rsidR="003F3CD9">
        <w:rPr>
          <w:lang w:val="en-GB"/>
        </w:rPr>
        <w:t xml:space="preserve"> facilitation</w:t>
      </w:r>
      <w:r w:rsidR="00154E04">
        <w:rPr>
          <w:lang w:val="en-GB"/>
        </w:rPr>
        <w:t>,</w:t>
      </w:r>
      <w:r w:rsidR="00ED0E4C">
        <w:rPr>
          <w:lang w:val="en-GB"/>
        </w:rPr>
        <w:t xml:space="preserve"> </w:t>
      </w:r>
      <w:r w:rsidR="005D64B8" w:rsidRPr="00490C35">
        <w:rPr>
          <w:lang w:val="en-GB"/>
        </w:rPr>
        <w:t xml:space="preserve">to </w:t>
      </w:r>
      <w:r w:rsidR="00570D6D">
        <w:rPr>
          <w:lang w:val="en-GB"/>
        </w:rPr>
        <w:t xml:space="preserve">the provision of </w:t>
      </w:r>
      <w:r w:rsidR="00860DC6" w:rsidRPr="00490C35">
        <w:rPr>
          <w:lang w:val="en-GB"/>
        </w:rPr>
        <w:t>c</w:t>
      </w:r>
      <w:r w:rsidR="002C2C2F" w:rsidRPr="00490C35">
        <w:rPr>
          <w:lang w:val="en-GB"/>
        </w:rPr>
        <w:t xml:space="preserve">apacity-building and </w:t>
      </w:r>
      <w:r w:rsidR="008C7444" w:rsidRPr="00490C35">
        <w:rPr>
          <w:lang w:val="en-GB"/>
        </w:rPr>
        <w:t>technical assistance</w:t>
      </w:r>
      <w:r w:rsidR="00570D6D">
        <w:rPr>
          <w:lang w:val="en-GB"/>
        </w:rPr>
        <w:t xml:space="preserve"> in </w:t>
      </w:r>
      <w:r w:rsidR="00787334">
        <w:rPr>
          <w:lang w:val="en-GB"/>
        </w:rPr>
        <w:t>s</w:t>
      </w:r>
      <w:r w:rsidR="001D17C2">
        <w:rPr>
          <w:lang w:val="en-GB"/>
        </w:rPr>
        <w:t xml:space="preserve">upporting </w:t>
      </w:r>
      <w:r w:rsidR="00787334">
        <w:rPr>
          <w:lang w:val="en-GB"/>
        </w:rPr>
        <w:t>a</w:t>
      </w:r>
      <w:r w:rsidR="00570D6D">
        <w:rPr>
          <w:lang w:val="en-GB"/>
        </w:rPr>
        <w:t>reas</w:t>
      </w:r>
      <w:r w:rsidR="00E162D2">
        <w:rPr>
          <w:lang w:val="en-GB"/>
        </w:rPr>
        <w:t xml:space="preserve"> </w:t>
      </w:r>
      <w:r w:rsidR="00554F62">
        <w:rPr>
          <w:lang w:val="en-GB"/>
        </w:rPr>
        <w:t>(see Exhibit 3)</w:t>
      </w:r>
      <w:r w:rsidR="005D64B8">
        <w:rPr>
          <w:lang w:val="en-GB"/>
        </w:rPr>
        <w:t>.</w:t>
      </w:r>
      <w:r w:rsidR="000869E7">
        <w:rPr>
          <w:lang w:val="en-GB"/>
        </w:rPr>
        <w:t xml:space="preserve"> </w:t>
      </w:r>
    </w:p>
    <w:p w14:paraId="79A96A87" w14:textId="582D9A7F" w:rsidR="006F4AD5" w:rsidRDefault="006F4AD5" w:rsidP="006F4AD5">
      <w:pPr>
        <w:pStyle w:val="Caption"/>
      </w:pPr>
      <w:bookmarkStart w:id="10" w:name="_Toc210730336"/>
      <w:r w:rsidRPr="00F34B94">
        <w:t xml:space="preserve">Exhibit </w:t>
      </w:r>
      <w:r w:rsidRPr="00F34B94">
        <w:fldChar w:fldCharType="begin"/>
      </w:r>
      <w:r w:rsidRPr="00F34B94">
        <w:instrText xml:space="preserve"> SEQ Table \* ARABIC </w:instrText>
      </w:r>
      <w:r w:rsidRPr="00F34B94">
        <w:fldChar w:fldCharType="separate"/>
      </w:r>
      <w:r w:rsidR="00F712D9">
        <w:rPr>
          <w:noProof/>
        </w:rPr>
        <w:t>3</w:t>
      </w:r>
      <w:r w:rsidRPr="00F34B94">
        <w:fldChar w:fldCharType="end"/>
      </w:r>
      <w:r w:rsidRPr="00F34B94">
        <w:t xml:space="preserve"> </w:t>
      </w:r>
      <w:r w:rsidR="00F712D9">
        <w:t>Comparative advantage of executing entities</w:t>
      </w:r>
      <w:bookmarkEnd w:id="10"/>
    </w:p>
    <w:tbl>
      <w:tblPr>
        <w:tblStyle w:val="BlueTable"/>
        <w:tblW w:w="5000" w:type="pct"/>
        <w:jc w:val="center"/>
        <w:tblLook w:val="04A0" w:firstRow="1" w:lastRow="0" w:firstColumn="1" w:lastColumn="0" w:noHBand="0" w:noVBand="1"/>
      </w:tblPr>
      <w:tblGrid>
        <w:gridCol w:w="1268"/>
        <w:gridCol w:w="3361"/>
      </w:tblGrid>
      <w:tr w:rsidR="006F4AD5" w:rsidRPr="00D12632" w14:paraId="087F8F9A" w14:textId="77777777" w:rsidTr="00885369">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68" w:type="dxa"/>
          </w:tcPr>
          <w:p w14:paraId="7368BC58" w14:textId="0086E7C6" w:rsidR="006F4AD5" w:rsidRPr="00D12632" w:rsidRDefault="00DA2649" w:rsidP="00C72B32">
            <w:r>
              <w:t>Executing entity</w:t>
            </w:r>
          </w:p>
        </w:tc>
        <w:tc>
          <w:tcPr>
            <w:tcW w:w="3361" w:type="dxa"/>
          </w:tcPr>
          <w:p w14:paraId="140E6D30" w14:textId="2F424680" w:rsidR="006F4AD5" w:rsidRPr="00D12632" w:rsidRDefault="00DA2649" w:rsidP="00DA2649">
            <w:pPr>
              <w:jc w:val="center"/>
              <w:cnfStyle w:val="100000000000" w:firstRow="1" w:lastRow="0" w:firstColumn="0" w:lastColumn="0" w:oddVBand="0" w:evenVBand="0" w:oddHBand="0" w:evenHBand="0" w:firstRowFirstColumn="0" w:firstRowLastColumn="0" w:lastRowFirstColumn="0" w:lastRowLastColumn="0"/>
            </w:pPr>
            <w:r>
              <w:t>Comparative advantage</w:t>
            </w:r>
          </w:p>
        </w:tc>
      </w:tr>
      <w:tr w:rsidR="006F4AD5" w:rsidRPr="00884EEC" w14:paraId="192D0C8F"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20B4AD29" w14:textId="18919965" w:rsidR="006F4AD5" w:rsidRPr="00D12632" w:rsidRDefault="00D81AC3" w:rsidP="00573D14">
            <w:pPr>
              <w:spacing w:before="0" w:after="120"/>
            </w:pPr>
            <w:r>
              <w:t>UNDESA</w:t>
            </w:r>
          </w:p>
        </w:tc>
        <w:tc>
          <w:tcPr>
            <w:tcW w:w="3361" w:type="dxa"/>
          </w:tcPr>
          <w:p w14:paraId="1A99CBD3" w14:textId="1EBF0D4C" w:rsidR="006F4AD5" w:rsidRPr="00884EEC" w:rsidRDefault="0043250D" w:rsidP="00573D14">
            <w:pPr>
              <w:pStyle w:val="Normal-sizedTableBullets"/>
              <w:spacing w:before="0" w:after="120"/>
              <w:ind w:left="197" w:hanging="197"/>
              <w:cnfStyle w:val="000000000000" w:firstRow="0" w:lastRow="0" w:firstColumn="0" w:lastColumn="0" w:oddVBand="0" w:evenVBand="0" w:oddHBand="0" w:evenHBand="0" w:firstRowFirstColumn="0" w:firstRowLastColumn="0" w:lastRowFirstColumn="0" w:lastRowLastColumn="0"/>
            </w:pPr>
            <w:r>
              <w:t>Expertise in INFF meth</w:t>
            </w:r>
            <w:r w:rsidR="00AD3B94">
              <w:t>odology</w:t>
            </w:r>
          </w:p>
        </w:tc>
      </w:tr>
      <w:tr w:rsidR="00EF78FC" w:rsidRPr="00884EEC" w14:paraId="61D453E0"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1E826EE9" w14:textId="0D57F92A" w:rsidR="00EF78FC" w:rsidRDefault="00EF78FC" w:rsidP="00573D14">
            <w:pPr>
              <w:spacing w:before="0" w:after="120"/>
            </w:pPr>
            <w:r w:rsidRPr="007F40DD">
              <w:t>UNECA</w:t>
            </w:r>
          </w:p>
        </w:tc>
        <w:tc>
          <w:tcPr>
            <w:tcW w:w="3361" w:type="dxa"/>
          </w:tcPr>
          <w:p w14:paraId="0CE5AAC1" w14:textId="1F08DBC8" w:rsidR="00AC271B" w:rsidRPr="00884EEC" w:rsidRDefault="0099031B" w:rsidP="00573D14">
            <w:pPr>
              <w:pStyle w:val="Normal-sizedTableBullets"/>
              <w:spacing w:before="0" w:after="120"/>
              <w:ind w:left="197" w:hanging="197"/>
              <w:cnfStyle w:val="000000000000" w:firstRow="0" w:lastRow="0" w:firstColumn="0" w:lastColumn="0" w:oddVBand="0" w:evenVBand="0" w:oddHBand="0" w:evenHBand="0" w:firstRowFirstColumn="0" w:firstRowLastColumn="0" w:lastRowFirstColumn="0" w:lastRowLastColumn="0"/>
            </w:pPr>
            <w:r>
              <w:t>Expertise on</w:t>
            </w:r>
            <w:r w:rsidR="00590A34">
              <w:t xml:space="preserve"> regional macroeconomic policy a</w:t>
            </w:r>
            <w:r w:rsidR="00E85CA9">
              <w:t>nd economic governance; Financing for Development (FfD); and SDG implementation and monito</w:t>
            </w:r>
            <w:r w:rsidR="007F40DD">
              <w:t>r</w:t>
            </w:r>
            <w:r w:rsidR="00E85CA9">
              <w:t>ing</w:t>
            </w:r>
          </w:p>
        </w:tc>
      </w:tr>
      <w:tr w:rsidR="006F4AD5" w:rsidRPr="00041EA7" w14:paraId="431A5CA5"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6F2CA082" w14:textId="1C8F647C" w:rsidR="006F4AD5" w:rsidRPr="00D12632" w:rsidRDefault="00D81AC3" w:rsidP="00573D14">
            <w:pPr>
              <w:spacing w:before="0" w:after="120"/>
            </w:pPr>
            <w:r>
              <w:t>UNECE</w:t>
            </w:r>
          </w:p>
        </w:tc>
        <w:tc>
          <w:tcPr>
            <w:tcW w:w="3361" w:type="dxa"/>
          </w:tcPr>
          <w:p w14:paraId="6E8498BF" w14:textId="0BD2B372" w:rsidR="006F4AD5" w:rsidRDefault="00C70EED"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Capacity-building for Public-Privat</w:t>
            </w:r>
            <w:r w:rsidR="00BA6DD2">
              <w:t>e</w:t>
            </w:r>
            <w:r w:rsidR="00E9669F">
              <w:t xml:space="preserve"> </w:t>
            </w:r>
            <w:r w:rsidR="00BA6DD2">
              <w:t>Partnerships</w:t>
            </w:r>
          </w:p>
          <w:p w14:paraId="14274F50" w14:textId="111C8229" w:rsidR="00BA6DD2" w:rsidRPr="00041EA7" w:rsidRDefault="00823DEE"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S</w:t>
            </w:r>
            <w:r w:rsidR="00BA6DD2">
              <w:t xml:space="preserve">upport for </w:t>
            </w:r>
            <w:r w:rsidR="00C54498">
              <w:t xml:space="preserve">mobilising </w:t>
            </w:r>
            <w:r w:rsidR="00023591">
              <w:t xml:space="preserve">private sector finance </w:t>
            </w:r>
            <w:r w:rsidR="005F2C21">
              <w:t xml:space="preserve">and expertise </w:t>
            </w:r>
            <w:r>
              <w:t xml:space="preserve">for </w:t>
            </w:r>
            <w:r w:rsidR="0061288E">
              <w:t>improve</w:t>
            </w:r>
            <w:r>
              <w:t>d</w:t>
            </w:r>
            <w:r w:rsidR="00895B36">
              <w:t xml:space="preserve"> </w:t>
            </w:r>
            <w:r w:rsidR="005F2C21">
              <w:t xml:space="preserve">infrastructure </w:t>
            </w:r>
            <w:r w:rsidR="00023591">
              <w:t xml:space="preserve">and </w:t>
            </w:r>
            <w:r w:rsidR="00885369">
              <w:t>public service</w:t>
            </w:r>
            <w:r>
              <w:t xml:space="preserve"> delivery </w:t>
            </w:r>
          </w:p>
        </w:tc>
      </w:tr>
      <w:tr w:rsidR="006F4AD5" w:rsidRPr="00041EA7" w14:paraId="1D83D284"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656102B3" w14:textId="5D813659" w:rsidR="006F4AD5" w:rsidRPr="00D12632" w:rsidRDefault="00D81AC3" w:rsidP="00573D14">
            <w:pPr>
              <w:spacing w:before="0" w:after="120"/>
            </w:pPr>
            <w:r>
              <w:t>UNECLAC</w:t>
            </w:r>
          </w:p>
        </w:tc>
        <w:tc>
          <w:tcPr>
            <w:tcW w:w="3361" w:type="dxa"/>
          </w:tcPr>
          <w:p w14:paraId="5A22063C" w14:textId="53C4958A" w:rsidR="008C1F8E" w:rsidRDefault="008C1F8E"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Ability to convene regional and national stakeholder meetings</w:t>
            </w:r>
          </w:p>
          <w:p w14:paraId="0AEF6860" w14:textId="42806553" w:rsidR="005115BA" w:rsidRPr="00041EA7" w:rsidRDefault="002E56D0"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A</w:t>
            </w:r>
            <w:r w:rsidR="00542AE0">
              <w:t>p</w:t>
            </w:r>
            <w:r w:rsidR="005115BA">
              <w:t>plied policy research</w:t>
            </w:r>
          </w:p>
        </w:tc>
      </w:tr>
      <w:tr w:rsidR="006F4AD5" w:rsidRPr="00041EA7" w14:paraId="186E2007"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652FC8CC" w14:textId="4C9EDA55" w:rsidR="006F4AD5" w:rsidRPr="00D12632" w:rsidRDefault="006A1344" w:rsidP="00573D14">
            <w:pPr>
              <w:spacing w:before="0" w:after="120"/>
            </w:pPr>
            <w:r>
              <w:t>UNESCAP</w:t>
            </w:r>
          </w:p>
        </w:tc>
        <w:tc>
          <w:tcPr>
            <w:tcW w:w="3361" w:type="dxa"/>
          </w:tcPr>
          <w:p w14:paraId="628B6352" w14:textId="52900517" w:rsidR="006F4AD5" w:rsidRPr="00041EA7" w:rsidRDefault="006F48C5"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Estimati</w:t>
            </w:r>
            <w:r w:rsidR="006B4845">
              <w:t xml:space="preserve">on of </w:t>
            </w:r>
            <w:r w:rsidR="000573F6">
              <w:t>investment needs to achieve regional goals and</w:t>
            </w:r>
            <w:r w:rsidR="00F06678">
              <w:t xml:space="preserve"> develop INFFs </w:t>
            </w:r>
          </w:p>
        </w:tc>
      </w:tr>
      <w:tr w:rsidR="006A1344" w:rsidRPr="00041EA7" w14:paraId="568D22C5"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10125599" w14:textId="323248C8" w:rsidR="006A1344" w:rsidRDefault="006A1344" w:rsidP="00573D14">
            <w:pPr>
              <w:spacing w:before="0" w:after="120"/>
            </w:pPr>
            <w:r w:rsidRPr="00E77ED9">
              <w:t>UNESCWA</w:t>
            </w:r>
          </w:p>
        </w:tc>
        <w:tc>
          <w:tcPr>
            <w:tcW w:w="3361" w:type="dxa"/>
          </w:tcPr>
          <w:p w14:paraId="1854865D" w14:textId="77777777" w:rsidR="006A1344" w:rsidRDefault="00B91933"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Expertise in developing </w:t>
            </w:r>
            <w:r w:rsidR="002048BB">
              <w:t xml:space="preserve">customised solutions and </w:t>
            </w:r>
            <w:r w:rsidR="00341D5A">
              <w:t xml:space="preserve">diagnostic </w:t>
            </w:r>
            <w:r w:rsidR="002048BB">
              <w:t xml:space="preserve">tools </w:t>
            </w:r>
            <w:r w:rsidR="00341D5A">
              <w:t>for</w:t>
            </w:r>
            <w:r w:rsidR="00015359">
              <w:t xml:space="preserve"> country-level financing strategies</w:t>
            </w:r>
          </w:p>
          <w:p w14:paraId="2A6A9970" w14:textId="4ED40F2B" w:rsidR="00E77ED9" w:rsidRPr="00041EA7" w:rsidRDefault="00E77ED9"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Facilitation of regional cooperation and knowledge-sharing for SDG </w:t>
            </w:r>
            <w:r w:rsidR="00510FAD">
              <w:t xml:space="preserve">financing and </w:t>
            </w:r>
            <w:r>
              <w:t>achiev</w:t>
            </w:r>
            <w:r w:rsidR="00510FAD">
              <w:t>e</w:t>
            </w:r>
            <w:r>
              <w:t>ment</w:t>
            </w:r>
          </w:p>
        </w:tc>
      </w:tr>
      <w:tr w:rsidR="006A1344" w:rsidRPr="00041EA7" w14:paraId="77C891A6" w14:textId="77777777" w:rsidTr="00885369">
        <w:trPr>
          <w:jc w:val="center"/>
        </w:trPr>
        <w:tc>
          <w:tcPr>
            <w:cnfStyle w:val="001000000000" w:firstRow="0" w:lastRow="0" w:firstColumn="1" w:lastColumn="0" w:oddVBand="0" w:evenVBand="0" w:oddHBand="0" w:evenHBand="0" w:firstRowFirstColumn="0" w:firstRowLastColumn="0" w:lastRowFirstColumn="0" w:lastRowLastColumn="0"/>
            <w:tcW w:w="1268" w:type="dxa"/>
            <w:vAlign w:val="center"/>
          </w:tcPr>
          <w:p w14:paraId="23017792" w14:textId="1DC983A6" w:rsidR="006A1344" w:rsidRDefault="006A1344" w:rsidP="00573D14">
            <w:pPr>
              <w:spacing w:before="0" w:after="120"/>
            </w:pPr>
            <w:r>
              <w:t>UNCTAD</w:t>
            </w:r>
          </w:p>
        </w:tc>
        <w:tc>
          <w:tcPr>
            <w:tcW w:w="3361" w:type="dxa"/>
          </w:tcPr>
          <w:p w14:paraId="213DE150" w14:textId="2FA5A734" w:rsidR="00F847D7" w:rsidRDefault="00F847D7"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Capacity-building and technical assistance for accounting and reporting systems </w:t>
            </w:r>
            <w:r w:rsidR="00FB446A">
              <w:t>strengthening</w:t>
            </w:r>
          </w:p>
          <w:p w14:paraId="49922343" w14:textId="391CF098" w:rsidR="00F847D7" w:rsidRDefault="00F847D7"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 xml:space="preserve">Entrepreneurship and </w:t>
            </w:r>
            <w:r w:rsidR="008F5CDF">
              <w:t>micro- small and medium-enterprises (</w:t>
            </w:r>
            <w:r>
              <w:t>MSME</w:t>
            </w:r>
            <w:r w:rsidR="008F5CDF">
              <w:t>)</w:t>
            </w:r>
            <w:r>
              <w:t xml:space="preserve"> </w:t>
            </w:r>
            <w:r w:rsidR="00F96283">
              <w:t xml:space="preserve">promotion and </w:t>
            </w:r>
            <w:r>
              <w:t xml:space="preserve">capacity-building </w:t>
            </w:r>
          </w:p>
          <w:p w14:paraId="0307C8DB" w14:textId="77777777" w:rsidR="002F53A9" w:rsidRDefault="003C6B5A"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Expertise on development issues in developing countries</w:t>
            </w:r>
          </w:p>
          <w:p w14:paraId="0A54F1B0" w14:textId="2DB2FEB4" w:rsidR="00F61DF3" w:rsidRPr="00041EA7" w:rsidRDefault="00F61DF3" w:rsidP="00573D14">
            <w:pPr>
              <w:pStyle w:val="Normal-sizedTableBullets"/>
              <w:spacing w:before="0" w:after="120"/>
              <w:cnfStyle w:val="000000000000" w:firstRow="0" w:lastRow="0" w:firstColumn="0" w:lastColumn="0" w:oddVBand="0" w:evenVBand="0" w:oddHBand="0" w:evenHBand="0" w:firstRowFirstColumn="0" w:firstRowLastColumn="0" w:lastRowFirstColumn="0" w:lastRowLastColumn="0"/>
            </w:pPr>
            <w:r>
              <w:t>Policy-based research</w:t>
            </w:r>
            <w:r w:rsidR="00BD6A9B">
              <w:t>, consensus activities</w:t>
            </w:r>
            <w:r>
              <w:t xml:space="preserve"> </w:t>
            </w:r>
            <w:r w:rsidR="006325E8">
              <w:t xml:space="preserve">and capacity-building </w:t>
            </w:r>
            <w:r w:rsidR="00563D4A">
              <w:t>for</w:t>
            </w:r>
            <w:r w:rsidR="006325E8">
              <w:t xml:space="preserve"> domestic resource mobilisation </w:t>
            </w:r>
          </w:p>
        </w:tc>
      </w:tr>
    </w:tbl>
    <w:p w14:paraId="53CF5AD9" w14:textId="1505F179" w:rsidR="006F4AD5" w:rsidRDefault="006F4AD5" w:rsidP="006F4AD5">
      <w:pPr>
        <w:pStyle w:val="BodyText"/>
        <w:rPr>
          <w:lang w:val="en-GB"/>
        </w:rPr>
      </w:pPr>
      <w:r w:rsidRPr="00F5487A">
        <w:rPr>
          <w:i/>
          <w:iCs/>
          <w:lang w:val="fr-CH"/>
        </w:rPr>
        <w:t xml:space="preserve">Source: </w:t>
      </w:r>
      <w:r w:rsidR="00E75AF4">
        <w:t>Draft Project document for the 13</w:t>
      </w:r>
      <w:r w:rsidR="00E75AF4" w:rsidRPr="001713B0">
        <w:rPr>
          <w:vertAlign w:val="superscript"/>
        </w:rPr>
        <w:t>th</w:t>
      </w:r>
      <w:r w:rsidR="00E75AF4">
        <w:t xml:space="preserve"> tranche of the Development Account</w:t>
      </w:r>
      <w:r w:rsidR="004D2864">
        <w:rPr>
          <w:rStyle w:val="FootnoteReference"/>
        </w:rPr>
        <w:footnoteReference w:id="24"/>
      </w:r>
    </w:p>
    <w:p w14:paraId="68C70EF3" w14:textId="0F21B8F6" w:rsidR="00513EAE" w:rsidRDefault="00D67DB5" w:rsidP="00F06591">
      <w:pPr>
        <w:pStyle w:val="BodyText"/>
        <w:rPr>
          <w:lang w:val="en-GB"/>
        </w:rPr>
      </w:pPr>
      <w:r>
        <w:rPr>
          <w:lang w:val="en-GB"/>
        </w:rPr>
        <w:t xml:space="preserve">At the level of the target countries, </w:t>
      </w:r>
      <w:r w:rsidR="00287F55">
        <w:rPr>
          <w:lang w:val="en-GB"/>
        </w:rPr>
        <w:t xml:space="preserve">the broader </w:t>
      </w:r>
      <w:r w:rsidR="006B6E22">
        <w:rPr>
          <w:lang w:val="en-GB"/>
        </w:rPr>
        <w:t xml:space="preserve">INFF-related </w:t>
      </w:r>
      <w:r w:rsidR="00537026">
        <w:rPr>
          <w:lang w:val="en-GB"/>
        </w:rPr>
        <w:t xml:space="preserve">work </w:t>
      </w:r>
      <w:r w:rsidR="00287F55">
        <w:rPr>
          <w:lang w:val="en-GB"/>
        </w:rPr>
        <w:t xml:space="preserve">of the executing entities </w:t>
      </w:r>
      <w:r w:rsidR="00CD38F7">
        <w:rPr>
          <w:lang w:val="en-GB"/>
        </w:rPr>
        <w:t xml:space="preserve">was </w:t>
      </w:r>
      <w:r w:rsidR="008D7247">
        <w:rPr>
          <w:lang w:val="en-GB"/>
        </w:rPr>
        <w:t xml:space="preserve">reflected </w:t>
      </w:r>
      <w:r w:rsidR="00CD38F7">
        <w:rPr>
          <w:lang w:val="en-GB"/>
        </w:rPr>
        <w:t xml:space="preserve">in </w:t>
      </w:r>
      <w:r w:rsidR="008462FC">
        <w:rPr>
          <w:lang w:val="en-GB"/>
        </w:rPr>
        <w:t xml:space="preserve">the </w:t>
      </w:r>
      <w:r w:rsidR="0011313C">
        <w:rPr>
          <w:lang w:val="en-GB"/>
        </w:rPr>
        <w:t>evidence of</w:t>
      </w:r>
      <w:r w:rsidR="00462034">
        <w:rPr>
          <w:lang w:val="en-GB"/>
        </w:rPr>
        <w:t xml:space="preserve"> </w:t>
      </w:r>
      <w:r w:rsidR="00B50826">
        <w:rPr>
          <w:lang w:val="en-GB"/>
        </w:rPr>
        <w:t xml:space="preserve">collaboration between </w:t>
      </w:r>
      <w:r w:rsidR="00287F55">
        <w:rPr>
          <w:lang w:val="en-GB"/>
        </w:rPr>
        <w:t xml:space="preserve">the </w:t>
      </w:r>
      <w:r w:rsidR="00CD38F7">
        <w:rPr>
          <w:lang w:val="en-GB"/>
        </w:rPr>
        <w:t>entities and</w:t>
      </w:r>
      <w:r w:rsidR="00B50826">
        <w:rPr>
          <w:lang w:val="en-GB"/>
        </w:rPr>
        <w:t xml:space="preserve"> </w:t>
      </w:r>
      <w:r w:rsidR="006511F8">
        <w:rPr>
          <w:lang w:val="en-GB"/>
        </w:rPr>
        <w:t>the government</w:t>
      </w:r>
      <w:r w:rsidR="00816EF7">
        <w:rPr>
          <w:lang w:val="en-GB"/>
        </w:rPr>
        <w:t xml:space="preserve">, through </w:t>
      </w:r>
      <w:r w:rsidR="00282C00">
        <w:rPr>
          <w:lang w:val="en-GB"/>
        </w:rPr>
        <w:t>government</w:t>
      </w:r>
      <w:r w:rsidR="00DE37AB">
        <w:rPr>
          <w:lang w:val="en-GB"/>
        </w:rPr>
        <w:t xml:space="preserve"> ministries, departments and agencies (MDAs).</w:t>
      </w:r>
      <w:r w:rsidR="007E69A2">
        <w:rPr>
          <w:lang w:val="en-GB"/>
        </w:rPr>
        <w:t xml:space="preserve"> </w:t>
      </w:r>
      <w:r w:rsidR="00DD49D8">
        <w:rPr>
          <w:lang w:val="en-GB"/>
        </w:rPr>
        <w:t>I</w:t>
      </w:r>
      <w:r w:rsidR="003F5459">
        <w:rPr>
          <w:lang w:val="en-GB"/>
        </w:rPr>
        <w:t xml:space="preserve">t </w:t>
      </w:r>
      <w:r w:rsidR="00F8343A">
        <w:rPr>
          <w:lang w:val="en-GB"/>
        </w:rPr>
        <w:t xml:space="preserve">also took the form of </w:t>
      </w:r>
      <w:r w:rsidR="009A729A">
        <w:rPr>
          <w:lang w:val="en-GB"/>
        </w:rPr>
        <w:t xml:space="preserve">partnerships </w:t>
      </w:r>
      <w:r w:rsidR="0024374E">
        <w:rPr>
          <w:lang w:val="en-GB"/>
        </w:rPr>
        <w:t>b</w:t>
      </w:r>
      <w:r w:rsidR="009A729A">
        <w:rPr>
          <w:lang w:val="en-GB"/>
        </w:rPr>
        <w:t>etween UN Country Teams (UNCT</w:t>
      </w:r>
      <w:r w:rsidR="00567008">
        <w:rPr>
          <w:lang w:val="en-GB"/>
        </w:rPr>
        <w:t>s</w:t>
      </w:r>
      <w:r w:rsidR="009A729A">
        <w:rPr>
          <w:lang w:val="en-GB"/>
        </w:rPr>
        <w:t>) and host country governments (see Exhibit 4).</w:t>
      </w:r>
      <w:r w:rsidR="00E5655B">
        <w:rPr>
          <w:lang w:val="en-GB"/>
        </w:rPr>
        <w:t xml:space="preserve"> </w:t>
      </w:r>
    </w:p>
    <w:p w14:paraId="4A0B3EA2" w14:textId="7E69219C" w:rsidR="00837B91" w:rsidRDefault="008C33C1" w:rsidP="006E15CE">
      <w:pPr>
        <w:pStyle w:val="BodyText"/>
        <w:rPr>
          <w:lang w:val="en-GB"/>
        </w:rPr>
      </w:pPr>
      <w:r>
        <w:rPr>
          <w:lang w:val="en-GB"/>
        </w:rPr>
        <w:t xml:space="preserve">Both sets of collaboration </w:t>
      </w:r>
      <w:r w:rsidR="006C75B4">
        <w:rPr>
          <w:lang w:val="en-GB"/>
        </w:rPr>
        <w:t xml:space="preserve">were indicative of </w:t>
      </w:r>
      <w:r w:rsidR="003F5459">
        <w:rPr>
          <w:lang w:val="en-GB"/>
        </w:rPr>
        <w:t xml:space="preserve">the </w:t>
      </w:r>
      <w:r w:rsidR="007760F0">
        <w:rPr>
          <w:lang w:val="en-GB"/>
        </w:rPr>
        <w:t xml:space="preserve">alignment between the INFF project and </w:t>
      </w:r>
      <w:r w:rsidR="00353521">
        <w:rPr>
          <w:lang w:val="en-GB"/>
        </w:rPr>
        <w:t xml:space="preserve">the </w:t>
      </w:r>
      <w:r w:rsidR="00D962C6">
        <w:rPr>
          <w:lang w:val="en-GB"/>
        </w:rPr>
        <w:t xml:space="preserve">sustainable </w:t>
      </w:r>
      <w:r w:rsidR="0053418A">
        <w:rPr>
          <w:lang w:val="en-GB"/>
        </w:rPr>
        <w:t xml:space="preserve">development portfolio of the target countries. </w:t>
      </w:r>
      <w:r w:rsidR="001D057F">
        <w:rPr>
          <w:lang w:val="en-GB"/>
        </w:rPr>
        <w:t>Within the context of the project, however,</w:t>
      </w:r>
      <w:r w:rsidR="001D057F" w:rsidRPr="001D057F">
        <w:rPr>
          <w:lang w:val="en-GB"/>
        </w:rPr>
        <w:t xml:space="preserve"> </w:t>
      </w:r>
      <w:r w:rsidR="001D057F">
        <w:rPr>
          <w:lang w:val="en-GB"/>
        </w:rPr>
        <w:t xml:space="preserve">the organisational mandate of </w:t>
      </w:r>
      <w:r w:rsidR="00010A3C">
        <w:rPr>
          <w:lang w:val="en-GB"/>
        </w:rPr>
        <w:t xml:space="preserve">individual </w:t>
      </w:r>
      <w:r w:rsidR="001D057F">
        <w:rPr>
          <w:lang w:val="en-GB"/>
        </w:rPr>
        <w:t>executing entit</w:t>
      </w:r>
      <w:r w:rsidR="00010A3C">
        <w:rPr>
          <w:lang w:val="en-GB"/>
        </w:rPr>
        <w:t>ies</w:t>
      </w:r>
      <w:r w:rsidR="001D057F">
        <w:rPr>
          <w:lang w:val="en-GB"/>
        </w:rPr>
        <w:t xml:space="preserve"> did not necessarily involve providing support for INFF development</w:t>
      </w:r>
      <w:r w:rsidR="001D238C">
        <w:rPr>
          <w:lang w:val="en-GB"/>
        </w:rPr>
        <w:t xml:space="preserve">, with a focus on </w:t>
      </w:r>
      <w:r w:rsidR="009D27E0">
        <w:rPr>
          <w:lang w:val="en-GB"/>
        </w:rPr>
        <w:t xml:space="preserve">facilitating </w:t>
      </w:r>
      <w:r w:rsidR="001D238C">
        <w:rPr>
          <w:lang w:val="en-GB"/>
        </w:rPr>
        <w:t xml:space="preserve">the INFF </w:t>
      </w:r>
      <w:r w:rsidR="0061287B">
        <w:rPr>
          <w:lang w:val="en-GB"/>
        </w:rPr>
        <w:t>b</w:t>
      </w:r>
      <w:r w:rsidR="00F05FBC">
        <w:rPr>
          <w:lang w:val="en-GB"/>
        </w:rPr>
        <w:t>uilding blocks</w:t>
      </w:r>
      <w:r w:rsidR="001D057F">
        <w:rPr>
          <w:lang w:val="en-GB"/>
        </w:rPr>
        <w:t>.</w:t>
      </w:r>
      <w:r w:rsidR="00AA329E">
        <w:rPr>
          <w:lang w:val="en-GB"/>
        </w:rPr>
        <w:t xml:space="preserve"> </w:t>
      </w:r>
      <w:r w:rsidR="006A53B9">
        <w:rPr>
          <w:lang w:val="en-GB"/>
        </w:rPr>
        <w:t xml:space="preserve">Yet, </w:t>
      </w:r>
      <w:r w:rsidR="00761060">
        <w:rPr>
          <w:lang w:val="en-GB"/>
        </w:rPr>
        <w:t>by suppo</w:t>
      </w:r>
      <w:r w:rsidR="00FD0459">
        <w:rPr>
          <w:lang w:val="en-GB"/>
        </w:rPr>
        <w:t xml:space="preserve">rting the </w:t>
      </w:r>
      <w:r w:rsidR="00EF7714">
        <w:rPr>
          <w:lang w:val="en-GB"/>
        </w:rPr>
        <w:t xml:space="preserve">generation </w:t>
      </w:r>
      <w:r w:rsidR="00FD0459">
        <w:rPr>
          <w:lang w:val="en-GB"/>
        </w:rPr>
        <w:t xml:space="preserve">of built national capacities </w:t>
      </w:r>
      <w:r w:rsidR="00443226">
        <w:rPr>
          <w:lang w:val="en-GB"/>
        </w:rPr>
        <w:t xml:space="preserve">to inform the INFF process, the executing entities made a significant contribution towards </w:t>
      </w:r>
      <w:r w:rsidR="00F05E21">
        <w:rPr>
          <w:lang w:val="en-GB"/>
        </w:rPr>
        <w:t xml:space="preserve">the </w:t>
      </w:r>
      <w:r w:rsidR="00837B91">
        <w:rPr>
          <w:lang w:val="en-GB"/>
        </w:rPr>
        <w:t xml:space="preserve">facilitation and management of </w:t>
      </w:r>
      <w:r w:rsidR="00443226">
        <w:rPr>
          <w:lang w:val="en-GB"/>
        </w:rPr>
        <w:t xml:space="preserve">sustainable development financing </w:t>
      </w:r>
      <w:r w:rsidR="00987BCD">
        <w:rPr>
          <w:lang w:val="en-GB"/>
        </w:rPr>
        <w:t>at the level of</w:t>
      </w:r>
      <w:r w:rsidR="00837B91">
        <w:rPr>
          <w:lang w:val="en-GB"/>
        </w:rPr>
        <w:t xml:space="preserve"> the target countries.</w:t>
      </w:r>
    </w:p>
    <w:p w14:paraId="6F1E6359" w14:textId="2C260E59" w:rsidR="00923432" w:rsidRDefault="00923432" w:rsidP="007778A8">
      <w:pPr>
        <w:pStyle w:val="BodyText"/>
        <w:rPr>
          <w:lang w:val="en-GB"/>
        </w:rPr>
      </w:pPr>
    </w:p>
    <w:p w14:paraId="30EF2C76" w14:textId="6FD85780" w:rsidR="00663028" w:rsidRDefault="00663028" w:rsidP="007778A8">
      <w:pPr>
        <w:pStyle w:val="BodyText"/>
        <w:rPr>
          <w:lang w:val="en-GB"/>
        </w:rPr>
      </w:pPr>
    </w:p>
    <w:p w14:paraId="3ED4EA0C" w14:textId="77777777" w:rsidR="004B2A5E" w:rsidRDefault="004B2A5E" w:rsidP="00F6386E">
      <w:pPr>
        <w:pStyle w:val="Caption"/>
        <w:sectPr w:rsidR="004B2A5E" w:rsidSect="00F666A1">
          <w:type w:val="continuous"/>
          <w:pgSz w:w="12240" w:h="15840" w:code="1"/>
          <w:pgMar w:top="1276" w:right="1276" w:bottom="1985" w:left="1276" w:header="720" w:footer="720" w:gutter="0"/>
          <w:cols w:num="2" w:space="397"/>
          <w:docGrid w:linePitch="360"/>
        </w:sectPr>
      </w:pPr>
    </w:p>
    <w:p w14:paraId="1AEE046D" w14:textId="31B93761" w:rsidR="00F6386E" w:rsidRDefault="00F6386E" w:rsidP="00F6386E">
      <w:pPr>
        <w:pStyle w:val="Caption"/>
      </w:pPr>
      <w:bookmarkStart w:id="11" w:name="_Toc210730337"/>
      <w:r w:rsidRPr="00797D33">
        <w:lastRenderedPageBreak/>
        <w:t xml:space="preserve">Exhibit </w:t>
      </w:r>
      <w:r w:rsidRPr="00797D33">
        <w:fldChar w:fldCharType="begin"/>
      </w:r>
      <w:r w:rsidRPr="00797D33">
        <w:instrText xml:space="preserve"> SEQ Table \* ARABIC </w:instrText>
      </w:r>
      <w:r w:rsidRPr="00797D33">
        <w:fldChar w:fldCharType="separate"/>
      </w:r>
      <w:r w:rsidRPr="00797D33">
        <w:rPr>
          <w:noProof/>
        </w:rPr>
        <w:t>4</w:t>
      </w:r>
      <w:r w:rsidRPr="00797D33">
        <w:fldChar w:fldCharType="end"/>
      </w:r>
      <w:r w:rsidRPr="00797D33">
        <w:t xml:space="preserve"> </w:t>
      </w:r>
      <w:r w:rsidR="000E216F" w:rsidRPr="00797D33">
        <w:t>INFF-related work</w:t>
      </w:r>
      <w:r w:rsidR="00797D33">
        <w:t xml:space="preserve"> </w:t>
      </w:r>
      <w:r w:rsidR="00245394">
        <w:t>within the</w:t>
      </w:r>
      <w:r w:rsidR="00797D33">
        <w:t xml:space="preserve"> </w:t>
      </w:r>
      <w:r w:rsidR="000E216F" w:rsidRPr="00797D33">
        <w:t>target countries</w:t>
      </w:r>
      <w:bookmarkEnd w:id="11"/>
    </w:p>
    <w:tbl>
      <w:tblPr>
        <w:tblStyle w:val="BlueTable"/>
        <w:tblW w:w="4761" w:type="pct"/>
        <w:jc w:val="center"/>
        <w:tblLayout w:type="fixed"/>
        <w:tblLook w:val="04A0" w:firstRow="1" w:lastRow="0" w:firstColumn="1" w:lastColumn="0" w:noHBand="0" w:noVBand="1"/>
      </w:tblPr>
      <w:tblGrid>
        <w:gridCol w:w="1268"/>
        <w:gridCol w:w="1559"/>
        <w:gridCol w:w="4111"/>
        <w:gridCol w:w="2272"/>
      </w:tblGrid>
      <w:tr w:rsidR="0072632E" w:rsidRPr="00D12632" w14:paraId="63BF698E" w14:textId="4AB22B00" w:rsidTr="005038C6">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268" w:type="dxa"/>
          </w:tcPr>
          <w:p w14:paraId="77D674B4" w14:textId="097FCECF" w:rsidR="0072632E" w:rsidRDefault="0072632E" w:rsidP="00A874CA">
            <w:r>
              <w:t>Region</w:t>
            </w:r>
          </w:p>
        </w:tc>
        <w:tc>
          <w:tcPr>
            <w:tcW w:w="1559" w:type="dxa"/>
          </w:tcPr>
          <w:p w14:paraId="382C77C1" w14:textId="4AEDB3FC" w:rsidR="0072632E" w:rsidRPr="00D12632" w:rsidRDefault="0072632E" w:rsidP="00027E05">
            <w:pPr>
              <w:jc w:val="center"/>
              <w:cnfStyle w:val="100000000000" w:firstRow="1" w:lastRow="0" w:firstColumn="0" w:lastColumn="0" w:oddVBand="0" w:evenVBand="0" w:oddHBand="0" w:evenHBand="0" w:firstRowFirstColumn="0" w:firstRowLastColumn="0" w:lastRowFirstColumn="0" w:lastRowLastColumn="0"/>
            </w:pPr>
            <w:r>
              <w:t>Target country</w:t>
            </w:r>
          </w:p>
        </w:tc>
        <w:tc>
          <w:tcPr>
            <w:tcW w:w="4111" w:type="dxa"/>
          </w:tcPr>
          <w:p w14:paraId="1CFAFCC2" w14:textId="6C2390BB" w:rsidR="0072632E" w:rsidRPr="00D12632" w:rsidRDefault="001458A9" w:rsidP="001458A9">
            <w:pPr>
              <w:jc w:val="center"/>
              <w:cnfStyle w:val="100000000000" w:firstRow="1" w:lastRow="0" w:firstColumn="0" w:lastColumn="0" w:oddVBand="0" w:evenVBand="0" w:oddHBand="0" w:evenHBand="0" w:firstRowFirstColumn="0" w:firstRowLastColumn="0" w:lastRowFirstColumn="0" w:lastRowLastColumn="0"/>
            </w:pPr>
            <w:r>
              <w:t xml:space="preserve">Examples of </w:t>
            </w:r>
            <w:r w:rsidR="0072632E">
              <w:t>INFF-related work</w:t>
            </w:r>
          </w:p>
        </w:tc>
        <w:tc>
          <w:tcPr>
            <w:tcW w:w="2272" w:type="dxa"/>
          </w:tcPr>
          <w:p w14:paraId="30288115" w14:textId="516DFE6A" w:rsidR="0072632E" w:rsidRDefault="006679FB" w:rsidP="00027E05">
            <w:pPr>
              <w:jc w:val="center"/>
              <w:cnfStyle w:val="100000000000" w:firstRow="1" w:lastRow="0" w:firstColumn="0" w:lastColumn="0" w:oddVBand="0" w:evenVBand="0" w:oddHBand="0" w:evenHBand="0" w:firstRowFirstColumn="0" w:firstRowLastColumn="0" w:lastRowFirstColumn="0" w:lastRowLastColumn="0"/>
            </w:pPr>
            <w:r>
              <w:t xml:space="preserve">Project </w:t>
            </w:r>
            <w:r w:rsidR="00A41316">
              <w:t>partners</w:t>
            </w:r>
          </w:p>
        </w:tc>
      </w:tr>
      <w:tr w:rsidR="0072632E" w:rsidRPr="00A32E96" w14:paraId="4BF3253D" w14:textId="7D5F061A"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654F002F" w14:textId="5AA1D87E" w:rsidR="0072632E" w:rsidRPr="00A32E96" w:rsidRDefault="0072632E" w:rsidP="00A874CA">
            <w:pPr>
              <w:rPr>
                <w:sz w:val="18"/>
                <w:szCs w:val="18"/>
              </w:rPr>
            </w:pPr>
            <w:r w:rsidRPr="00A32E96">
              <w:rPr>
                <w:sz w:val="18"/>
                <w:szCs w:val="18"/>
              </w:rPr>
              <w:t>Africa</w:t>
            </w:r>
          </w:p>
        </w:tc>
        <w:tc>
          <w:tcPr>
            <w:tcW w:w="1559" w:type="dxa"/>
            <w:vAlign w:val="center"/>
          </w:tcPr>
          <w:p w14:paraId="41414693" w14:textId="14F77731"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Burkina Faso</w:t>
            </w:r>
          </w:p>
        </w:tc>
        <w:tc>
          <w:tcPr>
            <w:tcW w:w="4111" w:type="dxa"/>
          </w:tcPr>
          <w:p w14:paraId="01C1A493" w14:textId="21D46E3A" w:rsidR="00EB7EF7" w:rsidRPr="00A32E96" w:rsidRDefault="00626AB2" w:rsidP="004E50D7">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Project/ Activity:</w:t>
            </w:r>
            <w:r w:rsidR="001B489D" w:rsidRPr="00A32E96">
              <w:rPr>
                <w:b/>
                <w:bCs/>
                <w:sz w:val="18"/>
                <w:szCs w:val="18"/>
              </w:rPr>
              <w:t xml:space="preserve"> </w:t>
            </w:r>
            <w:r w:rsidR="001B489D" w:rsidRPr="00A32E96">
              <w:rPr>
                <w:sz w:val="18"/>
                <w:szCs w:val="18"/>
              </w:rPr>
              <w:t xml:space="preserve">Development Finance Assessment </w:t>
            </w:r>
            <w:r w:rsidR="00AC2E0B" w:rsidRPr="00A32E96">
              <w:rPr>
                <w:sz w:val="18"/>
                <w:szCs w:val="18"/>
              </w:rPr>
              <w:t>(</w:t>
            </w:r>
            <w:r w:rsidR="003D1864">
              <w:rPr>
                <w:sz w:val="18"/>
                <w:szCs w:val="18"/>
              </w:rPr>
              <w:t>DFA)</w:t>
            </w:r>
            <w:r w:rsidR="00000EA6">
              <w:rPr>
                <w:sz w:val="18"/>
                <w:szCs w:val="18"/>
              </w:rPr>
              <w:t xml:space="preserve">, </w:t>
            </w:r>
            <w:r w:rsidR="00622D97" w:rsidRPr="00A32E96">
              <w:rPr>
                <w:sz w:val="18"/>
                <w:szCs w:val="18"/>
              </w:rPr>
              <w:t>2022</w:t>
            </w:r>
          </w:p>
          <w:p w14:paraId="003D5504" w14:textId="73DED943" w:rsidR="00955183" w:rsidRPr="00A32E96" w:rsidRDefault="00626AB2" w:rsidP="0033494B">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003C5B3D" w:rsidRPr="00A32E96">
              <w:rPr>
                <w:b/>
                <w:bCs/>
                <w:sz w:val="18"/>
                <w:szCs w:val="18"/>
              </w:rPr>
              <w:t xml:space="preserve"> </w:t>
            </w:r>
            <w:r w:rsidR="003C5B3D" w:rsidRPr="00A32E96">
              <w:rPr>
                <w:sz w:val="18"/>
                <w:szCs w:val="18"/>
              </w:rPr>
              <w:t xml:space="preserve">Identification of </w:t>
            </w:r>
            <w:r w:rsidR="00034235" w:rsidRPr="00A32E96">
              <w:rPr>
                <w:sz w:val="18"/>
                <w:szCs w:val="18"/>
              </w:rPr>
              <w:t xml:space="preserve">opportunities for and constraints to development </w:t>
            </w:r>
            <w:r w:rsidR="0033494B" w:rsidRPr="00A32E96">
              <w:rPr>
                <w:sz w:val="18"/>
                <w:szCs w:val="18"/>
              </w:rPr>
              <w:t xml:space="preserve">financing </w:t>
            </w:r>
            <w:r w:rsidR="00034235" w:rsidRPr="00A32E96">
              <w:rPr>
                <w:sz w:val="18"/>
                <w:szCs w:val="18"/>
              </w:rPr>
              <w:t xml:space="preserve">mobilisation </w:t>
            </w:r>
            <w:r w:rsidR="0033494B" w:rsidRPr="00A32E96">
              <w:rPr>
                <w:sz w:val="18"/>
                <w:szCs w:val="18"/>
              </w:rPr>
              <w:t>and management, to inform the INFF roadmap and financing strategy</w:t>
            </w:r>
          </w:p>
        </w:tc>
        <w:tc>
          <w:tcPr>
            <w:tcW w:w="2272" w:type="dxa"/>
          </w:tcPr>
          <w:p w14:paraId="5F4E3505" w14:textId="77777777" w:rsidR="00F21AE2" w:rsidRPr="00A32E96" w:rsidRDefault="00705828" w:rsidP="00A874CA">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Burkina Faso</w:t>
            </w:r>
          </w:p>
          <w:p w14:paraId="417A01D1" w14:textId="584C5FEE" w:rsidR="00705828" w:rsidRPr="00A32E96" w:rsidRDefault="00C618D6" w:rsidP="00A874CA">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UNDP; UNCT Burkina Faso</w:t>
            </w:r>
          </w:p>
        </w:tc>
      </w:tr>
      <w:tr w:rsidR="0072632E" w:rsidRPr="00A32E96" w14:paraId="548CA0E5" w14:textId="540F277A"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ign w:val="center"/>
          </w:tcPr>
          <w:p w14:paraId="207863E1" w14:textId="77777777" w:rsidR="0072632E" w:rsidRPr="00A32E96" w:rsidRDefault="0072632E" w:rsidP="00A874CA">
            <w:pPr>
              <w:rPr>
                <w:sz w:val="18"/>
                <w:szCs w:val="18"/>
              </w:rPr>
            </w:pPr>
          </w:p>
        </w:tc>
        <w:tc>
          <w:tcPr>
            <w:tcW w:w="1559" w:type="dxa"/>
            <w:vAlign w:val="center"/>
          </w:tcPr>
          <w:p w14:paraId="49E86423" w14:textId="5F58BA0F"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Zambia</w:t>
            </w:r>
          </w:p>
        </w:tc>
        <w:tc>
          <w:tcPr>
            <w:tcW w:w="4111" w:type="dxa"/>
          </w:tcPr>
          <w:p w14:paraId="097F5B0A" w14:textId="658F9240" w:rsidR="0072632E" w:rsidRPr="00A32E96" w:rsidRDefault="00FE5716" w:rsidP="004E50D7">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Project</w:t>
            </w:r>
            <w:r w:rsidR="00B2329F" w:rsidRPr="00A32E96">
              <w:rPr>
                <w:b/>
                <w:bCs/>
                <w:sz w:val="18"/>
                <w:szCs w:val="18"/>
              </w:rPr>
              <w:t>/ Activity</w:t>
            </w:r>
            <w:r w:rsidR="003771E1" w:rsidRPr="00A32E96">
              <w:rPr>
                <w:b/>
                <w:bCs/>
                <w:sz w:val="18"/>
                <w:szCs w:val="18"/>
              </w:rPr>
              <w:t>:</w:t>
            </w:r>
            <w:r w:rsidR="006A542B" w:rsidRPr="00A32E96">
              <w:rPr>
                <w:b/>
                <w:bCs/>
                <w:sz w:val="18"/>
                <w:szCs w:val="18"/>
              </w:rPr>
              <w:t xml:space="preserve"> </w:t>
            </w:r>
            <w:r w:rsidR="006A542B" w:rsidRPr="00A32E96">
              <w:rPr>
                <w:rFonts w:eastAsiaTheme="minorHAnsi"/>
                <w:kern w:val="2"/>
                <w:sz w:val="18"/>
                <w:szCs w:val="18"/>
                <w:lang w:val="en-CA" w:eastAsia="en-US"/>
                <w14:ligatures w14:val="standardContextual"/>
              </w:rPr>
              <w:t>Zambia’s I</w:t>
            </w:r>
            <w:r w:rsidR="00E54642" w:rsidRPr="00A32E96">
              <w:rPr>
                <w:rFonts w:eastAsiaTheme="minorHAnsi"/>
                <w:kern w:val="2"/>
                <w:sz w:val="18"/>
                <w:szCs w:val="18"/>
                <w:lang w:val="en-CA" w:eastAsia="en-US"/>
                <w14:ligatures w14:val="standardContextual"/>
              </w:rPr>
              <w:t>NFF</w:t>
            </w:r>
            <w:r w:rsidR="006A542B" w:rsidRPr="00A32E96">
              <w:rPr>
                <w:rFonts w:eastAsiaTheme="minorHAnsi"/>
                <w:kern w:val="2"/>
                <w:sz w:val="18"/>
                <w:szCs w:val="18"/>
                <w:lang w:val="en-CA" w:eastAsia="en-US"/>
                <w14:ligatures w14:val="standardContextual"/>
              </w:rPr>
              <w:t xml:space="preserve"> for Sustainable Development</w:t>
            </w:r>
            <w:r w:rsidR="00887B7E">
              <w:rPr>
                <w:rFonts w:eastAsiaTheme="minorHAnsi"/>
                <w:kern w:val="2"/>
                <w:sz w:val="18"/>
                <w:szCs w:val="18"/>
                <w:lang w:val="en-CA" w:eastAsia="en-US"/>
                <w14:ligatures w14:val="standardContextual"/>
              </w:rPr>
              <w:t xml:space="preserve">, </w:t>
            </w:r>
            <w:r w:rsidR="00A85D22" w:rsidRPr="00A32E96">
              <w:rPr>
                <w:rFonts w:eastAsiaTheme="minorHAnsi"/>
                <w:kern w:val="2"/>
                <w:sz w:val="18"/>
                <w:szCs w:val="18"/>
                <w:lang w:val="en-CA" w:eastAsia="en-US"/>
                <w14:ligatures w14:val="standardContextual"/>
              </w:rPr>
              <w:t>2020-2022</w:t>
            </w:r>
          </w:p>
          <w:p w14:paraId="735665CF" w14:textId="43D0555F" w:rsidR="007F543E" w:rsidRPr="00A32E96" w:rsidRDefault="007F543E" w:rsidP="004E50D7">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Pr="00A32E96">
              <w:rPr>
                <w:sz w:val="18"/>
                <w:szCs w:val="18"/>
              </w:rPr>
              <w:t xml:space="preserve"> </w:t>
            </w:r>
            <w:r w:rsidR="00882016" w:rsidRPr="00A32E96">
              <w:rPr>
                <w:sz w:val="18"/>
                <w:szCs w:val="18"/>
              </w:rPr>
              <w:t xml:space="preserve">INFF implementation </w:t>
            </w:r>
            <w:r w:rsidR="00AC0BCC" w:rsidRPr="00A32E96">
              <w:rPr>
                <w:rFonts w:eastAsiaTheme="minorHAnsi"/>
                <w:kern w:val="2"/>
                <w:sz w:val="18"/>
                <w:szCs w:val="18"/>
                <w:lang w:val="en-CA" w:eastAsia="en-US"/>
                <w14:ligatures w14:val="standardContextual"/>
              </w:rPr>
              <w:t xml:space="preserve">to </w:t>
            </w:r>
            <w:r w:rsidRPr="00A32E96">
              <w:rPr>
                <w:rFonts w:eastAsiaTheme="minorHAnsi"/>
                <w:kern w:val="2"/>
                <w:sz w:val="18"/>
                <w:szCs w:val="18"/>
                <w:lang w:val="en-CA" w:eastAsia="en-US"/>
                <w14:ligatures w14:val="standardContextual"/>
              </w:rPr>
              <w:t xml:space="preserve">enhance SDGs and ensure </w:t>
            </w:r>
            <w:r w:rsidR="008C32EC" w:rsidRPr="00A32E96">
              <w:rPr>
                <w:rFonts w:eastAsiaTheme="minorHAnsi"/>
                <w:kern w:val="2"/>
                <w:sz w:val="18"/>
                <w:szCs w:val="18"/>
                <w:lang w:val="en-CA" w:eastAsia="en-US"/>
                <w14:ligatures w14:val="standardContextual"/>
              </w:rPr>
              <w:t xml:space="preserve">national and subnational </w:t>
            </w:r>
            <w:r w:rsidRPr="00A32E96">
              <w:rPr>
                <w:rFonts w:eastAsiaTheme="minorHAnsi"/>
                <w:kern w:val="2"/>
                <w:sz w:val="18"/>
                <w:szCs w:val="18"/>
                <w:lang w:val="en-CA" w:eastAsia="en-US"/>
                <w14:ligatures w14:val="standardContextual"/>
              </w:rPr>
              <w:t>actuali</w:t>
            </w:r>
            <w:r w:rsidR="00AC0BCC" w:rsidRPr="00A32E96">
              <w:rPr>
                <w:rFonts w:eastAsiaTheme="minorHAnsi"/>
                <w:kern w:val="2"/>
                <w:sz w:val="18"/>
                <w:szCs w:val="18"/>
                <w:lang w:val="en-CA" w:eastAsia="en-US"/>
                <w14:ligatures w14:val="standardContextual"/>
              </w:rPr>
              <w:t xml:space="preserve">sation </w:t>
            </w:r>
            <w:r w:rsidRPr="00A32E96">
              <w:rPr>
                <w:rFonts w:eastAsiaTheme="minorHAnsi"/>
                <w:kern w:val="2"/>
                <w:sz w:val="18"/>
                <w:szCs w:val="18"/>
                <w:lang w:val="en-CA" w:eastAsia="en-US"/>
                <w14:ligatures w14:val="standardContextual"/>
              </w:rPr>
              <w:t>by aligning annual budgets and medium</w:t>
            </w:r>
            <w:r w:rsidR="008C32EC" w:rsidRPr="00A32E96">
              <w:rPr>
                <w:rFonts w:eastAsiaTheme="minorHAnsi"/>
                <w:kern w:val="2"/>
                <w:sz w:val="18"/>
                <w:szCs w:val="18"/>
                <w:lang w:val="en-CA" w:eastAsia="en-US"/>
                <w14:ligatures w14:val="standardContextual"/>
              </w:rPr>
              <w:t>-term</w:t>
            </w:r>
            <w:r w:rsidRPr="00A32E96">
              <w:rPr>
                <w:rFonts w:eastAsiaTheme="minorHAnsi"/>
                <w:kern w:val="2"/>
                <w:sz w:val="18"/>
                <w:szCs w:val="18"/>
                <w:lang w:val="en-CA" w:eastAsia="en-US"/>
                <w14:ligatures w14:val="standardContextual"/>
              </w:rPr>
              <w:t xml:space="preserve"> expenditure frameworks with </w:t>
            </w:r>
            <w:r w:rsidR="008C32EC" w:rsidRPr="00A32E96">
              <w:rPr>
                <w:rFonts w:eastAsiaTheme="minorHAnsi"/>
                <w:kern w:val="2"/>
                <w:sz w:val="18"/>
                <w:szCs w:val="18"/>
                <w:lang w:val="en-CA" w:eastAsia="en-US"/>
                <w14:ligatures w14:val="standardContextual"/>
              </w:rPr>
              <w:t xml:space="preserve">the </w:t>
            </w:r>
            <w:r w:rsidRPr="00A32E96">
              <w:rPr>
                <w:rFonts w:eastAsiaTheme="minorHAnsi"/>
                <w:kern w:val="2"/>
                <w:sz w:val="18"/>
                <w:szCs w:val="18"/>
                <w:lang w:val="en-CA" w:eastAsia="en-US"/>
                <w14:ligatures w14:val="standardContextual"/>
              </w:rPr>
              <w:t>National Development Plan and its successor</w:t>
            </w:r>
          </w:p>
        </w:tc>
        <w:tc>
          <w:tcPr>
            <w:tcW w:w="2272" w:type="dxa"/>
          </w:tcPr>
          <w:p w14:paraId="2B101BFA" w14:textId="77777777" w:rsidR="0072632E" w:rsidRPr="00A32E96" w:rsidRDefault="007F543E" w:rsidP="00A874CA">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Zambia</w:t>
            </w:r>
          </w:p>
          <w:p w14:paraId="72D9B813" w14:textId="77777777" w:rsidR="007F543E" w:rsidRPr="00A32E96" w:rsidRDefault="007F543E" w:rsidP="007F543E">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646A4511" w14:textId="6825252E" w:rsidR="007F543E" w:rsidRPr="00A32E96" w:rsidRDefault="00B77B09" w:rsidP="00A874CA">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UNECA </w:t>
            </w:r>
            <w:r w:rsidR="008C32EC" w:rsidRPr="00A32E96">
              <w:rPr>
                <w:b/>
                <w:bCs/>
                <w:sz w:val="18"/>
                <w:szCs w:val="18"/>
              </w:rPr>
              <w:t>S</w:t>
            </w:r>
            <w:r w:rsidR="007548EF" w:rsidRPr="00A32E96">
              <w:rPr>
                <w:b/>
                <w:bCs/>
                <w:sz w:val="18"/>
                <w:szCs w:val="18"/>
              </w:rPr>
              <w:t>ROSA</w:t>
            </w:r>
            <w:r w:rsidR="007548EF" w:rsidRPr="00A32E96">
              <w:rPr>
                <w:rStyle w:val="FootnoteReference"/>
                <w:sz w:val="18"/>
                <w:szCs w:val="18"/>
              </w:rPr>
              <w:footnoteReference w:id="25"/>
            </w:r>
            <w:r w:rsidRPr="00A32E96">
              <w:rPr>
                <w:sz w:val="18"/>
                <w:szCs w:val="18"/>
              </w:rPr>
              <w:t xml:space="preserve">; </w:t>
            </w:r>
            <w:r w:rsidR="003E6366" w:rsidRPr="00A32E96">
              <w:rPr>
                <w:sz w:val="18"/>
                <w:szCs w:val="18"/>
              </w:rPr>
              <w:t>UNDP; UNICEF; ILO; UNFPA</w:t>
            </w:r>
          </w:p>
        </w:tc>
      </w:tr>
      <w:tr w:rsidR="0072632E" w:rsidRPr="00A32E96" w14:paraId="7EA736E2" w14:textId="7921EF80"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68CBFE4E" w14:textId="49FA8617" w:rsidR="0072632E" w:rsidRPr="00A32E96" w:rsidRDefault="0072632E" w:rsidP="00C1700C">
            <w:pPr>
              <w:rPr>
                <w:sz w:val="18"/>
                <w:szCs w:val="18"/>
              </w:rPr>
            </w:pPr>
            <w:r w:rsidRPr="00A32E96">
              <w:rPr>
                <w:sz w:val="18"/>
                <w:szCs w:val="18"/>
              </w:rPr>
              <w:t>Asia and the Pacific</w:t>
            </w:r>
          </w:p>
        </w:tc>
        <w:tc>
          <w:tcPr>
            <w:tcW w:w="1559" w:type="dxa"/>
            <w:vAlign w:val="center"/>
          </w:tcPr>
          <w:p w14:paraId="32056435" w14:textId="4854A689"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32E96">
              <w:rPr>
                <w:sz w:val="18"/>
                <w:szCs w:val="18"/>
              </w:rPr>
              <w:t>Pakistan</w:t>
            </w:r>
          </w:p>
        </w:tc>
        <w:tc>
          <w:tcPr>
            <w:tcW w:w="4111" w:type="dxa"/>
          </w:tcPr>
          <w:p w14:paraId="37DB6AF3" w14:textId="0E5AAA46" w:rsidR="0072632E" w:rsidRPr="00A32E96" w:rsidRDefault="00626AB2" w:rsidP="004E50D7">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Project/ Activity:</w:t>
            </w:r>
            <w:r w:rsidR="00CC76E9" w:rsidRPr="00A32E96">
              <w:rPr>
                <w:b/>
                <w:bCs/>
                <w:sz w:val="18"/>
                <w:szCs w:val="18"/>
              </w:rPr>
              <w:t xml:space="preserve"> </w:t>
            </w:r>
            <w:r w:rsidR="00DE17FD" w:rsidRPr="00A32E96">
              <w:rPr>
                <w:sz w:val="18"/>
                <w:szCs w:val="18"/>
              </w:rPr>
              <w:t>SDG Investments and Climate Financing Facility</w:t>
            </w:r>
            <w:r w:rsidR="00887B7E">
              <w:rPr>
                <w:sz w:val="18"/>
                <w:szCs w:val="18"/>
              </w:rPr>
              <w:t>, 2024</w:t>
            </w:r>
          </w:p>
          <w:p w14:paraId="63C4596B" w14:textId="7187BAC2" w:rsidR="00984684" w:rsidRPr="00A32E96" w:rsidRDefault="00626AB2" w:rsidP="0016646D">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001458A9" w:rsidRPr="00A32E96">
              <w:rPr>
                <w:b/>
                <w:bCs/>
                <w:sz w:val="18"/>
                <w:szCs w:val="18"/>
              </w:rPr>
              <w:t xml:space="preserve"> </w:t>
            </w:r>
            <w:r w:rsidR="003B4A57" w:rsidRPr="00A32E96">
              <w:rPr>
                <w:sz w:val="18"/>
                <w:szCs w:val="18"/>
              </w:rPr>
              <w:t>M</w:t>
            </w:r>
            <w:r w:rsidR="00BB3824" w:rsidRPr="00A32E96">
              <w:rPr>
                <w:sz w:val="18"/>
                <w:szCs w:val="18"/>
              </w:rPr>
              <w:t>obilisation of private sector investments and the promotion of the F</w:t>
            </w:r>
            <w:r w:rsidR="00643C9B" w:rsidRPr="00A32E96">
              <w:rPr>
                <w:sz w:val="18"/>
                <w:szCs w:val="18"/>
              </w:rPr>
              <w:t>fD portfolio</w:t>
            </w:r>
            <w:r w:rsidR="00F94A15" w:rsidRPr="00A32E96">
              <w:rPr>
                <w:sz w:val="18"/>
                <w:szCs w:val="18"/>
              </w:rPr>
              <w:t xml:space="preserve"> to leverage structural tra</w:t>
            </w:r>
            <w:r w:rsidR="0016646D" w:rsidRPr="00A32E96">
              <w:rPr>
                <w:sz w:val="18"/>
                <w:szCs w:val="18"/>
              </w:rPr>
              <w:t>n</w:t>
            </w:r>
            <w:r w:rsidR="00F94A15" w:rsidRPr="00A32E96">
              <w:rPr>
                <w:sz w:val="18"/>
                <w:szCs w:val="18"/>
              </w:rPr>
              <w:t xml:space="preserve">sformation </w:t>
            </w:r>
            <w:r w:rsidR="0016646D" w:rsidRPr="00A32E96">
              <w:rPr>
                <w:sz w:val="18"/>
                <w:szCs w:val="18"/>
              </w:rPr>
              <w:t>for a sustainable economy</w:t>
            </w:r>
          </w:p>
        </w:tc>
        <w:tc>
          <w:tcPr>
            <w:tcW w:w="2272" w:type="dxa"/>
          </w:tcPr>
          <w:p w14:paraId="291A9BFE" w14:textId="77777777" w:rsidR="0072632E" w:rsidRPr="00A32E96" w:rsidRDefault="00A7724F"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Pakistan</w:t>
            </w:r>
          </w:p>
          <w:p w14:paraId="25EDF052" w14:textId="62057307" w:rsidR="00A7724F" w:rsidRPr="00A32E96" w:rsidRDefault="00A7724F"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UNDP</w:t>
            </w:r>
          </w:p>
        </w:tc>
      </w:tr>
      <w:tr w:rsidR="0072632E" w:rsidRPr="00A32E96" w14:paraId="55630CFC" w14:textId="23FD5221"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ign w:val="center"/>
          </w:tcPr>
          <w:p w14:paraId="7A2654BC" w14:textId="2A98FBA4" w:rsidR="0072632E" w:rsidRPr="00A32E96" w:rsidRDefault="0072632E" w:rsidP="00A874CA">
            <w:pPr>
              <w:rPr>
                <w:sz w:val="18"/>
                <w:szCs w:val="18"/>
              </w:rPr>
            </w:pPr>
          </w:p>
        </w:tc>
        <w:tc>
          <w:tcPr>
            <w:tcW w:w="1559" w:type="dxa"/>
            <w:vAlign w:val="center"/>
          </w:tcPr>
          <w:p w14:paraId="6FF17436" w14:textId="42292536"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highlight w:val="yellow"/>
              </w:rPr>
            </w:pPr>
            <w:r w:rsidRPr="00A32E96">
              <w:rPr>
                <w:sz w:val="18"/>
                <w:szCs w:val="18"/>
              </w:rPr>
              <w:t>Samoa</w:t>
            </w:r>
          </w:p>
        </w:tc>
        <w:tc>
          <w:tcPr>
            <w:tcW w:w="4111" w:type="dxa"/>
          </w:tcPr>
          <w:p w14:paraId="0B60C31B" w14:textId="26659D91" w:rsidR="008042D3" w:rsidRPr="00A32E96" w:rsidRDefault="00626AB2" w:rsidP="008042D3">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Project/ Activity:</w:t>
            </w:r>
            <w:r w:rsidR="008042D3" w:rsidRPr="00A32E96">
              <w:rPr>
                <w:sz w:val="18"/>
                <w:szCs w:val="18"/>
              </w:rPr>
              <w:t xml:space="preserve"> UN Joint Programme on Ecosystem Services</w:t>
            </w:r>
            <w:r w:rsidR="0042217B">
              <w:rPr>
                <w:sz w:val="18"/>
                <w:szCs w:val="18"/>
              </w:rPr>
              <w:t>:</w:t>
            </w:r>
            <w:r w:rsidR="008042D3" w:rsidRPr="00A32E96">
              <w:rPr>
                <w:sz w:val="18"/>
                <w:szCs w:val="18"/>
              </w:rPr>
              <w:t xml:space="preserve"> Building Forward Better by Safeguarding Natural Capital and Ecosystem Services</w:t>
            </w:r>
            <w:r w:rsidR="00887B7E">
              <w:rPr>
                <w:sz w:val="18"/>
                <w:szCs w:val="18"/>
              </w:rPr>
              <w:t xml:space="preserve">, </w:t>
            </w:r>
            <w:r w:rsidR="008042D3" w:rsidRPr="00A32E96">
              <w:rPr>
                <w:sz w:val="18"/>
                <w:szCs w:val="18"/>
              </w:rPr>
              <w:t xml:space="preserve">2022-2023 </w:t>
            </w:r>
          </w:p>
          <w:p w14:paraId="41B4EFDF" w14:textId="386810FE" w:rsidR="00626AB2" w:rsidRPr="00A32E96" w:rsidRDefault="00626AB2" w:rsidP="008042D3">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00630202" w:rsidRPr="00A32E96">
              <w:rPr>
                <w:b/>
                <w:bCs/>
                <w:sz w:val="18"/>
                <w:szCs w:val="18"/>
              </w:rPr>
              <w:t xml:space="preserve"> </w:t>
            </w:r>
            <w:r w:rsidR="00630202" w:rsidRPr="00A32E96">
              <w:rPr>
                <w:sz w:val="18"/>
                <w:szCs w:val="18"/>
              </w:rPr>
              <w:t>Local research for policy; planning; data collection and the validation of ecosystem services to inform future reporting against SDGs 11-15 and build a case for investment in ecosystem services</w:t>
            </w:r>
          </w:p>
        </w:tc>
        <w:tc>
          <w:tcPr>
            <w:tcW w:w="2272" w:type="dxa"/>
          </w:tcPr>
          <w:p w14:paraId="19EF4D68" w14:textId="77777777" w:rsidR="0072632E" w:rsidRPr="00A32E96" w:rsidRDefault="008D49A0"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Samoa</w:t>
            </w:r>
          </w:p>
          <w:p w14:paraId="7AB2DFA6" w14:textId="77777777" w:rsidR="008042D3" w:rsidRPr="00A32E96" w:rsidRDefault="008042D3" w:rsidP="008042D3">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48448079" w14:textId="4C15F0B4" w:rsidR="000431C7" w:rsidRPr="00A32E96" w:rsidRDefault="00925C3D"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UNESCAP</w:t>
            </w:r>
            <w:r w:rsidRPr="00A32E96">
              <w:rPr>
                <w:sz w:val="18"/>
                <w:szCs w:val="18"/>
              </w:rPr>
              <w:t xml:space="preserve">; </w:t>
            </w:r>
            <w:r w:rsidR="000431C7" w:rsidRPr="00A32E96">
              <w:rPr>
                <w:sz w:val="18"/>
                <w:szCs w:val="18"/>
              </w:rPr>
              <w:t xml:space="preserve">UNEP; </w:t>
            </w:r>
            <w:r w:rsidRPr="00A32E96">
              <w:rPr>
                <w:sz w:val="18"/>
                <w:szCs w:val="18"/>
              </w:rPr>
              <w:t>UNESCO</w:t>
            </w:r>
          </w:p>
        </w:tc>
      </w:tr>
      <w:tr w:rsidR="0072632E" w:rsidRPr="00A32E96" w14:paraId="6E339574" w14:textId="16587EF5"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237868E9" w14:textId="0B12965B" w:rsidR="0072632E" w:rsidRPr="00A32E96" w:rsidRDefault="0072632E" w:rsidP="00A874CA">
            <w:pPr>
              <w:rPr>
                <w:sz w:val="18"/>
                <w:szCs w:val="18"/>
              </w:rPr>
            </w:pPr>
            <w:r w:rsidRPr="00A32E96">
              <w:rPr>
                <w:sz w:val="18"/>
                <w:szCs w:val="18"/>
              </w:rPr>
              <w:t>Europe</w:t>
            </w:r>
          </w:p>
        </w:tc>
        <w:tc>
          <w:tcPr>
            <w:tcW w:w="1559" w:type="dxa"/>
            <w:vAlign w:val="center"/>
          </w:tcPr>
          <w:p w14:paraId="53F60A9E" w14:textId="56FD32F4" w:rsidR="0072632E" w:rsidRPr="00A32E96" w:rsidRDefault="0072632E" w:rsidP="00A874CA">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Belarus</w:t>
            </w:r>
          </w:p>
        </w:tc>
        <w:tc>
          <w:tcPr>
            <w:tcW w:w="4111" w:type="dxa"/>
          </w:tcPr>
          <w:p w14:paraId="619CDCFB" w14:textId="149EB16D" w:rsidR="0072632E" w:rsidRPr="00A32E96" w:rsidRDefault="00B2329F" w:rsidP="004E50D7">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00A41316" w:rsidRPr="00A32E96">
              <w:rPr>
                <w:sz w:val="18"/>
                <w:szCs w:val="18"/>
              </w:rPr>
              <w:t>Promoting SDG Performance-based Budgeting that Prioriti</w:t>
            </w:r>
            <w:r w:rsidR="004C4698" w:rsidRPr="00A32E96">
              <w:rPr>
                <w:sz w:val="18"/>
                <w:szCs w:val="18"/>
              </w:rPr>
              <w:t>s</w:t>
            </w:r>
            <w:r w:rsidR="00A41316" w:rsidRPr="00A32E96">
              <w:rPr>
                <w:sz w:val="18"/>
                <w:szCs w:val="18"/>
              </w:rPr>
              <w:t>e</w:t>
            </w:r>
            <w:r w:rsidR="004C4698" w:rsidRPr="00A32E96">
              <w:rPr>
                <w:sz w:val="18"/>
                <w:szCs w:val="18"/>
              </w:rPr>
              <w:t>s</w:t>
            </w:r>
            <w:r w:rsidR="00A41316" w:rsidRPr="00A32E96">
              <w:rPr>
                <w:sz w:val="18"/>
                <w:szCs w:val="18"/>
              </w:rPr>
              <w:t xml:space="preserve"> Vulnerable Populations in Belarus</w:t>
            </w:r>
            <w:r w:rsidR="00887B7E">
              <w:rPr>
                <w:sz w:val="18"/>
                <w:szCs w:val="18"/>
              </w:rPr>
              <w:t xml:space="preserve">, </w:t>
            </w:r>
            <w:r w:rsidR="00E44F57" w:rsidRPr="00A32E96">
              <w:rPr>
                <w:rFonts w:eastAsiaTheme="minorHAnsi"/>
                <w:kern w:val="2"/>
                <w:sz w:val="18"/>
                <w:szCs w:val="18"/>
                <w:lang w:val="en-CA" w:eastAsia="en-US"/>
                <w14:ligatures w14:val="standardContextual"/>
              </w:rPr>
              <w:t>2020-2022</w:t>
            </w:r>
          </w:p>
          <w:p w14:paraId="21023EE5" w14:textId="30D0A9AD" w:rsidR="00691BAF" w:rsidRPr="00A32E96" w:rsidRDefault="00691BAF" w:rsidP="004E50D7">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004C4698" w:rsidRPr="00A32E96">
              <w:rPr>
                <w:b/>
                <w:bCs/>
                <w:sz w:val="18"/>
                <w:szCs w:val="18"/>
              </w:rPr>
              <w:t xml:space="preserve"> </w:t>
            </w:r>
            <w:r w:rsidR="00490B48" w:rsidRPr="00A32E96">
              <w:rPr>
                <w:sz w:val="18"/>
                <w:szCs w:val="18"/>
              </w:rPr>
              <w:t>Identi</w:t>
            </w:r>
            <w:r w:rsidR="00A0334D" w:rsidRPr="00A32E96">
              <w:rPr>
                <w:sz w:val="18"/>
                <w:szCs w:val="18"/>
              </w:rPr>
              <w:t>fication of</w:t>
            </w:r>
            <w:r w:rsidR="00BC4C79" w:rsidRPr="00A32E96">
              <w:rPr>
                <w:sz w:val="18"/>
                <w:szCs w:val="18"/>
              </w:rPr>
              <w:t xml:space="preserve"> </w:t>
            </w:r>
            <w:r w:rsidR="00490B48" w:rsidRPr="00A32E96">
              <w:rPr>
                <w:sz w:val="18"/>
                <w:szCs w:val="18"/>
              </w:rPr>
              <w:t>budgeting gaps and contribut</w:t>
            </w:r>
            <w:r w:rsidR="00A0334D" w:rsidRPr="00A32E96">
              <w:rPr>
                <w:sz w:val="18"/>
                <w:szCs w:val="18"/>
              </w:rPr>
              <w:t>ion</w:t>
            </w:r>
            <w:r w:rsidR="00490B48" w:rsidRPr="00A32E96">
              <w:rPr>
                <w:sz w:val="18"/>
                <w:szCs w:val="18"/>
              </w:rPr>
              <w:t xml:space="preserve"> to</w:t>
            </w:r>
            <w:r w:rsidR="00BC4C79" w:rsidRPr="00A32E96">
              <w:rPr>
                <w:sz w:val="18"/>
                <w:szCs w:val="18"/>
              </w:rPr>
              <w:t>wards</w:t>
            </w:r>
            <w:r w:rsidR="00490B48" w:rsidRPr="00A32E96">
              <w:rPr>
                <w:sz w:val="18"/>
                <w:szCs w:val="18"/>
              </w:rPr>
              <w:t xml:space="preserve"> a better focus on</w:t>
            </w:r>
            <w:r w:rsidR="00BC2E61" w:rsidRPr="00A32E96">
              <w:rPr>
                <w:sz w:val="18"/>
                <w:szCs w:val="18"/>
              </w:rPr>
              <w:t xml:space="preserve"> the</w:t>
            </w:r>
            <w:r w:rsidR="00490B48" w:rsidRPr="00A32E96">
              <w:rPr>
                <w:sz w:val="18"/>
                <w:szCs w:val="18"/>
              </w:rPr>
              <w:t xml:space="preserve"> long-term priority expenditures </w:t>
            </w:r>
            <w:r w:rsidR="00BC2E61" w:rsidRPr="00A32E96">
              <w:rPr>
                <w:sz w:val="18"/>
                <w:szCs w:val="18"/>
              </w:rPr>
              <w:t xml:space="preserve">of </w:t>
            </w:r>
            <w:r w:rsidR="00490B48" w:rsidRPr="00A32E96">
              <w:rPr>
                <w:sz w:val="18"/>
                <w:szCs w:val="18"/>
              </w:rPr>
              <w:t>national SDG targets</w:t>
            </w:r>
          </w:p>
        </w:tc>
        <w:tc>
          <w:tcPr>
            <w:tcW w:w="2272" w:type="dxa"/>
          </w:tcPr>
          <w:p w14:paraId="0DCFA09B" w14:textId="63A69A1B" w:rsidR="00CD2B2D" w:rsidRPr="00A32E96" w:rsidRDefault="00CD2B2D" w:rsidP="00CD2B2D">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Belarus</w:t>
            </w:r>
          </w:p>
          <w:p w14:paraId="715101A5" w14:textId="77777777" w:rsidR="00CD2B2D" w:rsidRPr="00A32E96" w:rsidRDefault="00CD2B2D" w:rsidP="00CD2B2D">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5C0B289C" w14:textId="18518F7E" w:rsidR="0072632E" w:rsidRPr="00A32E96" w:rsidRDefault="009C0A2D" w:rsidP="00A874C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UNDP, UNICEF, UNFPA</w:t>
            </w:r>
            <w:r w:rsidR="00A41316" w:rsidRPr="00A32E96">
              <w:rPr>
                <w:sz w:val="18"/>
                <w:szCs w:val="18"/>
              </w:rPr>
              <w:t xml:space="preserve">; </w:t>
            </w:r>
            <w:r w:rsidRPr="00A32E96">
              <w:rPr>
                <w:sz w:val="18"/>
                <w:szCs w:val="18"/>
              </w:rPr>
              <w:t>UN Women</w:t>
            </w:r>
          </w:p>
        </w:tc>
      </w:tr>
      <w:tr w:rsidR="009F6EFC" w:rsidRPr="00A32E96" w14:paraId="1F194A39" w14:textId="3F5960B6"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ign w:val="center"/>
          </w:tcPr>
          <w:p w14:paraId="3AFD419E" w14:textId="77777777" w:rsidR="009F6EFC" w:rsidRPr="00A32E96" w:rsidRDefault="009F6EFC" w:rsidP="009F6EFC">
            <w:pPr>
              <w:rPr>
                <w:sz w:val="18"/>
                <w:szCs w:val="18"/>
              </w:rPr>
            </w:pPr>
          </w:p>
        </w:tc>
        <w:tc>
          <w:tcPr>
            <w:tcW w:w="1559" w:type="dxa"/>
            <w:vAlign w:val="center"/>
          </w:tcPr>
          <w:p w14:paraId="4BF9812B" w14:textId="7CC047D4" w:rsidR="009F6EFC" w:rsidRPr="00A32E96" w:rsidRDefault="009F6EFC" w:rsidP="009F6EFC">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Kyrgyzstan</w:t>
            </w:r>
          </w:p>
        </w:tc>
        <w:tc>
          <w:tcPr>
            <w:tcW w:w="4111" w:type="dxa"/>
          </w:tcPr>
          <w:p w14:paraId="14C4BEA8" w14:textId="2E028F34" w:rsidR="009F6EFC" w:rsidRPr="00A32E96" w:rsidRDefault="00B2329F" w:rsidP="004E50D7">
            <w:pPr>
              <w:pStyle w:val="Normal-sizedTableBullets"/>
              <w:spacing w:before="60" w:after="60"/>
              <w:ind w:left="197" w:hanging="197"/>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009F6EFC" w:rsidRPr="00A32E96">
              <w:rPr>
                <w:sz w:val="18"/>
                <w:szCs w:val="18"/>
              </w:rPr>
              <w:t>Enhanced Financing Opportunities and Alignment with National SDGs through an INFF for Kyrgyzstan</w:t>
            </w:r>
            <w:r w:rsidR="00887B7E">
              <w:rPr>
                <w:sz w:val="18"/>
                <w:szCs w:val="18"/>
              </w:rPr>
              <w:t xml:space="preserve">, </w:t>
            </w:r>
            <w:r w:rsidR="005859BA" w:rsidRPr="00A32E96">
              <w:rPr>
                <w:sz w:val="18"/>
                <w:szCs w:val="18"/>
              </w:rPr>
              <w:t>2020-2022</w:t>
            </w:r>
          </w:p>
          <w:p w14:paraId="6B6865E1" w14:textId="7AC7F2D7" w:rsidR="009F6EFC" w:rsidRPr="00A32E96" w:rsidRDefault="009F6EFC" w:rsidP="004E50D7">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Description:</w:t>
            </w:r>
            <w:r w:rsidRPr="00A32E96">
              <w:rPr>
                <w:sz w:val="18"/>
                <w:szCs w:val="18"/>
              </w:rPr>
              <w:t xml:space="preserve"> </w:t>
            </w:r>
            <w:r w:rsidR="00A43B69" w:rsidRPr="00A32E96">
              <w:rPr>
                <w:sz w:val="18"/>
                <w:szCs w:val="18"/>
              </w:rPr>
              <w:t xml:space="preserve">Support for the </w:t>
            </w:r>
            <w:r w:rsidRPr="00A32E96">
              <w:rPr>
                <w:sz w:val="18"/>
                <w:szCs w:val="18"/>
              </w:rPr>
              <w:t>improved use of public funds and governance of private finance, for the National Development Strategy and the SDGs</w:t>
            </w:r>
            <w:r w:rsidR="00A43B69" w:rsidRPr="00A32E96">
              <w:rPr>
                <w:sz w:val="18"/>
                <w:szCs w:val="18"/>
              </w:rPr>
              <w:t xml:space="preserve"> through an integrated financing strategy</w:t>
            </w:r>
          </w:p>
        </w:tc>
        <w:tc>
          <w:tcPr>
            <w:tcW w:w="2272" w:type="dxa"/>
          </w:tcPr>
          <w:p w14:paraId="75F43BFB" w14:textId="77777777" w:rsidR="009F6EFC" w:rsidRPr="00A32E96" w:rsidRDefault="009F6EFC" w:rsidP="009F6EFC">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Kyrgyzstan</w:t>
            </w:r>
          </w:p>
          <w:p w14:paraId="35ADF3E3" w14:textId="77777777" w:rsidR="009F6EFC" w:rsidRPr="00A32E96" w:rsidRDefault="009F6EFC" w:rsidP="009F6EFC">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62E00A5F" w14:textId="6D720DEC" w:rsidR="009F6EFC" w:rsidRPr="00A32E96" w:rsidRDefault="009F6EFC" w:rsidP="009F6EFC">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UNDP; UNICEF</w:t>
            </w:r>
          </w:p>
        </w:tc>
      </w:tr>
      <w:tr w:rsidR="00CE5F60" w:rsidRPr="00A32E96" w14:paraId="32D9904E" w14:textId="77777777"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3CBE5AF3" w14:textId="71EE8DDE" w:rsidR="00CE5F60" w:rsidRPr="00A32E96" w:rsidRDefault="00CE5F60" w:rsidP="00811F20">
            <w:pPr>
              <w:rPr>
                <w:sz w:val="18"/>
                <w:szCs w:val="18"/>
              </w:rPr>
            </w:pPr>
            <w:r w:rsidRPr="00A32E96">
              <w:rPr>
                <w:sz w:val="18"/>
                <w:szCs w:val="18"/>
              </w:rPr>
              <w:t xml:space="preserve">Latin America and </w:t>
            </w:r>
            <w:r w:rsidRPr="00A32E96">
              <w:rPr>
                <w:sz w:val="18"/>
                <w:szCs w:val="18"/>
              </w:rPr>
              <w:lastRenderedPageBreak/>
              <w:t>the Caribbean</w:t>
            </w:r>
          </w:p>
        </w:tc>
        <w:tc>
          <w:tcPr>
            <w:tcW w:w="1559" w:type="dxa"/>
            <w:vAlign w:val="center"/>
          </w:tcPr>
          <w:p w14:paraId="6DB3EC99" w14:textId="5749F4ED" w:rsidR="00CE5F60" w:rsidRPr="00A32E96" w:rsidRDefault="00CE5F60" w:rsidP="00811F20">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lastRenderedPageBreak/>
              <w:t>Costa Rica</w:t>
            </w:r>
          </w:p>
        </w:tc>
        <w:tc>
          <w:tcPr>
            <w:tcW w:w="4111" w:type="dxa"/>
          </w:tcPr>
          <w:p w14:paraId="0D8DDFA7" w14:textId="77777777" w:rsidR="00CE5F60" w:rsidRPr="00A32E96" w:rsidRDefault="00CE5F6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 xml:space="preserve">Strengthening the SDG Financing Architecture in Costa Rica by Aligning Resources with National Objectives and </w:t>
            </w:r>
            <w:r w:rsidRPr="00A32E96">
              <w:rPr>
                <w:sz w:val="18"/>
                <w:szCs w:val="18"/>
              </w:rPr>
              <w:lastRenderedPageBreak/>
              <w:t>Improving Public Spending in the Education Sector</w:t>
            </w:r>
            <w:r>
              <w:rPr>
                <w:sz w:val="18"/>
                <w:szCs w:val="18"/>
              </w:rPr>
              <w:t xml:space="preserve">, </w:t>
            </w:r>
            <w:r w:rsidRPr="00A32E96">
              <w:rPr>
                <w:sz w:val="18"/>
                <w:szCs w:val="18"/>
              </w:rPr>
              <w:t>2020-2022</w:t>
            </w:r>
          </w:p>
          <w:p w14:paraId="2A889EFF" w14:textId="16C9B5BB" w:rsidR="00CE5F60" w:rsidRPr="00A32E96" w:rsidRDefault="00CE5F6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b/>
                <w:bCs/>
                <w:sz w:val="18"/>
                <w:szCs w:val="18"/>
              </w:rPr>
            </w:pPr>
            <w:r w:rsidRPr="00A32E96">
              <w:rPr>
                <w:b/>
                <w:bCs/>
                <w:sz w:val="18"/>
                <w:szCs w:val="18"/>
              </w:rPr>
              <w:t xml:space="preserve">Description: </w:t>
            </w:r>
            <w:r w:rsidRPr="00A32E96">
              <w:rPr>
                <w:sz w:val="18"/>
                <w:szCs w:val="18"/>
              </w:rPr>
              <w:t>INFF development involving close collaboration of public and private actors to support results-based budgeting for public education and the fulfilment of Agenda 2030</w:t>
            </w:r>
          </w:p>
        </w:tc>
        <w:tc>
          <w:tcPr>
            <w:tcW w:w="2272" w:type="dxa"/>
          </w:tcPr>
          <w:p w14:paraId="534D72EA" w14:textId="77777777"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lastRenderedPageBreak/>
              <w:t>Government of Costa Rica</w:t>
            </w:r>
          </w:p>
          <w:p w14:paraId="5D3E6CBF" w14:textId="77777777" w:rsidR="00CE5F60" w:rsidRPr="00A32E96" w:rsidRDefault="00CE5F60" w:rsidP="00811F20">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lastRenderedPageBreak/>
              <w:t>Joint SDG Fund (Donor)</w:t>
            </w:r>
          </w:p>
          <w:p w14:paraId="3EDED140" w14:textId="77777777"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Civil Society</w:t>
            </w:r>
          </w:p>
          <w:p w14:paraId="56486863" w14:textId="050E5361"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UNICEF; UNESCO; UNFPA</w:t>
            </w:r>
          </w:p>
        </w:tc>
      </w:tr>
      <w:tr w:rsidR="00CE5F60" w:rsidRPr="00A32E96" w14:paraId="560985E0" w14:textId="160E184E"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ign w:val="center"/>
          </w:tcPr>
          <w:p w14:paraId="0239D5BC" w14:textId="77777777" w:rsidR="00CE5F60" w:rsidRPr="00A32E96" w:rsidRDefault="00CE5F60" w:rsidP="00811F20">
            <w:pPr>
              <w:rPr>
                <w:sz w:val="18"/>
                <w:szCs w:val="18"/>
              </w:rPr>
            </w:pPr>
          </w:p>
        </w:tc>
        <w:tc>
          <w:tcPr>
            <w:tcW w:w="1559" w:type="dxa"/>
            <w:vAlign w:val="center"/>
          </w:tcPr>
          <w:p w14:paraId="7FC9383A" w14:textId="67068F32" w:rsidR="00CE5F60" w:rsidRPr="00A32E96" w:rsidRDefault="00CE5F60" w:rsidP="00811F20">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Dominican Republic</w:t>
            </w:r>
          </w:p>
        </w:tc>
        <w:tc>
          <w:tcPr>
            <w:tcW w:w="4111" w:type="dxa"/>
          </w:tcPr>
          <w:p w14:paraId="68478002" w14:textId="75F1C2CB" w:rsidR="00CE5F60" w:rsidRPr="00A32E96" w:rsidRDefault="00CE5F6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Support to</w:t>
            </w:r>
            <w:r w:rsidRPr="00A32E96">
              <w:rPr>
                <w:b/>
                <w:bCs/>
                <w:sz w:val="18"/>
                <w:szCs w:val="18"/>
              </w:rPr>
              <w:t xml:space="preserve"> </w:t>
            </w:r>
            <w:r w:rsidRPr="00A32E96">
              <w:rPr>
                <w:sz w:val="18"/>
                <w:szCs w:val="18"/>
              </w:rPr>
              <w:t>INFFs in Small-island Developing States (SIDS) / Financing for SIDS</w:t>
            </w:r>
            <w:r>
              <w:rPr>
                <w:sz w:val="18"/>
                <w:szCs w:val="18"/>
              </w:rPr>
              <w:t xml:space="preserve">, </w:t>
            </w:r>
            <w:r w:rsidRPr="00A32E96">
              <w:rPr>
                <w:sz w:val="18"/>
                <w:szCs w:val="18"/>
              </w:rPr>
              <w:t>2022-2024</w:t>
            </w:r>
          </w:p>
          <w:p w14:paraId="657F0C58" w14:textId="155AAF22" w:rsidR="00CE5F60" w:rsidRPr="00A32E96" w:rsidRDefault="00CE5F6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Description: </w:t>
            </w:r>
            <w:r w:rsidRPr="00A32E96">
              <w:rPr>
                <w:sz w:val="18"/>
                <w:szCs w:val="18"/>
              </w:rPr>
              <w:t xml:space="preserve">Targeted support for financing sustainable development </w:t>
            </w:r>
          </w:p>
        </w:tc>
        <w:tc>
          <w:tcPr>
            <w:tcW w:w="2272" w:type="dxa"/>
          </w:tcPr>
          <w:p w14:paraId="65554521" w14:textId="25712292"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the Dominican Republic</w:t>
            </w:r>
          </w:p>
          <w:p w14:paraId="35C72E05" w14:textId="0371A0A0" w:rsidR="00CE5F60" w:rsidRPr="00A32E96" w:rsidRDefault="00CE5F6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b/>
                <w:bCs/>
                <w:sz w:val="18"/>
                <w:szCs w:val="18"/>
              </w:rPr>
            </w:pPr>
            <w:r w:rsidRPr="00A32E96">
              <w:rPr>
                <w:b/>
                <w:bCs/>
                <w:sz w:val="18"/>
                <w:szCs w:val="18"/>
              </w:rPr>
              <w:t>UNDESA-FSDO</w:t>
            </w:r>
          </w:p>
        </w:tc>
      </w:tr>
      <w:tr w:rsidR="00811F20" w:rsidRPr="00A32E96" w14:paraId="1164564B" w14:textId="3EAB67EF" w:rsidTr="006B4F72">
        <w:trPr>
          <w:jc w:val="center"/>
        </w:trPr>
        <w:tc>
          <w:tcPr>
            <w:cnfStyle w:val="001000000000" w:firstRow="0" w:lastRow="0" w:firstColumn="1" w:lastColumn="0" w:oddVBand="0" w:evenVBand="0" w:oddHBand="0" w:evenHBand="0" w:firstRowFirstColumn="0" w:firstRowLastColumn="0" w:lastRowFirstColumn="0" w:lastRowLastColumn="0"/>
            <w:tcW w:w="1268" w:type="dxa"/>
            <w:vMerge w:val="restart"/>
            <w:vAlign w:val="center"/>
          </w:tcPr>
          <w:p w14:paraId="7FDCC879" w14:textId="7C2AE144" w:rsidR="00811F20" w:rsidRPr="00A32E96" w:rsidRDefault="00811F20" w:rsidP="00811F20">
            <w:pPr>
              <w:rPr>
                <w:sz w:val="18"/>
                <w:szCs w:val="18"/>
              </w:rPr>
            </w:pPr>
            <w:r w:rsidRPr="00A32E96">
              <w:rPr>
                <w:sz w:val="18"/>
                <w:szCs w:val="18"/>
              </w:rPr>
              <w:t>Western Asia</w:t>
            </w:r>
          </w:p>
        </w:tc>
        <w:tc>
          <w:tcPr>
            <w:tcW w:w="1559" w:type="dxa"/>
            <w:vMerge w:val="restart"/>
            <w:vAlign w:val="center"/>
          </w:tcPr>
          <w:p w14:paraId="5403C716" w14:textId="113B62B5" w:rsidR="00811F20" w:rsidRPr="00A32E96" w:rsidRDefault="00811F20" w:rsidP="00811F20">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Egypt</w:t>
            </w:r>
          </w:p>
        </w:tc>
        <w:tc>
          <w:tcPr>
            <w:tcW w:w="4111" w:type="dxa"/>
          </w:tcPr>
          <w:p w14:paraId="78C387C9" w14:textId="287FB995"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UN Joint SDG Fund Support to Egypt Integrated SDGs Financing</w:t>
            </w:r>
            <w:r>
              <w:rPr>
                <w:sz w:val="18"/>
                <w:szCs w:val="18"/>
              </w:rPr>
              <w:t xml:space="preserve"> </w:t>
            </w:r>
            <w:r w:rsidRPr="00A32E96">
              <w:rPr>
                <w:sz w:val="18"/>
                <w:szCs w:val="18"/>
              </w:rPr>
              <w:t>2020-2022</w:t>
            </w:r>
          </w:p>
          <w:p w14:paraId="2FF97E05" w14:textId="1872335D"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Description: </w:t>
            </w:r>
            <w:r w:rsidRPr="00A32E96">
              <w:rPr>
                <w:sz w:val="18"/>
                <w:szCs w:val="18"/>
              </w:rPr>
              <w:t>Investment in key sectors, including accelerators, through SDG-aligned development financing, to achieve the objectives and SDG targets of the National Agenda for Sustainable Development by 2030</w:t>
            </w:r>
          </w:p>
        </w:tc>
        <w:tc>
          <w:tcPr>
            <w:tcW w:w="2272" w:type="dxa"/>
          </w:tcPr>
          <w:p w14:paraId="73EC57B5" w14:textId="62B39FDA"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 xml:space="preserve">Government of the Arab Republic of Egypt </w:t>
            </w:r>
          </w:p>
          <w:p w14:paraId="4CEDB15D" w14:textId="77777777" w:rsidR="00811F20" w:rsidRPr="00A32E96" w:rsidRDefault="00811F20" w:rsidP="00811F20">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50BF222D" w14:textId="4F6F17AE"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 xml:space="preserve">UNDP; </w:t>
            </w:r>
            <w:r w:rsidRPr="00A32E96">
              <w:rPr>
                <w:b/>
                <w:bCs/>
                <w:sz w:val="18"/>
                <w:szCs w:val="18"/>
              </w:rPr>
              <w:t>UNCTAD</w:t>
            </w:r>
            <w:r w:rsidRPr="00A32E96">
              <w:rPr>
                <w:sz w:val="18"/>
                <w:szCs w:val="18"/>
              </w:rPr>
              <w:t>; UNICEF; UN Women; ILO</w:t>
            </w:r>
          </w:p>
        </w:tc>
      </w:tr>
      <w:tr w:rsidR="00811F20" w:rsidRPr="00A32E96" w14:paraId="68EDA7FB" w14:textId="77777777" w:rsidTr="005038C6">
        <w:trPr>
          <w:jc w:val="center"/>
        </w:trPr>
        <w:tc>
          <w:tcPr>
            <w:cnfStyle w:val="001000000000" w:firstRow="0" w:lastRow="0" w:firstColumn="1" w:lastColumn="0" w:oddVBand="0" w:evenVBand="0" w:oddHBand="0" w:evenHBand="0" w:firstRowFirstColumn="0" w:firstRowLastColumn="0" w:lastRowFirstColumn="0" w:lastRowLastColumn="0"/>
            <w:tcW w:w="1268" w:type="dxa"/>
            <w:vMerge/>
          </w:tcPr>
          <w:p w14:paraId="59E032FF" w14:textId="77777777" w:rsidR="00811F20" w:rsidRPr="00A32E96" w:rsidRDefault="00811F20" w:rsidP="00811F20">
            <w:pPr>
              <w:rPr>
                <w:sz w:val="18"/>
                <w:szCs w:val="18"/>
              </w:rPr>
            </w:pPr>
          </w:p>
        </w:tc>
        <w:tc>
          <w:tcPr>
            <w:tcW w:w="1559" w:type="dxa"/>
            <w:vMerge/>
            <w:vAlign w:val="center"/>
          </w:tcPr>
          <w:p w14:paraId="09114352" w14:textId="77777777" w:rsidR="00811F20" w:rsidRPr="00A32E96" w:rsidRDefault="00811F20" w:rsidP="00811F20">
            <w:pPr>
              <w:cnfStyle w:val="000000000000" w:firstRow="0" w:lastRow="0" w:firstColumn="0" w:lastColumn="0" w:oddVBand="0" w:evenVBand="0" w:oddHBand="0" w:evenHBand="0" w:firstRowFirstColumn="0" w:firstRowLastColumn="0" w:lastRowFirstColumn="0" w:lastRowLastColumn="0"/>
              <w:rPr>
                <w:sz w:val="18"/>
                <w:szCs w:val="18"/>
              </w:rPr>
            </w:pPr>
          </w:p>
        </w:tc>
        <w:tc>
          <w:tcPr>
            <w:tcW w:w="4111" w:type="dxa"/>
          </w:tcPr>
          <w:p w14:paraId="6C8970D5" w14:textId="3B9C9E2A"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National SDG-costing Dashboard</w:t>
            </w:r>
            <w:r>
              <w:rPr>
                <w:sz w:val="18"/>
                <w:szCs w:val="18"/>
              </w:rPr>
              <w:t xml:space="preserve">, </w:t>
            </w:r>
            <w:r w:rsidRPr="00A32E96">
              <w:rPr>
                <w:sz w:val="18"/>
                <w:szCs w:val="18"/>
              </w:rPr>
              <w:t>2019-2021</w:t>
            </w:r>
          </w:p>
          <w:p w14:paraId="76505CBB" w14:textId="72FA5252"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Description: </w:t>
            </w:r>
            <w:r w:rsidRPr="00A32E96">
              <w:rPr>
                <w:sz w:val="18"/>
                <w:szCs w:val="18"/>
              </w:rPr>
              <w:t>Assessment of the cost of achieving nationally-defined SDGs</w:t>
            </w:r>
          </w:p>
        </w:tc>
        <w:tc>
          <w:tcPr>
            <w:tcW w:w="2272" w:type="dxa"/>
          </w:tcPr>
          <w:p w14:paraId="40E57299" w14:textId="28B10C03"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the Arab Republic of Egypt</w:t>
            </w:r>
          </w:p>
          <w:p w14:paraId="040257C4" w14:textId="1B3FE4C3"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b/>
                <w:bCs/>
                <w:sz w:val="18"/>
                <w:szCs w:val="18"/>
              </w:rPr>
            </w:pPr>
            <w:r w:rsidRPr="00A32E96">
              <w:rPr>
                <w:b/>
                <w:bCs/>
                <w:sz w:val="18"/>
                <w:szCs w:val="18"/>
              </w:rPr>
              <w:t>UNESCWA</w:t>
            </w:r>
          </w:p>
        </w:tc>
      </w:tr>
      <w:tr w:rsidR="00811F20" w:rsidRPr="00A32E96" w14:paraId="14F19B5D" w14:textId="2CBBC9C9" w:rsidTr="005038C6">
        <w:trPr>
          <w:jc w:val="center"/>
        </w:trPr>
        <w:tc>
          <w:tcPr>
            <w:cnfStyle w:val="001000000000" w:firstRow="0" w:lastRow="0" w:firstColumn="1" w:lastColumn="0" w:oddVBand="0" w:evenVBand="0" w:oddHBand="0" w:evenHBand="0" w:firstRowFirstColumn="0" w:firstRowLastColumn="0" w:lastRowFirstColumn="0" w:lastRowLastColumn="0"/>
            <w:tcW w:w="1268" w:type="dxa"/>
            <w:vMerge/>
          </w:tcPr>
          <w:p w14:paraId="2444751B" w14:textId="77777777" w:rsidR="00811F20" w:rsidRPr="00A32E96" w:rsidRDefault="00811F20" w:rsidP="00811F20">
            <w:pPr>
              <w:rPr>
                <w:sz w:val="18"/>
                <w:szCs w:val="18"/>
              </w:rPr>
            </w:pPr>
          </w:p>
        </w:tc>
        <w:tc>
          <w:tcPr>
            <w:tcW w:w="1559" w:type="dxa"/>
            <w:vAlign w:val="center"/>
          </w:tcPr>
          <w:p w14:paraId="28412C53" w14:textId="12B3DD32" w:rsidR="00811F20" w:rsidRPr="00A32E96" w:rsidRDefault="00811F20" w:rsidP="00811F20">
            <w:pPr>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Jordan</w:t>
            </w:r>
          </w:p>
        </w:tc>
        <w:tc>
          <w:tcPr>
            <w:tcW w:w="4111" w:type="dxa"/>
          </w:tcPr>
          <w:p w14:paraId="3091FC4C" w14:textId="5456B315"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Project/ Activity: </w:t>
            </w:r>
            <w:r w:rsidRPr="00A32E96">
              <w:rPr>
                <w:sz w:val="18"/>
                <w:szCs w:val="18"/>
              </w:rPr>
              <w:t xml:space="preserve">Accelerating Jordan’s Progress towards SDGs by Establishing </w:t>
            </w:r>
            <w:r w:rsidR="00F05FBC">
              <w:rPr>
                <w:sz w:val="18"/>
                <w:szCs w:val="18"/>
              </w:rPr>
              <w:t>building blocks</w:t>
            </w:r>
            <w:r w:rsidRPr="00A32E96">
              <w:rPr>
                <w:sz w:val="18"/>
                <w:szCs w:val="18"/>
              </w:rPr>
              <w:t xml:space="preserve"> of an Integrated Financing Framework/ Enabling SDG Financing Ecosystem</w:t>
            </w:r>
            <w:r>
              <w:rPr>
                <w:sz w:val="18"/>
                <w:szCs w:val="18"/>
              </w:rPr>
              <w:t xml:space="preserve">, </w:t>
            </w:r>
            <w:r w:rsidRPr="00A32E96">
              <w:rPr>
                <w:sz w:val="18"/>
                <w:szCs w:val="18"/>
              </w:rPr>
              <w:t>2020-2022</w:t>
            </w:r>
          </w:p>
          <w:p w14:paraId="689AC7D8" w14:textId="7BE8EEEE" w:rsidR="00811F20" w:rsidRPr="00A32E96" w:rsidRDefault="00811F20" w:rsidP="00811F20">
            <w:pPr>
              <w:pStyle w:val="Normal-sizedTableBullets"/>
              <w:spacing w:before="60" w:after="60"/>
              <w:jc w:val="both"/>
              <w:cnfStyle w:val="000000000000" w:firstRow="0" w:lastRow="0" w:firstColumn="0" w:lastColumn="0" w:oddVBand="0" w:evenVBand="0" w:oddHBand="0" w:evenHBand="0" w:firstRowFirstColumn="0" w:firstRowLastColumn="0" w:lastRowFirstColumn="0" w:lastRowLastColumn="0"/>
              <w:rPr>
                <w:sz w:val="18"/>
                <w:szCs w:val="18"/>
              </w:rPr>
            </w:pPr>
            <w:r w:rsidRPr="00A32E96">
              <w:rPr>
                <w:b/>
                <w:bCs/>
                <w:sz w:val="18"/>
                <w:szCs w:val="18"/>
              </w:rPr>
              <w:t xml:space="preserve">Description: </w:t>
            </w:r>
            <w:r w:rsidRPr="00A32E96">
              <w:rPr>
                <w:sz w:val="18"/>
                <w:szCs w:val="18"/>
              </w:rPr>
              <w:t>Establishment of</w:t>
            </w:r>
            <w:r w:rsidRPr="00A32E96">
              <w:rPr>
                <w:b/>
                <w:bCs/>
                <w:sz w:val="18"/>
                <w:szCs w:val="18"/>
              </w:rPr>
              <w:t xml:space="preserve"> </w:t>
            </w:r>
            <w:r w:rsidRPr="00A32E96">
              <w:rPr>
                <w:sz w:val="18"/>
                <w:szCs w:val="18"/>
              </w:rPr>
              <w:t>an integrated, gender-responsive SDG financing framework, with strengthened linkages between planning, budgeting and climate financing, to accelerate progress towards the SDGs</w:t>
            </w:r>
          </w:p>
        </w:tc>
        <w:tc>
          <w:tcPr>
            <w:tcW w:w="2272" w:type="dxa"/>
          </w:tcPr>
          <w:p w14:paraId="6901EEAD" w14:textId="510B271E"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Government of the Hashemite Kingdom of Jordan</w:t>
            </w:r>
          </w:p>
          <w:p w14:paraId="46BB97CB" w14:textId="77777777" w:rsidR="00811F20" w:rsidRPr="00A32E96" w:rsidRDefault="00811F20" w:rsidP="00811F20">
            <w:pPr>
              <w:pStyle w:val="Normal-sizedTableBullets"/>
              <w:spacing w:before="60" w:after="60"/>
              <w:ind w:left="197" w:hanging="197"/>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Joint SDG Fund (Donor)</w:t>
            </w:r>
          </w:p>
          <w:p w14:paraId="3B38E31C" w14:textId="2B15E632" w:rsidR="00811F20" w:rsidRPr="00A32E96" w:rsidRDefault="00811F20" w:rsidP="00811F20">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A32E96">
              <w:rPr>
                <w:sz w:val="18"/>
                <w:szCs w:val="18"/>
              </w:rPr>
              <w:t>UNDG; UNICEF; UN Women</w:t>
            </w:r>
          </w:p>
        </w:tc>
      </w:tr>
    </w:tbl>
    <w:p w14:paraId="32CDCD09" w14:textId="17AADB00" w:rsidR="00D32A4E" w:rsidRDefault="00F6386E" w:rsidP="007778A8">
      <w:pPr>
        <w:pStyle w:val="BodyText"/>
        <w:rPr>
          <w:lang w:val="en-GB"/>
        </w:rPr>
      </w:pPr>
      <w:r w:rsidRPr="00F5487A">
        <w:rPr>
          <w:i/>
          <w:iCs/>
          <w:lang w:val="fr-CH"/>
        </w:rPr>
        <w:t>Source</w:t>
      </w:r>
      <w:r w:rsidR="00E5245A">
        <w:rPr>
          <w:i/>
          <w:iCs/>
          <w:lang w:val="fr-CH"/>
        </w:rPr>
        <w:t>:</w:t>
      </w:r>
      <w:r w:rsidR="008D49A0">
        <w:rPr>
          <w:i/>
          <w:iCs/>
          <w:lang w:val="fr-CH"/>
        </w:rPr>
        <w:t xml:space="preserve"> Multiple so</w:t>
      </w:r>
      <w:r w:rsidR="00E5245A">
        <w:rPr>
          <w:i/>
          <w:iCs/>
          <w:lang w:val="fr-CH"/>
        </w:rPr>
        <w:t>urces</w:t>
      </w:r>
      <w:r w:rsidR="00B50064">
        <w:rPr>
          <w:rStyle w:val="FootnoteReference"/>
          <w:i/>
          <w:iCs/>
          <w:lang w:val="fr-CH"/>
        </w:rPr>
        <w:footnoteReference w:id="26"/>
      </w:r>
    </w:p>
    <w:p w14:paraId="0923B47E" w14:textId="77777777" w:rsidR="004B2A5E" w:rsidRDefault="004B2A5E" w:rsidP="007778A8">
      <w:pPr>
        <w:pStyle w:val="BodyText"/>
        <w:rPr>
          <w:lang w:val="en-GB"/>
        </w:rPr>
        <w:sectPr w:rsidR="004B2A5E" w:rsidSect="004C6201">
          <w:type w:val="continuous"/>
          <w:pgSz w:w="12240" w:h="15840" w:code="1"/>
          <w:pgMar w:top="1276" w:right="1276" w:bottom="1985" w:left="1276" w:header="720" w:footer="720" w:gutter="0"/>
          <w:cols w:space="397"/>
          <w:docGrid w:linePitch="360"/>
        </w:sectPr>
      </w:pPr>
    </w:p>
    <w:p w14:paraId="48E5AC21" w14:textId="354E706C" w:rsidR="00875969" w:rsidRPr="00D6692D" w:rsidRDefault="00875969" w:rsidP="00DA2046">
      <w:pPr>
        <w:pStyle w:val="Heading2"/>
      </w:pPr>
      <w:bookmarkStart w:id="12" w:name="_Toc210730308"/>
      <w:r w:rsidRPr="00D6692D">
        <w:t xml:space="preserve">Project objectives and </w:t>
      </w:r>
      <w:r w:rsidR="00F76A5E" w:rsidRPr="00D6692D">
        <w:t>outcomes</w:t>
      </w:r>
      <w:r w:rsidRPr="00D6692D">
        <w:t>/results</w:t>
      </w:r>
      <w:bookmarkEnd w:id="12"/>
    </w:p>
    <w:p w14:paraId="2CC5756B" w14:textId="7009A7BF" w:rsidR="000779F7" w:rsidRPr="00D6692D" w:rsidRDefault="0066344F" w:rsidP="000779F7">
      <w:pPr>
        <w:pStyle w:val="Heading3"/>
        <w:rPr>
          <w:lang w:eastAsia="en-US"/>
        </w:rPr>
      </w:pPr>
      <w:r w:rsidRPr="00D6692D">
        <w:rPr>
          <w:lang w:eastAsia="en-US"/>
        </w:rPr>
        <w:t>Project objectives</w:t>
      </w:r>
    </w:p>
    <w:p w14:paraId="0A4DE945" w14:textId="60B622B4" w:rsidR="004971C4" w:rsidRDefault="004971C4" w:rsidP="00DA2046">
      <w:pPr>
        <w:pStyle w:val="BodyText"/>
      </w:pPr>
      <w:r w:rsidRPr="00E42280">
        <w:t xml:space="preserve">The primary objective of the INFF project was to </w:t>
      </w:r>
      <w:r w:rsidR="004808BE" w:rsidRPr="00E42280">
        <w:rPr>
          <w:lang w:val="en-GB"/>
        </w:rPr>
        <w:t>strengthen the capacities</w:t>
      </w:r>
      <w:r w:rsidR="00CB1A77" w:rsidRPr="00E42280">
        <w:rPr>
          <w:lang w:val="en-GB"/>
        </w:rPr>
        <w:t xml:space="preserve"> of</w:t>
      </w:r>
      <w:r w:rsidR="004808BE" w:rsidRPr="00E42280">
        <w:rPr>
          <w:lang w:val="en-GB"/>
        </w:rPr>
        <w:t xml:space="preserve"> </w:t>
      </w:r>
      <w:r w:rsidR="001166DD" w:rsidRPr="00E42280">
        <w:t xml:space="preserve">10 </w:t>
      </w:r>
      <w:r w:rsidR="00B76246" w:rsidRPr="00E42280">
        <w:t xml:space="preserve">States/ </w:t>
      </w:r>
      <w:r w:rsidR="001166DD" w:rsidRPr="00E42280">
        <w:t xml:space="preserve">countries across five regions </w:t>
      </w:r>
      <w:r w:rsidR="00CA56D2" w:rsidRPr="00E42280">
        <w:rPr>
          <w:lang w:val="en-GB"/>
        </w:rPr>
        <w:t>‘to mobilise and align financing with national sustainable development priorities.’</w:t>
      </w:r>
      <w:r w:rsidR="00CA56D2" w:rsidRPr="00E42280">
        <w:rPr>
          <w:rStyle w:val="FootnoteReference"/>
          <w:lang w:val="en-GB"/>
        </w:rPr>
        <w:t xml:space="preserve"> </w:t>
      </w:r>
      <w:r w:rsidR="00CA56D2" w:rsidRPr="00E42280">
        <w:rPr>
          <w:rStyle w:val="FootnoteReference"/>
          <w:lang w:val="en-GB"/>
        </w:rPr>
        <w:footnoteReference w:id="27"/>
      </w:r>
      <w:r w:rsidR="00E2649B" w:rsidRPr="00E42280">
        <w:rPr>
          <w:lang w:val="en-GB"/>
        </w:rPr>
        <w:t xml:space="preserve"> </w:t>
      </w:r>
      <w:r w:rsidR="007C21FD" w:rsidRPr="00E42280">
        <w:rPr>
          <w:lang w:val="en-GB"/>
        </w:rPr>
        <w:t>There was a contextual focus</w:t>
      </w:r>
      <w:r w:rsidR="00977A28" w:rsidRPr="00E42280">
        <w:rPr>
          <w:lang w:val="en-GB"/>
        </w:rPr>
        <w:t xml:space="preserve"> on</w:t>
      </w:r>
      <w:r w:rsidR="007C21FD" w:rsidRPr="00E42280">
        <w:rPr>
          <w:lang w:val="en-GB"/>
        </w:rPr>
        <w:t xml:space="preserve"> </w:t>
      </w:r>
      <w:r w:rsidR="00977A28" w:rsidRPr="00E42280">
        <w:rPr>
          <w:lang w:val="en-GB"/>
        </w:rPr>
        <w:t xml:space="preserve">the impact of COVID-19 ‘on SDG-related financing needs’ and the availability of </w:t>
      </w:r>
      <w:r w:rsidR="00977A28" w:rsidRPr="00E42280">
        <w:rPr>
          <w:lang w:val="en-GB"/>
        </w:rPr>
        <w:t>public and private financing</w:t>
      </w:r>
      <w:r w:rsidR="00977A28">
        <w:rPr>
          <w:lang w:val="en-GB"/>
        </w:rPr>
        <w:t xml:space="preserve"> to address related expenditure and investment.</w:t>
      </w:r>
      <w:r w:rsidR="00977A28">
        <w:rPr>
          <w:rStyle w:val="FootnoteReference"/>
          <w:lang w:val="en-GB"/>
        </w:rPr>
        <w:footnoteReference w:id="28"/>
      </w:r>
    </w:p>
    <w:p w14:paraId="270D2718" w14:textId="3365DFDD" w:rsidR="00B90439" w:rsidRDefault="002565C8" w:rsidP="00DA2046">
      <w:pPr>
        <w:pStyle w:val="BodyText"/>
        <w:rPr>
          <w:lang w:val="en-GB"/>
        </w:rPr>
      </w:pPr>
      <w:r>
        <w:t>As i</w:t>
      </w:r>
      <w:r w:rsidR="005845B0">
        <w:t xml:space="preserve">ts secondary objective, the INFF project </w:t>
      </w:r>
      <w:r w:rsidR="00E73EEA">
        <w:rPr>
          <w:lang w:val="en-GB"/>
        </w:rPr>
        <w:t xml:space="preserve">was used to ‘foster regional and global </w:t>
      </w:r>
      <w:r w:rsidR="006321A6">
        <w:rPr>
          <w:lang w:val="en-GB"/>
        </w:rPr>
        <w:t>knowledge-exchange</w:t>
      </w:r>
      <w:r w:rsidR="00E73EEA">
        <w:rPr>
          <w:lang w:val="en-GB"/>
        </w:rPr>
        <w:t xml:space="preserve"> … </w:t>
      </w:r>
      <w:r w:rsidR="00B90439" w:rsidRPr="00846A98">
        <w:rPr>
          <w:lang w:val="en-GB"/>
        </w:rPr>
        <w:t>to better link global policy processes to national and regional implementation</w:t>
      </w:r>
      <w:r w:rsidR="00B90439">
        <w:rPr>
          <w:lang w:val="en-GB"/>
        </w:rPr>
        <w:t>.’</w:t>
      </w:r>
      <w:r w:rsidR="00326F09" w:rsidRPr="00326F09">
        <w:rPr>
          <w:rStyle w:val="FootnoteReference"/>
          <w:lang w:val="en-GB"/>
        </w:rPr>
        <w:t xml:space="preserve"> </w:t>
      </w:r>
      <w:r w:rsidR="00326F09">
        <w:rPr>
          <w:rStyle w:val="FootnoteReference"/>
          <w:lang w:val="en-GB"/>
        </w:rPr>
        <w:footnoteReference w:id="29"/>
      </w:r>
      <w:r w:rsidR="00326F09">
        <w:rPr>
          <w:lang w:val="en-GB"/>
        </w:rPr>
        <w:t xml:space="preserve"> </w:t>
      </w:r>
      <w:r w:rsidR="002743D7">
        <w:rPr>
          <w:lang w:val="en-GB"/>
        </w:rPr>
        <w:t>The</w:t>
      </w:r>
      <w:r w:rsidR="00CF6D63">
        <w:rPr>
          <w:lang w:val="en-GB"/>
        </w:rPr>
        <w:t xml:space="preserve">re was a </w:t>
      </w:r>
      <w:r w:rsidR="00653204">
        <w:rPr>
          <w:lang w:val="en-GB"/>
        </w:rPr>
        <w:t xml:space="preserve">focus on facilitating </w:t>
      </w:r>
      <w:r w:rsidR="006321A6">
        <w:rPr>
          <w:lang w:val="en-GB"/>
        </w:rPr>
        <w:t>peer-learning</w:t>
      </w:r>
      <w:r w:rsidR="003246D2">
        <w:rPr>
          <w:lang w:val="en-GB"/>
        </w:rPr>
        <w:t xml:space="preserve"> at the regional level</w:t>
      </w:r>
      <w:r w:rsidR="009152B1">
        <w:rPr>
          <w:lang w:val="en-GB"/>
        </w:rPr>
        <w:t xml:space="preserve"> and </w:t>
      </w:r>
      <w:r w:rsidR="003246D2">
        <w:rPr>
          <w:lang w:val="en-GB"/>
        </w:rPr>
        <w:t xml:space="preserve"> knowledge transfer at the global level</w:t>
      </w:r>
      <w:r w:rsidR="000F5E1D">
        <w:rPr>
          <w:lang w:val="en-GB"/>
        </w:rPr>
        <w:t>,</w:t>
      </w:r>
      <w:r w:rsidR="003246D2" w:rsidRPr="003246D2">
        <w:rPr>
          <w:rStyle w:val="FootnoteReference"/>
          <w:lang w:val="en-GB"/>
        </w:rPr>
        <w:t xml:space="preserve"> </w:t>
      </w:r>
      <w:r w:rsidR="003246D2">
        <w:rPr>
          <w:rStyle w:val="FootnoteReference"/>
          <w:lang w:val="en-GB"/>
        </w:rPr>
        <w:footnoteReference w:id="30"/>
      </w:r>
      <w:r w:rsidR="00A4579D">
        <w:rPr>
          <w:rStyle w:val="FootnoteReference"/>
          <w:lang w:val="en-GB"/>
        </w:rPr>
        <w:t xml:space="preserve"> </w:t>
      </w:r>
      <w:r w:rsidR="00A4579D">
        <w:rPr>
          <w:lang w:val="en-GB"/>
        </w:rPr>
        <w:t xml:space="preserve">creating a </w:t>
      </w:r>
      <w:r w:rsidR="00D752E4">
        <w:rPr>
          <w:lang w:val="en-GB"/>
        </w:rPr>
        <w:t>visible link to the primary project objective.</w:t>
      </w:r>
    </w:p>
    <w:p w14:paraId="52E8908D" w14:textId="05139F30" w:rsidR="0066344F" w:rsidRPr="00251898" w:rsidRDefault="0066344F" w:rsidP="0066344F">
      <w:pPr>
        <w:pStyle w:val="Heading3"/>
        <w:rPr>
          <w:lang w:eastAsia="en-US"/>
        </w:rPr>
      </w:pPr>
      <w:r w:rsidRPr="00251898">
        <w:rPr>
          <w:lang w:eastAsia="en-US"/>
        </w:rPr>
        <w:lastRenderedPageBreak/>
        <w:t>Project outcomes</w:t>
      </w:r>
      <w:r w:rsidR="00445A80" w:rsidRPr="00251898">
        <w:rPr>
          <w:lang w:eastAsia="en-US"/>
        </w:rPr>
        <w:t>/ results</w:t>
      </w:r>
    </w:p>
    <w:p w14:paraId="25447D59" w14:textId="0379981C" w:rsidR="00445A80" w:rsidRDefault="00214638" w:rsidP="00DA2046">
      <w:pPr>
        <w:pStyle w:val="BodyText"/>
        <w:rPr>
          <w:lang w:val="en-GB"/>
        </w:rPr>
      </w:pPr>
      <w:r>
        <w:rPr>
          <w:lang w:val="en-GB"/>
        </w:rPr>
        <w:t xml:space="preserve">To support the </w:t>
      </w:r>
      <w:r w:rsidR="004C516F">
        <w:rPr>
          <w:lang w:val="en-GB"/>
        </w:rPr>
        <w:t>a</w:t>
      </w:r>
      <w:r w:rsidR="002A644C">
        <w:rPr>
          <w:lang w:val="en-GB"/>
        </w:rPr>
        <w:t>chievement of th</w:t>
      </w:r>
      <w:r w:rsidR="007F79D3">
        <w:rPr>
          <w:lang w:val="en-GB"/>
        </w:rPr>
        <w:t xml:space="preserve">e </w:t>
      </w:r>
      <w:r w:rsidR="00D752E4">
        <w:rPr>
          <w:lang w:val="en-GB"/>
        </w:rPr>
        <w:t>p</w:t>
      </w:r>
      <w:r w:rsidR="00E964C3">
        <w:rPr>
          <w:lang w:val="en-GB"/>
        </w:rPr>
        <w:t xml:space="preserve">roject </w:t>
      </w:r>
      <w:r w:rsidR="00AD3248">
        <w:rPr>
          <w:lang w:val="en-GB"/>
        </w:rPr>
        <w:t>o</w:t>
      </w:r>
      <w:r w:rsidR="007F79D3">
        <w:rPr>
          <w:lang w:val="en-GB"/>
        </w:rPr>
        <w:t>bjective</w:t>
      </w:r>
      <w:r w:rsidR="00A26233">
        <w:rPr>
          <w:lang w:val="en-GB"/>
        </w:rPr>
        <w:t>s</w:t>
      </w:r>
      <w:r w:rsidR="007F79D3">
        <w:rPr>
          <w:lang w:val="en-GB"/>
        </w:rPr>
        <w:t xml:space="preserve">, </w:t>
      </w:r>
      <w:r w:rsidR="00AE5949">
        <w:rPr>
          <w:lang w:val="en-GB"/>
        </w:rPr>
        <w:t xml:space="preserve">the theory of change for the INFF </w:t>
      </w:r>
      <w:r w:rsidR="005754FA">
        <w:rPr>
          <w:lang w:val="en-GB"/>
        </w:rPr>
        <w:t>project established two expected outcomes</w:t>
      </w:r>
      <w:r w:rsidR="00AD3248">
        <w:rPr>
          <w:lang w:val="en-GB"/>
        </w:rPr>
        <w:t>.</w:t>
      </w:r>
    </w:p>
    <w:p w14:paraId="6BD76963" w14:textId="70720496" w:rsidR="00445A80" w:rsidRDefault="00776CC5" w:rsidP="00776CC5">
      <w:pPr>
        <w:pStyle w:val="Heading4"/>
      </w:pPr>
      <w:r>
        <w:t>Outcome 1</w:t>
      </w:r>
      <w:r w:rsidR="00BC30A0">
        <w:t xml:space="preserve"> Strengthened national capacity of target countries in developing financing strategies that align with their national development plans and </w:t>
      </w:r>
      <w:r w:rsidR="00F55554">
        <w:t>mitigate the impact of COVID-19</w:t>
      </w:r>
    </w:p>
    <w:p w14:paraId="7FBF2074" w14:textId="59EE0851" w:rsidR="00847BDE" w:rsidRDefault="009C3DBA" w:rsidP="001661CB">
      <w:pPr>
        <w:pStyle w:val="BodyText"/>
        <w:rPr>
          <w:lang w:val="en-GB"/>
        </w:rPr>
      </w:pPr>
      <w:r>
        <w:rPr>
          <w:lang w:val="en-GB"/>
        </w:rPr>
        <w:t>There</w:t>
      </w:r>
      <w:r w:rsidR="001661CB">
        <w:rPr>
          <w:lang w:val="en-GB"/>
        </w:rPr>
        <w:t xml:space="preserve"> was an expectation</w:t>
      </w:r>
      <w:r w:rsidR="005D4826">
        <w:rPr>
          <w:lang w:val="en-GB"/>
        </w:rPr>
        <w:t xml:space="preserve"> that the target/project countries would develop</w:t>
      </w:r>
      <w:r w:rsidR="001661CB">
        <w:rPr>
          <w:lang w:val="en-GB"/>
        </w:rPr>
        <w:t xml:space="preserve"> strengthened national capacities </w:t>
      </w:r>
      <w:r w:rsidR="005D4826">
        <w:rPr>
          <w:lang w:val="en-GB"/>
        </w:rPr>
        <w:t>in development financing</w:t>
      </w:r>
      <w:r w:rsidR="00636A72">
        <w:rPr>
          <w:lang w:val="en-GB"/>
        </w:rPr>
        <w:t xml:space="preserve">, </w:t>
      </w:r>
      <w:r w:rsidR="00E61F45">
        <w:rPr>
          <w:lang w:val="en-GB"/>
        </w:rPr>
        <w:t xml:space="preserve">to </w:t>
      </w:r>
      <w:r w:rsidR="008C2D70">
        <w:rPr>
          <w:lang w:val="en-GB"/>
        </w:rPr>
        <w:t xml:space="preserve">ensure alignment between </w:t>
      </w:r>
      <w:r w:rsidR="00AD50B5">
        <w:rPr>
          <w:lang w:val="en-GB"/>
        </w:rPr>
        <w:t>financi</w:t>
      </w:r>
      <w:r w:rsidR="00D5264D">
        <w:rPr>
          <w:lang w:val="en-GB"/>
        </w:rPr>
        <w:t xml:space="preserve">al </w:t>
      </w:r>
      <w:r w:rsidR="00DE5A28">
        <w:rPr>
          <w:lang w:val="en-GB"/>
        </w:rPr>
        <w:t>flows</w:t>
      </w:r>
      <w:r w:rsidR="00AD50B5">
        <w:rPr>
          <w:lang w:val="en-GB"/>
        </w:rPr>
        <w:t xml:space="preserve"> and national strategies</w:t>
      </w:r>
      <w:r w:rsidR="00F21E3B">
        <w:rPr>
          <w:lang w:val="en-GB"/>
        </w:rPr>
        <w:t xml:space="preserve">. </w:t>
      </w:r>
      <w:r w:rsidR="00E61F45">
        <w:rPr>
          <w:lang w:val="en-GB"/>
        </w:rPr>
        <w:t xml:space="preserve">It was further anticipated that </w:t>
      </w:r>
      <w:r w:rsidR="00FB438C">
        <w:rPr>
          <w:lang w:val="en-GB"/>
        </w:rPr>
        <w:t xml:space="preserve">built </w:t>
      </w:r>
      <w:r w:rsidR="000A4384">
        <w:rPr>
          <w:lang w:val="en-GB"/>
        </w:rPr>
        <w:t>country</w:t>
      </w:r>
      <w:r w:rsidR="00FB438C">
        <w:rPr>
          <w:lang w:val="en-GB"/>
        </w:rPr>
        <w:t xml:space="preserve"> capacities in development financing would be used </w:t>
      </w:r>
      <w:r w:rsidR="00F21E3B">
        <w:rPr>
          <w:lang w:val="en-GB"/>
        </w:rPr>
        <w:t xml:space="preserve">to </w:t>
      </w:r>
      <w:r w:rsidR="001661CB">
        <w:rPr>
          <w:lang w:val="en-GB"/>
        </w:rPr>
        <w:t>mitigate the impact of the COVID-19 pandemic.</w:t>
      </w:r>
      <w:r w:rsidR="001661CB" w:rsidRPr="00462C13">
        <w:rPr>
          <w:rStyle w:val="FootnoteReference"/>
          <w:lang w:val="en-GB"/>
        </w:rPr>
        <w:t xml:space="preserve"> </w:t>
      </w:r>
      <w:r w:rsidR="001661CB">
        <w:rPr>
          <w:rStyle w:val="FootnoteReference"/>
          <w:lang w:val="en-GB"/>
        </w:rPr>
        <w:footnoteReference w:id="31"/>
      </w:r>
      <w:r w:rsidR="001661CB">
        <w:rPr>
          <w:lang w:val="en-GB"/>
        </w:rPr>
        <w:t xml:space="preserve"> </w:t>
      </w:r>
    </w:p>
    <w:p w14:paraId="5C497A77" w14:textId="028CB8C8" w:rsidR="003652CE" w:rsidRDefault="001661CB" w:rsidP="001661CB">
      <w:pPr>
        <w:pStyle w:val="BodyText"/>
        <w:rPr>
          <w:lang w:val="en-GB"/>
        </w:rPr>
      </w:pPr>
      <w:r>
        <w:rPr>
          <w:lang w:val="en-GB"/>
        </w:rPr>
        <w:t xml:space="preserve">The measure of achievement for Outcome 1 </w:t>
      </w:r>
      <w:r w:rsidR="001B6CC1">
        <w:rPr>
          <w:lang w:val="en-GB"/>
        </w:rPr>
        <w:t xml:space="preserve">comprised </w:t>
      </w:r>
      <w:r>
        <w:rPr>
          <w:lang w:val="en-GB"/>
        </w:rPr>
        <w:t>evidence of</w:t>
      </w:r>
      <w:r w:rsidR="003652CE">
        <w:rPr>
          <w:lang w:val="en-GB"/>
        </w:rPr>
        <w:t>:</w:t>
      </w:r>
    </w:p>
    <w:p w14:paraId="44A1DE30" w14:textId="77777777" w:rsidR="003652CE" w:rsidRDefault="003652CE" w:rsidP="003B672F">
      <w:pPr>
        <w:pStyle w:val="BodyText"/>
        <w:numPr>
          <w:ilvl w:val="0"/>
          <w:numId w:val="84"/>
        </w:numPr>
        <w:rPr>
          <w:lang w:val="en-GB"/>
        </w:rPr>
      </w:pPr>
      <w:r>
        <w:rPr>
          <w:lang w:val="en-GB"/>
        </w:rPr>
        <w:t>T</w:t>
      </w:r>
      <w:r w:rsidR="00707060">
        <w:rPr>
          <w:lang w:val="en-GB"/>
        </w:rPr>
        <w:t xml:space="preserve">he development and application of </w:t>
      </w:r>
      <w:r w:rsidR="00B76246">
        <w:rPr>
          <w:lang w:val="en-GB"/>
        </w:rPr>
        <w:t xml:space="preserve">‘targeted global guidance material’ </w:t>
      </w:r>
      <w:r w:rsidR="00817308">
        <w:rPr>
          <w:lang w:val="en-GB"/>
        </w:rPr>
        <w:t>at the</w:t>
      </w:r>
      <w:r w:rsidR="00F75754">
        <w:rPr>
          <w:lang w:val="en-GB"/>
        </w:rPr>
        <w:t xml:space="preserve"> level of the target countries and regions</w:t>
      </w:r>
      <w:r>
        <w:rPr>
          <w:lang w:val="en-GB"/>
        </w:rPr>
        <w:t>;</w:t>
      </w:r>
    </w:p>
    <w:p w14:paraId="724009EF" w14:textId="31AC7712" w:rsidR="007B7DB4" w:rsidRDefault="009276DF" w:rsidP="003B672F">
      <w:pPr>
        <w:pStyle w:val="BodyText"/>
        <w:numPr>
          <w:ilvl w:val="0"/>
          <w:numId w:val="84"/>
        </w:numPr>
        <w:rPr>
          <w:lang w:val="en-GB"/>
        </w:rPr>
      </w:pPr>
      <w:r>
        <w:rPr>
          <w:lang w:val="en-GB"/>
        </w:rPr>
        <w:t>A</w:t>
      </w:r>
      <w:r w:rsidR="003D6F8B">
        <w:rPr>
          <w:lang w:val="en-GB"/>
        </w:rPr>
        <w:t xml:space="preserve"> sou</w:t>
      </w:r>
      <w:r>
        <w:rPr>
          <w:lang w:val="en-GB"/>
        </w:rPr>
        <w:t>n</w:t>
      </w:r>
      <w:r w:rsidR="003D6F8B">
        <w:rPr>
          <w:lang w:val="en-GB"/>
        </w:rPr>
        <w:t>d</w:t>
      </w:r>
      <w:r>
        <w:rPr>
          <w:lang w:val="en-GB"/>
        </w:rPr>
        <w:t xml:space="preserve"> understanding of the contextual value of INFFs</w:t>
      </w:r>
      <w:r w:rsidR="007B7DB4">
        <w:rPr>
          <w:lang w:val="en-GB"/>
        </w:rPr>
        <w:t xml:space="preserve"> by </w:t>
      </w:r>
      <w:r w:rsidR="00EB0F32">
        <w:rPr>
          <w:lang w:val="en-GB"/>
        </w:rPr>
        <w:t xml:space="preserve">75 percent of </w:t>
      </w:r>
      <w:r w:rsidR="00205CB6">
        <w:rPr>
          <w:lang w:val="en-GB"/>
        </w:rPr>
        <w:t xml:space="preserve">the participants of </w:t>
      </w:r>
      <w:r w:rsidR="00EB0F32">
        <w:rPr>
          <w:lang w:val="en-GB"/>
        </w:rPr>
        <w:t>national training</w:t>
      </w:r>
      <w:r w:rsidR="007B7DB4">
        <w:rPr>
          <w:lang w:val="en-GB"/>
        </w:rPr>
        <w:t>s; and</w:t>
      </w:r>
    </w:p>
    <w:p w14:paraId="08B0DBF6" w14:textId="09E54E22" w:rsidR="002D5E3B" w:rsidRDefault="00305370" w:rsidP="003B672F">
      <w:pPr>
        <w:pStyle w:val="BodyText"/>
        <w:numPr>
          <w:ilvl w:val="0"/>
          <w:numId w:val="84"/>
        </w:numPr>
        <w:rPr>
          <w:lang w:val="en-GB"/>
        </w:rPr>
      </w:pPr>
      <w:r>
        <w:rPr>
          <w:lang w:val="en-GB"/>
        </w:rPr>
        <w:t>T</w:t>
      </w:r>
      <w:r w:rsidR="00756E88">
        <w:rPr>
          <w:lang w:val="en-GB"/>
        </w:rPr>
        <w:t xml:space="preserve">he </w:t>
      </w:r>
      <w:r w:rsidR="002D5E3B">
        <w:rPr>
          <w:lang w:val="en-GB"/>
        </w:rPr>
        <w:t>development of an INFF methodology</w:t>
      </w:r>
      <w:r w:rsidR="00756E88">
        <w:rPr>
          <w:lang w:val="en-GB"/>
        </w:rPr>
        <w:t xml:space="preserve"> by each target country</w:t>
      </w:r>
      <w:r w:rsidR="002D5E3B">
        <w:rPr>
          <w:lang w:val="en-GB"/>
        </w:rPr>
        <w:t>, followed by the commencement of implementation</w:t>
      </w:r>
    </w:p>
    <w:p w14:paraId="486D3B5B" w14:textId="0A03A876" w:rsidR="00B76246" w:rsidRDefault="002D5E3B" w:rsidP="002D5E3B">
      <w:pPr>
        <w:pStyle w:val="BodyText"/>
        <w:jc w:val="right"/>
        <w:rPr>
          <w:lang w:val="en-GB"/>
        </w:rPr>
      </w:pPr>
      <w:r w:rsidRPr="006F029A">
        <w:rPr>
          <w:i/>
          <w:iCs/>
          <w:lang w:val="en-GB"/>
        </w:rPr>
        <w:t>Source: Project theory of change/ Results framework</w:t>
      </w:r>
      <w:r>
        <w:rPr>
          <w:lang w:val="en-GB"/>
        </w:rPr>
        <w:t>.</w:t>
      </w:r>
      <w:r w:rsidR="00F75754">
        <w:rPr>
          <w:lang w:val="en-GB"/>
        </w:rPr>
        <w:t xml:space="preserve"> </w:t>
      </w:r>
    </w:p>
    <w:p w14:paraId="61E6DFC3" w14:textId="15A3B187" w:rsidR="001757BF" w:rsidRDefault="001757BF" w:rsidP="001757BF">
      <w:pPr>
        <w:pStyle w:val="Heading4"/>
      </w:pPr>
      <w:r>
        <w:t xml:space="preserve">Outcome 2 </w:t>
      </w:r>
      <w:r w:rsidR="00204201">
        <w:t xml:space="preserve">Increased </w:t>
      </w:r>
      <w:r w:rsidR="006321A6">
        <w:t>knowledge-exchange</w:t>
      </w:r>
      <w:r w:rsidR="00204201">
        <w:t xml:space="preserve"> and </w:t>
      </w:r>
      <w:r w:rsidR="006321A6">
        <w:t>peer-learning</w:t>
      </w:r>
      <w:r w:rsidR="00204201">
        <w:t xml:space="preserve"> on </w:t>
      </w:r>
      <w:r w:rsidR="00681AAF">
        <w:t xml:space="preserve">applying INFF concepts among target countries and inform wider implementation efforts of INFFs in other countries </w:t>
      </w:r>
      <w:r w:rsidR="003D6F8B">
        <w:t>and UN support to this effect</w:t>
      </w:r>
    </w:p>
    <w:p w14:paraId="3E5F7A0D" w14:textId="43D9DE3C" w:rsidR="001B6CC1" w:rsidRDefault="0057151A" w:rsidP="00DA2046">
      <w:pPr>
        <w:pStyle w:val="BodyText"/>
        <w:rPr>
          <w:lang w:val="en-GB"/>
        </w:rPr>
      </w:pPr>
      <w:r>
        <w:rPr>
          <w:lang w:val="en-GB"/>
        </w:rPr>
        <w:t xml:space="preserve">Target countries were expected to gain </w:t>
      </w:r>
      <w:r w:rsidR="0018332D">
        <w:rPr>
          <w:lang w:val="en-GB"/>
        </w:rPr>
        <w:t xml:space="preserve">access to increased </w:t>
      </w:r>
      <w:r w:rsidR="005E7980">
        <w:rPr>
          <w:lang w:val="en-GB"/>
        </w:rPr>
        <w:t xml:space="preserve">opportunities for </w:t>
      </w:r>
      <w:r w:rsidR="006321A6">
        <w:rPr>
          <w:lang w:val="en-GB"/>
        </w:rPr>
        <w:t>knowledge-exchange</w:t>
      </w:r>
      <w:r w:rsidR="005E7980">
        <w:rPr>
          <w:lang w:val="en-GB"/>
        </w:rPr>
        <w:t xml:space="preserve"> and </w:t>
      </w:r>
      <w:r w:rsidR="006321A6">
        <w:rPr>
          <w:lang w:val="en-GB"/>
        </w:rPr>
        <w:t>peer-learning</w:t>
      </w:r>
      <w:r w:rsidR="005E7980">
        <w:rPr>
          <w:lang w:val="en-GB"/>
        </w:rPr>
        <w:t xml:space="preserve"> </w:t>
      </w:r>
      <w:r w:rsidR="003F598A">
        <w:rPr>
          <w:lang w:val="en-GB"/>
        </w:rPr>
        <w:t xml:space="preserve">from their project engagement. </w:t>
      </w:r>
      <w:r w:rsidR="00DF7430">
        <w:rPr>
          <w:lang w:val="en-GB"/>
        </w:rPr>
        <w:t>Project implemen</w:t>
      </w:r>
      <w:r w:rsidR="004313AF">
        <w:rPr>
          <w:lang w:val="en-GB"/>
        </w:rPr>
        <w:t xml:space="preserve">tation was also expected to </w:t>
      </w:r>
      <w:r w:rsidR="00371D70">
        <w:rPr>
          <w:lang w:val="en-GB"/>
        </w:rPr>
        <w:t>inform the wider implementation of INFFs in non-</w:t>
      </w:r>
      <w:r w:rsidR="00875D3A">
        <w:rPr>
          <w:lang w:val="en-GB"/>
        </w:rPr>
        <w:t>target countries</w:t>
      </w:r>
      <w:r w:rsidR="004313AF">
        <w:rPr>
          <w:lang w:val="en-GB"/>
        </w:rPr>
        <w:t xml:space="preserve">, with </w:t>
      </w:r>
      <w:r w:rsidR="004313AF">
        <w:rPr>
          <w:lang w:val="en-GB"/>
        </w:rPr>
        <w:t xml:space="preserve">support for </w:t>
      </w:r>
      <w:r w:rsidR="00875D3A">
        <w:rPr>
          <w:lang w:val="en-GB"/>
        </w:rPr>
        <w:t xml:space="preserve">this phase of implementation </w:t>
      </w:r>
      <w:r w:rsidR="004313AF">
        <w:rPr>
          <w:lang w:val="en-GB"/>
        </w:rPr>
        <w:t xml:space="preserve">by UN </w:t>
      </w:r>
      <w:r w:rsidR="00CC70A4">
        <w:rPr>
          <w:lang w:val="en-GB"/>
        </w:rPr>
        <w:t>En</w:t>
      </w:r>
      <w:r w:rsidR="001B6CC1">
        <w:rPr>
          <w:lang w:val="en-GB"/>
        </w:rPr>
        <w:t xml:space="preserve">tities. </w:t>
      </w:r>
    </w:p>
    <w:p w14:paraId="1FE43431" w14:textId="37A4A113" w:rsidR="001B6CC1" w:rsidRDefault="00EF6D2F" w:rsidP="00DA2046">
      <w:pPr>
        <w:pStyle w:val="BodyText"/>
        <w:rPr>
          <w:lang w:val="en-GB"/>
        </w:rPr>
      </w:pPr>
      <w:r>
        <w:rPr>
          <w:lang w:val="en-GB"/>
        </w:rPr>
        <w:t>A</w:t>
      </w:r>
      <w:r w:rsidR="00856F4E">
        <w:rPr>
          <w:lang w:val="en-GB"/>
        </w:rPr>
        <w:t xml:space="preserve">t the level of Outcome 2, </w:t>
      </w:r>
      <w:r w:rsidR="0067722B">
        <w:rPr>
          <w:lang w:val="en-GB"/>
        </w:rPr>
        <w:t xml:space="preserve">achievement was measured as </w:t>
      </w:r>
      <w:r w:rsidR="003639E6">
        <w:rPr>
          <w:lang w:val="en-GB"/>
        </w:rPr>
        <w:t xml:space="preserve">evidence </w:t>
      </w:r>
      <w:r>
        <w:rPr>
          <w:lang w:val="en-GB"/>
        </w:rPr>
        <w:t>that:</w:t>
      </w:r>
    </w:p>
    <w:p w14:paraId="2001EF59" w14:textId="3447E9A4" w:rsidR="00B22F11" w:rsidRDefault="00EF6D2F" w:rsidP="003B672F">
      <w:pPr>
        <w:pStyle w:val="BodyText"/>
        <w:numPr>
          <w:ilvl w:val="0"/>
          <w:numId w:val="85"/>
        </w:numPr>
        <w:rPr>
          <w:lang w:val="en-GB"/>
        </w:rPr>
      </w:pPr>
      <w:r>
        <w:rPr>
          <w:lang w:val="en-GB"/>
        </w:rPr>
        <w:t>The</w:t>
      </w:r>
      <w:r w:rsidR="00B52EFF">
        <w:rPr>
          <w:lang w:val="en-GB"/>
        </w:rPr>
        <w:t xml:space="preserve"> exchange with peer countries </w:t>
      </w:r>
      <w:r w:rsidR="005D6028">
        <w:rPr>
          <w:lang w:val="en-GB"/>
        </w:rPr>
        <w:t>generate</w:t>
      </w:r>
      <w:r w:rsidR="003639E6">
        <w:rPr>
          <w:lang w:val="en-GB"/>
        </w:rPr>
        <w:t>d</w:t>
      </w:r>
      <w:r w:rsidR="005D6028">
        <w:rPr>
          <w:lang w:val="en-GB"/>
        </w:rPr>
        <w:t xml:space="preserve"> </w:t>
      </w:r>
      <w:r w:rsidR="00DB7520">
        <w:rPr>
          <w:lang w:val="en-GB"/>
        </w:rPr>
        <w:t>positive end</w:t>
      </w:r>
      <w:r w:rsidR="001D499D">
        <w:rPr>
          <w:lang w:val="en-GB"/>
        </w:rPr>
        <w:t xml:space="preserve">-of-workshop </w:t>
      </w:r>
      <w:r w:rsidR="00DB7520">
        <w:rPr>
          <w:lang w:val="en-GB"/>
        </w:rPr>
        <w:t xml:space="preserve">survey </w:t>
      </w:r>
      <w:r w:rsidR="000F1341">
        <w:rPr>
          <w:lang w:val="en-GB"/>
        </w:rPr>
        <w:t>re</w:t>
      </w:r>
      <w:r w:rsidR="00B22F11">
        <w:rPr>
          <w:lang w:val="en-GB"/>
        </w:rPr>
        <w:t>sponse</w:t>
      </w:r>
      <w:r w:rsidR="006B267A">
        <w:rPr>
          <w:lang w:val="en-GB"/>
        </w:rPr>
        <w:t>s</w:t>
      </w:r>
      <w:r w:rsidR="00B22F11">
        <w:rPr>
          <w:lang w:val="en-GB"/>
        </w:rPr>
        <w:t xml:space="preserve"> from 75 percent of the participants;</w:t>
      </w:r>
    </w:p>
    <w:p w14:paraId="3B711B86" w14:textId="105876F0" w:rsidR="00EF6D2F" w:rsidRDefault="00A951E9" w:rsidP="003B672F">
      <w:pPr>
        <w:pStyle w:val="BodyText"/>
        <w:numPr>
          <w:ilvl w:val="0"/>
          <w:numId w:val="85"/>
        </w:numPr>
        <w:rPr>
          <w:lang w:val="en-GB"/>
        </w:rPr>
      </w:pPr>
      <w:r>
        <w:rPr>
          <w:lang w:val="en-GB"/>
        </w:rPr>
        <w:t xml:space="preserve">Target countries </w:t>
      </w:r>
      <w:r w:rsidR="00872A42">
        <w:rPr>
          <w:lang w:val="en-GB"/>
        </w:rPr>
        <w:t>advance</w:t>
      </w:r>
      <w:r w:rsidR="003639E6">
        <w:rPr>
          <w:lang w:val="en-GB"/>
        </w:rPr>
        <w:t>d</w:t>
      </w:r>
      <w:r w:rsidR="00872A42">
        <w:rPr>
          <w:lang w:val="en-GB"/>
        </w:rPr>
        <w:t xml:space="preserve"> INFF implementation in at least one building block</w:t>
      </w:r>
      <w:r w:rsidR="00C81A23">
        <w:rPr>
          <w:lang w:val="en-GB"/>
        </w:rPr>
        <w:t>, based on lessons learned from the regional workshop;</w:t>
      </w:r>
    </w:p>
    <w:p w14:paraId="00AF9C50" w14:textId="583FB85E" w:rsidR="002E5D1E" w:rsidRPr="00345CDB" w:rsidRDefault="00B0178E" w:rsidP="003B672F">
      <w:pPr>
        <w:pStyle w:val="BodyText"/>
        <w:numPr>
          <w:ilvl w:val="0"/>
          <w:numId w:val="85"/>
        </w:numPr>
      </w:pPr>
      <w:r w:rsidRPr="00345CDB">
        <w:rPr>
          <w:lang w:val="en-GB"/>
        </w:rPr>
        <w:t xml:space="preserve">The global </w:t>
      </w:r>
      <w:r w:rsidR="006321A6">
        <w:rPr>
          <w:lang w:val="en-GB"/>
        </w:rPr>
        <w:t>knowledge-exchange</w:t>
      </w:r>
      <w:r w:rsidRPr="00345CDB">
        <w:rPr>
          <w:lang w:val="en-GB"/>
        </w:rPr>
        <w:t xml:space="preserve"> </w:t>
      </w:r>
      <w:r w:rsidR="00576B9A" w:rsidRPr="00345CDB">
        <w:rPr>
          <w:lang w:val="en-GB"/>
        </w:rPr>
        <w:t>benefit</w:t>
      </w:r>
      <w:r w:rsidR="003639E6">
        <w:rPr>
          <w:lang w:val="en-GB"/>
        </w:rPr>
        <w:t>ted</w:t>
      </w:r>
      <w:r w:rsidR="001725AB" w:rsidRPr="00345CDB">
        <w:rPr>
          <w:lang w:val="en-GB"/>
        </w:rPr>
        <w:t xml:space="preserve"> at least 75 percent of the participants, including </w:t>
      </w:r>
      <w:r w:rsidR="00345CDB" w:rsidRPr="00345CDB">
        <w:rPr>
          <w:lang w:val="en-GB"/>
        </w:rPr>
        <w:t>representatives from the target countries and other stakeholders</w:t>
      </w:r>
      <w:r w:rsidR="00345CDB">
        <w:rPr>
          <w:lang w:val="en-GB"/>
        </w:rPr>
        <w:t>; and</w:t>
      </w:r>
    </w:p>
    <w:p w14:paraId="35CB59A1" w14:textId="42E21B91" w:rsidR="00345CDB" w:rsidRDefault="0003211C" w:rsidP="003B672F">
      <w:pPr>
        <w:pStyle w:val="BodyText"/>
        <w:numPr>
          <w:ilvl w:val="0"/>
          <w:numId w:val="85"/>
        </w:numPr>
      </w:pPr>
      <w:r>
        <w:t>T</w:t>
      </w:r>
      <w:r w:rsidR="00F64AB1">
        <w:t>he number of countries that initiate</w:t>
      </w:r>
      <w:r w:rsidR="007049C0">
        <w:t>d</w:t>
      </w:r>
      <w:r w:rsidR="00F64AB1">
        <w:t xml:space="preserve"> the design and implementation of </w:t>
      </w:r>
      <w:r w:rsidR="00AF016A">
        <w:t>an INFF w</w:t>
      </w:r>
      <w:r w:rsidR="003639E6">
        <w:t>as</w:t>
      </w:r>
      <w:r w:rsidR="00AF016A">
        <w:t xml:space="preserve"> greater than the baselin</w:t>
      </w:r>
      <w:r w:rsidR="00E637A4">
        <w:t>e</w:t>
      </w:r>
      <w:r w:rsidR="00650A38">
        <w:t xml:space="preserve"> of </w:t>
      </w:r>
      <w:r w:rsidR="00AF016A">
        <w:t>10 target countries</w:t>
      </w:r>
      <w:r w:rsidR="00E637A4">
        <w:t xml:space="preserve"> and </w:t>
      </w:r>
      <w:r w:rsidR="00650A38">
        <w:t>include</w:t>
      </w:r>
      <w:r w:rsidR="00EF53C8">
        <w:t>d</w:t>
      </w:r>
      <w:r w:rsidR="00650A38">
        <w:t xml:space="preserve"> additional countries that </w:t>
      </w:r>
      <w:r w:rsidR="00355E7A">
        <w:t>receive support from the Joint SDG Fund</w:t>
      </w:r>
    </w:p>
    <w:p w14:paraId="4CA74DCA" w14:textId="77777777" w:rsidR="00355E7A" w:rsidRDefault="00355E7A" w:rsidP="00355E7A">
      <w:pPr>
        <w:pStyle w:val="BodyText"/>
        <w:jc w:val="right"/>
        <w:rPr>
          <w:lang w:val="en-GB"/>
        </w:rPr>
      </w:pPr>
      <w:r w:rsidRPr="006F029A">
        <w:rPr>
          <w:i/>
          <w:iCs/>
          <w:lang w:val="en-GB"/>
        </w:rPr>
        <w:t>Source: Project theory of change/ Results framework</w:t>
      </w:r>
      <w:r>
        <w:rPr>
          <w:lang w:val="en-GB"/>
        </w:rPr>
        <w:t xml:space="preserve">. </w:t>
      </w:r>
    </w:p>
    <w:p w14:paraId="2C2613BD" w14:textId="5DE56AA1" w:rsidR="00875969" w:rsidRPr="00E321F4" w:rsidRDefault="00875969" w:rsidP="00DA2046">
      <w:pPr>
        <w:pStyle w:val="Heading2"/>
      </w:pPr>
      <w:bookmarkStart w:id="13" w:name="_Toc210730309"/>
      <w:r w:rsidRPr="00E321F4">
        <w:t>Project strategies and key activities</w:t>
      </w:r>
      <w:r w:rsidR="00805EF6">
        <w:rPr>
          <w:rStyle w:val="FootnoteReference"/>
        </w:rPr>
        <w:footnoteReference w:id="32"/>
      </w:r>
      <w:bookmarkEnd w:id="13"/>
    </w:p>
    <w:p w14:paraId="38E35965" w14:textId="70D74686" w:rsidR="00691AEA" w:rsidRDefault="00652722" w:rsidP="002A0749">
      <w:pPr>
        <w:pStyle w:val="Reporttext"/>
        <w:spacing w:after="120" w:line="259" w:lineRule="auto"/>
        <w:rPr>
          <w:rFonts w:asciiTheme="minorHAnsi" w:hAnsiTheme="minorHAnsi"/>
          <w:sz w:val="20"/>
          <w:lang w:val="en-GB"/>
        </w:rPr>
      </w:pPr>
      <w:r>
        <w:rPr>
          <w:rFonts w:asciiTheme="minorHAnsi" w:hAnsiTheme="minorHAnsi"/>
          <w:sz w:val="20"/>
          <w:lang w:val="en-GB"/>
        </w:rPr>
        <w:t>Th</w:t>
      </w:r>
      <w:r w:rsidR="00423201">
        <w:rPr>
          <w:rFonts w:asciiTheme="minorHAnsi" w:hAnsiTheme="minorHAnsi"/>
          <w:sz w:val="20"/>
          <w:lang w:val="en-GB"/>
        </w:rPr>
        <w:t>e main project strategy</w:t>
      </w:r>
      <w:r>
        <w:rPr>
          <w:rFonts w:asciiTheme="minorHAnsi" w:hAnsiTheme="minorHAnsi"/>
          <w:sz w:val="20"/>
          <w:lang w:val="en-GB"/>
        </w:rPr>
        <w:t xml:space="preserve"> involved structuring </w:t>
      </w:r>
      <w:r w:rsidR="00423201">
        <w:rPr>
          <w:rFonts w:asciiTheme="minorHAnsi" w:hAnsiTheme="minorHAnsi"/>
          <w:sz w:val="20"/>
          <w:lang w:val="en-GB"/>
        </w:rPr>
        <w:t xml:space="preserve">implementation activities </w:t>
      </w:r>
      <w:r w:rsidR="005D2B21">
        <w:rPr>
          <w:rFonts w:asciiTheme="minorHAnsi" w:hAnsiTheme="minorHAnsi"/>
          <w:sz w:val="20"/>
          <w:lang w:val="en-GB"/>
        </w:rPr>
        <w:t xml:space="preserve">around </w:t>
      </w:r>
      <w:r w:rsidR="009E2F9E">
        <w:rPr>
          <w:rFonts w:asciiTheme="minorHAnsi" w:hAnsiTheme="minorHAnsi"/>
          <w:sz w:val="20"/>
          <w:lang w:val="en-GB"/>
        </w:rPr>
        <w:t>five sequential steps</w:t>
      </w:r>
      <w:r>
        <w:rPr>
          <w:rFonts w:asciiTheme="minorHAnsi" w:hAnsiTheme="minorHAnsi"/>
          <w:sz w:val="20"/>
          <w:lang w:val="en-GB"/>
        </w:rPr>
        <w:t xml:space="preserve"> </w:t>
      </w:r>
      <w:r w:rsidR="00B67FF6">
        <w:rPr>
          <w:rFonts w:asciiTheme="minorHAnsi" w:hAnsiTheme="minorHAnsi"/>
          <w:sz w:val="20"/>
          <w:lang w:val="en-GB"/>
        </w:rPr>
        <w:t xml:space="preserve">to </w:t>
      </w:r>
      <w:r w:rsidR="00AB3029">
        <w:rPr>
          <w:rFonts w:asciiTheme="minorHAnsi" w:hAnsiTheme="minorHAnsi"/>
          <w:sz w:val="20"/>
          <w:lang w:val="en-GB"/>
        </w:rPr>
        <w:t xml:space="preserve">facilitate </w:t>
      </w:r>
      <w:r w:rsidR="00F11919">
        <w:rPr>
          <w:rFonts w:asciiTheme="minorHAnsi" w:hAnsiTheme="minorHAnsi"/>
          <w:sz w:val="20"/>
          <w:lang w:val="en-GB"/>
        </w:rPr>
        <w:t>a cluster of key project activities</w:t>
      </w:r>
      <w:r w:rsidR="00806221">
        <w:rPr>
          <w:rFonts w:asciiTheme="minorHAnsi" w:hAnsiTheme="minorHAnsi"/>
          <w:sz w:val="20"/>
          <w:lang w:val="en-GB"/>
        </w:rPr>
        <w:t xml:space="preserve">. </w:t>
      </w:r>
      <w:r w:rsidR="00E6575F">
        <w:rPr>
          <w:rFonts w:asciiTheme="minorHAnsi" w:hAnsiTheme="minorHAnsi"/>
          <w:sz w:val="20"/>
          <w:lang w:val="en-GB"/>
        </w:rPr>
        <w:t>A</w:t>
      </w:r>
      <w:r w:rsidR="000239DC">
        <w:rPr>
          <w:rFonts w:asciiTheme="minorHAnsi" w:hAnsiTheme="minorHAnsi"/>
          <w:sz w:val="20"/>
          <w:lang w:val="en-GB"/>
        </w:rPr>
        <w:t>n</w:t>
      </w:r>
      <w:r w:rsidR="00E6575F">
        <w:rPr>
          <w:rFonts w:asciiTheme="minorHAnsi" w:hAnsiTheme="minorHAnsi"/>
          <w:sz w:val="20"/>
          <w:lang w:val="en-GB"/>
        </w:rPr>
        <w:t xml:space="preserve"> overview of </w:t>
      </w:r>
      <w:r w:rsidR="000239DC">
        <w:rPr>
          <w:rFonts w:asciiTheme="minorHAnsi" w:hAnsiTheme="minorHAnsi"/>
          <w:sz w:val="20"/>
          <w:lang w:val="en-GB"/>
        </w:rPr>
        <w:t>the project implementation steps</w:t>
      </w:r>
      <w:r w:rsidR="001E6C21">
        <w:rPr>
          <w:rFonts w:asciiTheme="minorHAnsi" w:hAnsiTheme="minorHAnsi"/>
          <w:sz w:val="20"/>
          <w:lang w:val="en-GB"/>
        </w:rPr>
        <w:t>, including the activities that were conducted</w:t>
      </w:r>
      <w:r w:rsidR="00451AD4">
        <w:rPr>
          <w:rFonts w:asciiTheme="minorHAnsi" w:hAnsiTheme="minorHAnsi"/>
          <w:sz w:val="20"/>
          <w:lang w:val="en-GB"/>
        </w:rPr>
        <w:t xml:space="preserve"> under each step</w:t>
      </w:r>
      <w:r w:rsidR="001E6C21">
        <w:rPr>
          <w:rFonts w:asciiTheme="minorHAnsi" w:hAnsiTheme="minorHAnsi"/>
          <w:sz w:val="20"/>
          <w:lang w:val="en-GB"/>
        </w:rPr>
        <w:t xml:space="preserve">, </w:t>
      </w:r>
      <w:r w:rsidR="00822BF2">
        <w:rPr>
          <w:rFonts w:asciiTheme="minorHAnsi" w:hAnsiTheme="minorHAnsi"/>
          <w:sz w:val="20"/>
          <w:lang w:val="en-GB"/>
        </w:rPr>
        <w:t xml:space="preserve">is presented </w:t>
      </w:r>
      <w:r w:rsidR="00852C6A">
        <w:rPr>
          <w:rFonts w:asciiTheme="minorHAnsi" w:hAnsiTheme="minorHAnsi"/>
          <w:sz w:val="20"/>
          <w:lang w:val="en-GB"/>
        </w:rPr>
        <w:t>in the sub-Sections that follow.</w:t>
      </w:r>
    </w:p>
    <w:p w14:paraId="77BF7934" w14:textId="62608378" w:rsidR="006716D0" w:rsidRDefault="006716D0" w:rsidP="006716D0">
      <w:pPr>
        <w:pStyle w:val="Heading3"/>
      </w:pPr>
      <w:r>
        <w:t>Step 1: Preparation of targeted global guidance material and facilitation of a baseline assessment</w:t>
      </w:r>
    </w:p>
    <w:p w14:paraId="59648D4D" w14:textId="4A0740F9" w:rsidR="001F218B" w:rsidRDefault="005579E3" w:rsidP="001E7830">
      <w:pPr>
        <w:pStyle w:val="Reporttext"/>
        <w:spacing w:after="120" w:line="259" w:lineRule="auto"/>
        <w:rPr>
          <w:rFonts w:asciiTheme="minorHAnsi" w:hAnsiTheme="minorHAnsi"/>
          <w:sz w:val="20"/>
          <w:lang w:val="en-CA"/>
        </w:rPr>
      </w:pPr>
      <w:r w:rsidRPr="005455A8">
        <w:rPr>
          <w:rFonts w:asciiTheme="minorHAnsi" w:hAnsiTheme="minorHAnsi"/>
          <w:sz w:val="20"/>
          <w:lang w:val="en-GB"/>
        </w:rPr>
        <w:t>T</w:t>
      </w:r>
      <w:r w:rsidR="00531C18" w:rsidRPr="005455A8">
        <w:rPr>
          <w:rFonts w:asciiTheme="minorHAnsi" w:hAnsiTheme="minorHAnsi"/>
          <w:sz w:val="20"/>
          <w:lang w:val="en-GB"/>
        </w:rPr>
        <w:t>argeted</w:t>
      </w:r>
      <w:r w:rsidR="00531C18" w:rsidRPr="00C530F5">
        <w:rPr>
          <w:rFonts w:asciiTheme="minorHAnsi" w:hAnsiTheme="minorHAnsi"/>
          <w:sz w:val="20"/>
          <w:lang w:val="en-GB"/>
        </w:rPr>
        <w:t xml:space="preserve"> global guidance material</w:t>
      </w:r>
      <w:r w:rsidR="00F553DD">
        <w:rPr>
          <w:rFonts w:asciiTheme="minorHAnsi" w:hAnsiTheme="minorHAnsi"/>
          <w:sz w:val="20"/>
          <w:lang w:val="en-GB"/>
        </w:rPr>
        <w:t xml:space="preserve"> was developed</w:t>
      </w:r>
      <w:r w:rsidR="00D83F32">
        <w:rPr>
          <w:rFonts w:asciiTheme="minorHAnsi" w:hAnsiTheme="minorHAnsi"/>
          <w:sz w:val="20"/>
          <w:lang w:val="en-GB"/>
        </w:rPr>
        <w:t xml:space="preserve"> to</w:t>
      </w:r>
      <w:r w:rsidR="001E7830">
        <w:rPr>
          <w:rFonts w:asciiTheme="minorHAnsi" w:hAnsiTheme="minorHAnsi"/>
          <w:sz w:val="20"/>
          <w:lang w:val="en-GB"/>
        </w:rPr>
        <w:t xml:space="preserve"> build on the work of the </w:t>
      </w:r>
      <w:r w:rsidR="001E7830" w:rsidRPr="00421D64">
        <w:rPr>
          <w:rFonts w:asciiTheme="minorHAnsi" w:hAnsiTheme="minorHAnsi"/>
          <w:sz w:val="20"/>
          <w:lang w:val="en-CA"/>
        </w:rPr>
        <w:t>Inter-agency Task Force on Financing for Development</w:t>
      </w:r>
      <w:r w:rsidR="001E7830">
        <w:rPr>
          <w:rFonts w:asciiTheme="minorHAnsi" w:hAnsiTheme="minorHAnsi"/>
          <w:sz w:val="20"/>
          <w:lang w:val="en-CA"/>
        </w:rPr>
        <w:t xml:space="preserve"> (IATF)</w:t>
      </w:r>
      <w:r w:rsidR="00793EFE">
        <w:rPr>
          <w:rStyle w:val="FootnoteReference"/>
          <w:rFonts w:asciiTheme="minorHAnsi" w:hAnsiTheme="minorHAnsi"/>
          <w:sz w:val="20"/>
          <w:lang w:val="en-CA"/>
        </w:rPr>
        <w:footnoteReference w:id="33"/>
      </w:r>
      <w:r w:rsidR="001E7830">
        <w:rPr>
          <w:rFonts w:asciiTheme="minorHAnsi" w:hAnsiTheme="minorHAnsi"/>
          <w:sz w:val="20"/>
          <w:lang w:val="en-CA"/>
        </w:rPr>
        <w:t xml:space="preserve"> </w:t>
      </w:r>
      <w:r w:rsidR="00414493">
        <w:rPr>
          <w:rFonts w:asciiTheme="minorHAnsi" w:hAnsiTheme="minorHAnsi"/>
          <w:sz w:val="20"/>
          <w:lang w:val="en-CA"/>
        </w:rPr>
        <w:t xml:space="preserve">on </w:t>
      </w:r>
      <w:r w:rsidR="001E7830">
        <w:rPr>
          <w:rFonts w:asciiTheme="minorHAnsi" w:hAnsiTheme="minorHAnsi"/>
          <w:sz w:val="20"/>
          <w:lang w:val="en-CA"/>
        </w:rPr>
        <w:t>the development and implementation of INFFs.</w:t>
      </w:r>
      <w:r w:rsidR="005455A8">
        <w:rPr>
          <w:rStyle w:val="FootnoteReference"/>
          <w:rFonts w:asciiTheme="minorHAnsi" w:hAnsiTheme="minorHAnsi"/>
          <w:sz w:val="20"/>
          <w:lang w:val="en-CA"/>
        </w:rPr>
        <w:footnoteReference w:id="34"/>
      </w:r>
      <w:r w:rsidR="001E7830">
        <w:rPr>
          <w:rFonts w:asciiTheme="minorHAnsi" w:hAnsiTheme="minorHAnsi"/>
          <w:sz w:val="20"/>
          <w:lang w:val="en-CA"/>
        </w:rPr>
        <w:t xml:space="preserve"> There was a focus on standardised modules (i.e. assessment and diagnostics; and financing strategy),</w:t>
      </w:r>
      <w:r w:rsidR="00DE7D11">
        <w:rPr>
          <w:rFonts w:asciiTheme="minorHAnsi" w:hAnsiTheme="minorHAnsi"/>
          <w:sz w:val="20"/>
          <w:lang w:val="en-CA"/>
        </w:rPr>
        <w:t xml:space="preserve"> </w:t>
      </w:r>
      <w:r w:rsidR="00DE7D11">
        <w:rPr>
          <w:rFonts w:asciiTheme="minorHAnsi" w:hAnsiTheme="minorHAnsi"/>
          <w:sz w:val="20"/>
          <w:lang w:val="en-CA"/>
        </w:rPr>
        <w:lastRenderedPageBreak/>
        <w:t xml:space="preserve">to support training </w:t>
      </w:r>
      <w:r w:rsidR="006D1F08">
        <w:rPr>
          <w:rFonts w:asciiTheme="minorHAnsi" w:hAnsiTheme="minorHAnsi"/>
          <w:sz w:val="20"/>
          <w:lang w:val="en-CA"/>
        </w:rPr>
        <w:t>and knowledge-exchange,</w:t>
      </w:r>
      <w:r w:rsidR="001E7830">
        <w:rPr>
          <w:rFonts w:asciiTheme="minorHAnsi" w:hAnsiTheme="minorHAnsi"/>
          <w:sz w:val="20"/>
          <w:lang w:val="en-CA"/>
        </w:rPr>
        <w:t xml:space="preserve"> as well as two emergent themes from the pre-project </w:t>
      </w:r>
      <w:r w:rsidR="006D1F08">
        <w:rPr>
          <w:rFonts w:asciiTheme="minorHAnsi" w:hAnsiTheme="minorHAnsi"/>
          <w:sz w:val="20"/>
          <w:lang w:val="en-CA"/>
        </w:rPr>
        <w:t xml:space="preserve">country </w:t>
      </w:r>
      <w:r w:rsidR="001E7830">
        <w:rPr>
          <w:rFonts w:asciiTheme="minorHAnsi" w:hAnsiTheme="minorHAnsi"/>
          <w:sz w:val="20"/>
          <w:lang w:val="en-CA"/>
        </w:rPr>
        <w:t>analysis (i.e. mobilisation for productive investments, infrastructure and services; and policy alignment with the SDGs).</w:t>
      </w:r>
      <w:r w:rsidR="001E7830">
        <w:rPr>
          <w:rStyle w:val="FootnoteReference"/>
          <w:rFonts w:asciiTheme="minorHAnsi" w:hAnsiTheme="minorHAnsi"/>
          <w:sz w:val="20"/>
          <w:lang w:val="en-CA"/>
        </w:rPr>
        <w:footnoteReference w:id="35"/>
      </w:r>
      <w:r w:rsidR="001E7830">
        <w:rPr>
          <w:rFonts w:asciiTheme="minorHAnsi" w:hAnsiTheme="minorHAnsi"/>
          <w:sz w:val="20"/>
          <w:lang w:val="en-CA"/>
        </w:rPr>
        <w:t xml:space="preserve"> </w:t>
      </w:r>
    </w:p>
    <w:p w14:paraId="0447D958" w14:textId="64121A39" w:rsidR="001E7830" w:rsidRDefault="001F218B" w:rsidP="001E7830">
      <w:pPr>
        <w:pStyle w:val="Reporttext"/>
        <w:spacing w:after="120" w:line="259" w:lineRule="auto"/>
        <w:rPr>
          <w:rFonts w:asciiTheme="minorHAnsi" w:hAnsiTheme="minorHAnsi"/>
          <w:sz w:val="20"/>
          <w:lang w:val="en-CA"/>
        </w:rPr>
      </w:pPr>
      <w:r>
        <w:rPr>
          <w:rFonts w:asciiTheme="minorHAnsi" w:hAnsiTheme="minorHAnsi"/>
          <w:sz w:val="20"/>
          <w:lang w:val="en-CA"/>
        </w:rPr>
        <w:t xml:space="preserve">In accordance with </w:t>
      </w:r>
      <w:r w:rsidR="002F29A9">
        <w:rPr>
          <w:rFonts w:asciiTheme="minorHAnsi" w:hAnsiTheme="minorHAnsi"/>
          <w:sz w:val="20"/>
          <w:lang w:val="en-CA"/>
        </w:rPr>
        <w:t xml:space="preserve">the </w:t>
      </w:r>
      <w:r>
        <w:rPr>
          <w:rFonts w:asciiTheme="minorHAnsi" w:hAnsiTheme="minorHAnsi"/>
          <w:sz w:val="20"/>
          <w:lang w:val="en-CA"/>
        </w:rPr>
        <w:t>INFF meth</w:t>
      </w:r>
      <w:r w:rsidR="00C41F79">
        <w:rPr>
          <w:rFonts w:asciiTheme="minorHAnsi" w:hAnsiTheme="minorHAnsi"/>
          <w:sz w:val="20"/>
          <w:lang w:val="en-CA"/>
        </w:rPr>
        <w:t>odology, t</w:t>
      </w:r>
      <w:r w:rsidR="00A90638">
        <w:rPr>
          <w:rFonts w:asciiTheme="minorHAnsi" w:hAnsiTheme="minorHAnsi"/>
          <w:sz w:val="20"/>
          <w:lang w:val="en-CA"/>
        </w:rPr>
        <w:t>he guidance material was informed by three cross-cutting principles</w:t>
      </w:r>
      <w:r w:rsidR="00C41F79">
        <w:rPr>
          <w:rFonts w:asciiTheme="minorHAnsi" w:hAnsiTheme="minorHAnsi"/>
          <w:sz w:val="20"/>
          <w:lang w:val="en-CA"/>
        </w:rPr>
        <w:t xml:space="preserve"> (</w:t>
      </w:r>
      <w:r w:rsidR="00AE7405" w:rsidRPr="00D56575">
        <w:rPr>
          <w:rFonts w:asciiTheme="minorHAnsi" w:hAnsiTheme="minorHAnsi"/>
          <w:sz w:val="20"/>
          <w:lang w:val="en-GB"/>
        </w:rPr>
        <w:t>gender equality; risk; and the Leave No One Behind (LNOB) principle of the 2030 Agenda</w:t>
      </w:r>
      <w:r w:rsidR="007F00FF">
        <w:rPr>
          <w:rFonts w:asciiTheme="minorHAnsi" w:hAnsiTheme="minorHAnsi"/>
          <w:sz w:val="20"/>
          <w:lang w:val="en-GB"/>
        </w:rPr>
        <w:t xml:space="preserve">) to facilitate their mainstreaming during INFF </w:t>
      </w:r>
      <w:r w:rsidR="00B679EF">
        <w:rPr>
          <w:rFonts w:asciiTheme="minorHAnsi" w:hAnsiTheme="minorHAnsi"/>
          <w:sz w:val="20"/>
          <w:lang w:val="en-GB"/>
        </w:rPr>
        <w:t xml:space="preserve">development and </w:t>
      </w:r>
      <w:r w:rsidR="008A5EF4">
        <w:rPr>
          <w:rFonts w:asciiTheme="minorHAnsi" w:hAnsiTheme="minorHAnsi"/>
          <w:sz w:val="20"/>
          <w:lang w:val="en-GB"/>
        </w:rPr>
        <w:t xml:space="preserve">implementation. Directives </w:t>
      </w:r>
      <w:r w:rsidR="008B0A74">
        <w:rPr>
          <w:rFonts w:asciiTheme="minorHAnsi" w:hAnsiTheme="minorHAnsi"/>
          <w:sz w:val="20"/>
          <w:lang w:val="en-GB"/>
        </w:rPr>
        <w:t xml:space="preserve">for </w:t>
      </w:r>
      <w:r w:rsidR="00AE7405" w:rsidRPr="00D56575">
        <w:rPr>
          <w:rFonts w:asciiTheme="minorHAnsi" w:hAnsiTheme="minorHAnsi"/>
          <w:sz w:val="20"/>
          <w:lang w:val="en-GB"/>
        </w:rPr>
        <w:t>post-</w:t>
      </w:r>
      <w:r w:rsidR="008B0A74">
        <w:rPr>
          <w:rFonts w:asciiTheme="minorHAnsi" w:hAnsiTheme="minorHAnsi"/>
          <w:sz w:val="20"/>
          <w:lang w:val="en-GB"/>
        </w:rPr>
        <w:t xml:space="preserve">pandemic </w:t>
      </w:r>
      <w:r w:rsidR="00AE7405" w:rsidRPr="00D56575">
        <w:rPr>
          <w:rFonts w:asciiTheme="minorHAnsi" w:hAnsiTheme="minorHAnsi"/>
          <w:sz w:val="20"/>
          <w:lang w:val="en-GB"/>
        </w:rPr>
        <w:t>recovery</w:t>
      </w:r>
      <w:r w:rsidR="00317E68">
        <w:rPr>
          <w:rFonts w:asciiTheme="minorHAnsi" w:hAnsiTheme="minorHAnsi"/>
          <w:sz w:val="20"/>
          <w:lang w:val="en-GB"/>
        </w:rPr>
        <w:t xml:space="preserve"> were also incorporated into the global guidance material</w:t>
      </w:r>
      <w:r w:rsidR="00246F66">
        <w:rPr>
          <w:rFonts w:asciiTheme="minorHAnsi" w:hAnsiTheme="minorHAnsi"/>
          <w:sz w:val="20"/>
          <w:lang w:val="en-GB"/>
        </w:rPr>
        <w:t>,</w:t>
      </w:r>
      <w:r w:rsidR="00317E68">
        <w:rPr>
          <w:rFonts w:asciiTheme="minorHAnsi" w:hAnsiTheme="minorHAnsi"/>
          <w:sz w:val="20"/>
          <w:lang w:val="en-GB"/>
        </w:rPr>
        <w:t xml:space="preserve"> to </w:t>
      </w:r>
      <w:r w:rsidR="003479AC">
        <w:rPr>
          <w:rFonts w:asciiTheme="minorHAnsi" w:hAnsiTheme="minorHAnsi"/>
          <w:sz w:val="20"/>
          <w:lang w:val="en-GB"/>
        </w:rPr>
        <w:t xml:space="preserve">allow countries to address </w:t>
      </w:r>
      <w:r w:rsidR="00204C83">
        <w:rPr>
          <w:rFonts w:asciiTheme="minorHAnsi" w:hAnsiTheme="minorHAnsi"/>
          <w:sz w:val="20"/>
          <w:lang w:val="en-GB"/>
        </w:rPr>
        <w:t xml:space="preserve">the new challenges in development financing that </w:t>
      </w:r>
      <w:r w:rsidR="00663403">
        <w:rPr>
          <w:rFonts w:asciiTheme="minorHAnsi" w:hAnsiTheme="minorHAnsi"/>
          <w:sz w:val="20"/>
          <w:lang w:val="en-GB"/>
        </w:rPr>
        <w:t xml:space="preserve">had </w:t>
      </w:r>
      <w:r w:rsidR="00204C83">
        <w:rPr>
          <w:rFonts w:asciiTheme="minorHAnsi" w:hAnsiTheme="minorHAnsi"/>
          <w:sz w:val="20"/>
          <w:lang w:val="en-GB"/>
        </w:rPr>
        <w:t xml:space="preserve">emerged from the </w:t>
      </w:r>
      <w:r w:rsidR="00D07EBD">
        <w:rPr>
          <w:rFonts w:asciiTheme="minorHAnsi" w:hAnsiTheme="minorHAnsi"/>
          <w:sz w:val="20"/>
          <w:lang w:val="en-GB"/>
        </w:rPr>
        <w:t>pandemic.</w:t>
      </w:r>
    </w:p>
    <w:p w14:paraId="72B90F00" w14:textId="2584E3F6" w:rsidR="00511814" w:rsidRDefault="004334C6" w:rsidP="00511814">
      <w:pPr>
        <w:pStyle w:val="Reporttext"/>
        <w:spacing w:after="120" w:line="259" w:lineRule="auto"/>
        <w:rPr>
          <w:rFonts w:asciiTheme="minorHAnsi" w:hAnsiTheme="minorHAnsi"/>
          <w:sz w:val="20"/>
          <w:lang w:val="en-GB"/>
        </w:rPr>
      </w:pPr>
      <w:r>
        <w:rPr>
          <w:rFonts w:asciiTheme="minorHAnsi" w:hAnsiTheme="minorHAnsi"/>
          <w:sz w:val="20"/>
          <w:lang w:val="en-GB"/>
        </w:rPr>
        <w:t xml:space="preserve">The guidance material </w:t>
      </w:r>
      <w:r w:rsidR="00044FFC">
        <w:rPr>
          <w:rFonts w:asciiTheme="minorHAnsi" w:hAnsiTheme="minorHAnsi"/>
          <w:sz w:val="20"/>
          <w:lang w:val="en-GB"/>
        </w:rPr>
        <w:t xml:space="preserve">was developed to </w:t>
      </w:r>
      <w:r w:rsidR="00F17C12">
        <w:rPr>
          <w:rFonts w:asciiTheme="minorHAnsi" w:hAnsiTheme="minorHAnsi"/>
          <w:sz w:val="20"/>
          <w:lang w:val="en-GB"/>
        </w:rPr>
        <w:t xml:space="preserve">complement existing material at the </w:t>
      </w:r>
      <w:r w:rsidR="000B2957">
        <w:rPr>
          <w:rFonts w:asciiTheme="minorHAnsi" w:hAnsiTheme="minorHAnsi"/>
          <w:sz w:val="20"/>
          <w:lang w:val="en-GB"/>
        </w:rPr>
        <w:t>level of the executing entities a</w:t>
      </w:r>
      <w:r w:rsidR="00D52941">
        <w:rPr>
          <w:rFonts w:asciiTheme="minorHAnsi" w:hAnsiTheme="minorHAnsi"/>
          <w:sz w:val="20"/>
          <w:lang w:val="en-GB"/>
        </w:rPr>
        <w:t xml:space="preserve">nd </w:t>
      </w:r>
      <w:r w:rsidR="000B2957">
        <w:rPr>
          <w:rFonts w:asciiTheme="minorHAnsi" w:hAnsiTheme="minorHAnsi"/>
          <w:sz w:val="20"/>
          <w:lang w:val="en-GB"/>
        </w:rPr>
        <w:t xml:space="preserve">inform </w:t>
      </w:r>
      <w:r w:rsidR="0017413D">
        <w:rPr>
          <w:rFonts w:asciiTheme="minorHAnsi" w:hAnsiTheme="minorHAnsi"/>
          <w:sz w:val="20"/>
          <w:lang w:val="en-GB"/>
        </w:rPr>
        <w:t>inception workshops</w:t>
      </w:r>
      <w:r w:rsidR="002F29A9">
        <w:rPr>
          <w:rFonts w:asciiTheme="minorHAnsi" w:hAnsiTheme="minorHAnsi"/>
          <w:sz w:val="20"/>
          <w:lang w:val="en-GB"/>
        </w:rPr>
        <w:t xml:space="preserve"> </w:t>
      </w:r>
      <w:r w:rsidR="00511814">
        <w:rPr>
          <w:rFonts w:asciiTheme="minorHAnsi" w:hAnsiTheme="minorHAnsi"/>
          <w:sz w:val="20"/>
          <w:lang w:val="en-GB"/>
        </w:rPr>
        <w:t xml:space="preserve">to </w:t>
      </w:r>
      <w:r w:rsidR="00574990">
        <w:rPr>
          <w:rFonts w:asciiTheme="minorHAnsi" w:hAnsiTheme="minorHAnsi"/>
          <w:sz w:val="20"/>
          <w:lang w:val="en-GB"/>
        </w:rPr>
        <w:t>sensiti</w:t>
      </w:r>
      <w:r w:rsidR="0093254A">
        <w:rPr>
          <w:rFonts w:asciiTheme="minorHAnsi" w:hAnsiTheme="minorHAnsi"/>
          <w:sz w:val="20"/>
          <w:lang w:val="en-GB"/>
        </w:rPr>
        <w:t>s</w:t>
      </w:r>
      <w:r w:rsidR="00511814">
        <w:rPr>
          <w:rFonts w:asciiTheme="minorHAnsi" w:hAnsiTheme="minorHAnsi"/>
          <w:sz w:val="20"/>
          <w:lang w:val="en-GB"/>
        </w:rPr>
        <w:t>e</w:t>
      </w:r>
      <w:r w:rsidR="002F29A9">
        <w:rPr>
          <w:rFonts w:asciiTheme="minorHAnsi" w:hAnsiTheme="minorHAnsi"/>
          <w:sz w:val="20"/>
          <w:lang w:val="en-GB"/>
        </w:rPr>
        <w:t xml:space="preserve"> </w:t>
      </w:r>
      <w:r w:rsidR="0093254A">
        <w:rPr>
          <w:rFonts w:asciiTheme="minorHAnsi" w:hAnsiTheme="minorHAnsi"/>
          <w:sz w:val="20"/>
          <w:lang w:val="en-GB"/>
        </w:rPr>
        <w:t>target countries</w:t>
      </w:r>
      <w:r w:rsidR="002F29A9">
        <w:rPr>
          <w:rFonts w:asciiTheme="minorHAnsi" w:hAnsiTheme="minorHAnsi"/>
          <w:sz w:val="20"/>
          <w:lang w:val="en-GB"/>
        </w:rPr>
        <w:t xml:space="preserve"> on INFFs.</w:t>
      </w:r>
      <w:r w:rsidR="0093254A">
        <w:rPr>
          <w:rFonts w:asciiTheme="minorHAnsi" w:hAnsiTheme="minorHAnsi"/>
          <w:sz w:val="20"/>
          <w:lang w:val="en-GB"/>
        </w:rPr>
        <w:t xml:space="preserve"> </w:t>
      </w:r>
      <w:r w:rsidR="00511814">
        <w:rPr>
          <w:rFonts w:asciiTheme="minorHAnsi" w:hAnsiTheme="minorHAnsi"/>
          <w:sz w:val="20"/>
          <w:lang w:val="en-GB"/>
        </w:rPr>
        <w:t xml:space="preserve">A baseline study was </w:t>
      </w:r>
      <w:r w:rsidR="00963F7D">
        <w:rPr>
          <w:rFonts w:asciiTheme="minorHAnsi" w:hAnsiTheme="minorHAnsi"/>
          <w:sz w:val="20"/>
          <w:lang w:val="en-GB"/>
        </w:rPr>
        <w:t xml:space="preserve">also </w:t>
      </w:r>
      <w:r w:rsidR="00132F1C">
        <w:rPr>
          <w:rFonts w:asciiTheme="minorHAnsi" w:hAnsiTheme="minorHAnsi"/>
          <w:sz w:val="20"/>
          <w:lang w:val="en-GB"/>
        </w:rPr>
        <w:t>conducted</w:t>
      </w:r>
      <w:r w:rsidR="00511814">
        <w:rPr>
          <w:rFonts w:asciiTheme="minorHAnsi" w:hAnsiTheme="minorHAnsi"/>
          <w:sz w:val="20"/>
          <w:lang w:val="en-GB"/>
        </w:rPr>
        <w:t xml:space="preserve"> to establish the baseline measure</w:t>
      </w:r>
      <w:r w:rsidR="00132F1C">
        <w:rPr>
          <w:rFonts w:asciiTheme="minorHAnsi" w:hAnsiTheme="minorHAnsi"/>
          <w:sz w:val="20"/>
          <w:lang w:val="en-GB"/>
        </w:rPr>
        <w:t xml:space="preserve"> for </w:t>
      </w:r>
      <w:r w:rsidR="00511814">
        <w:rPr>
          <w:rFonts w:asciiTheme="minorHAnsi" w:hAnsiTheme="minorHAnsi"/>
          <w:sz w:val="20"/>
          <w:lang w:val="en-GB"/>
        </w:rPr>
        <w:t>the expected project outcomes.</w:t>
      </w:r>
      <w:r w:rsidR="00511814">
        <w:rPr>
          <w:rStyle w:val="FootnoteReference"/>
          <w:rFonts w:asciiTheme="minorHAnsi" w:hAnsiTheme="minorHAnsi"/>
          <w:sz w:val="20"/>
          <w:lang w:val="en-GB"/>
        </w:rPr>
        <w:footnoteReference w:id="36"/>
      </w:r>
      <w:r w:rsidR="00511814">
        <w:rPr>
          <w:rFonts w:asciiTheme="minorHAnsi" w:hAnsiTheme="minorHAnsi"/>
          <w:sz w:val="20"/>
          <w:lang w:val="en-GB"/>
        </w:rPr>
        <w:t xml:space="preserve"> The baseline report </w:t>
      </w:r>
      <w:r w:rsidR="00963F7D">
        <w:rPr>
          <w:rFonts w:asciiTheme="minorHAnsi" w:hAnsiTheme="minorHAnsi"/>
          <w:sz w:val="20"/>
          <w:lang w:val="en-GB"/>
        </w:rPr>
        <w:t>was</w:t>
      </w:r>
      <w:r w:rsidR="001D4A02">
        <w:rPr>
          <w:rFonts w:asciiTheme="minorHAnsi" w:hAnsiTheme="minorHAnsi"/>
          <w:sz w:val="20"/>
          <w:lang w:val="en-GB"/>
        </w:rPr>
        <w:t xml:space="preserve"> used to </w:t>
      </w:r>
      <w:r w:rsidR="00511814">
        <w:rPr>
          <w:rFonts w:asciiTheme="minorHAnsi" w:hAnsiTheme="minorHAnsi"/>
          <w:sz w:val="20"/>
          <w:lang w:val="en-GB"/>
        </w:rPr>
        <w:t>inform project implementation (including the application of project tools), as well as results monitoring and reporting.</w:t>
      </w:r>
    </w:p>
    <w:p w14:paraId="209BDCC7" w14:textId="71CFF388" w:rsidR="009041A9" w:rsidRDefault="009041A9" w:rsidP="009041A9">
      <w:pPr>
        <w:pStyle w:val="Heading3"/>
      </w:pPr>
      <w:r>
        <w:t>Step 2: Country-level diagnostic exercises</w:t>
      </w:r>
    </w:p>
    <w:p w14:paraId="055D57F7" w14:textId="2043E010" w:rsidR="00A50D4D" w:rsidRDefault="005D4F87" w:rsidP="002A0749">
      <w:pPr>
        <w:pStyle w:val="Reporttext"/>
        <w:spacing w:after="120" w:line="259" w:lineRule="auto"/>
        <w:rPr>
          <w:rFonts w:asciiTheme="minorHAnsi" w:hAnsiTheme="minorHAnsi"/>
          <w:sz w:val="20"/>
          <w:lang w:val="en-GB"/>
        </w:rPr>
      </w:pPr>
      <w:r>
        <w:rPr>
          <w:rFonts w:asciiTheme="minorHAnsi" w:hAnsiTheme="minorHAnsi"/>
          <w:sz w:val="20"/>
          <w:lang w:val="en-GB"/>
        </w:rPr>
        <w:t>C</w:t>
      </w:r>
      <w:r w:rsidR="00381EDD">
        <w:rPr>
          <w:rFonts w:asciiTheme="minorHAnsi" w:hAnsiTheme="minorHAnsi"/>
          <w:sz w:val="20"/>
          <w:lang w:val="en-GB"/>
        </w:rPr>
        <w:t xml:space="preserve">ountry-level </w:t>
      </w:r>
      <w:r w:rsidR="00B12552">
        <w:rPr>
          <w:rFonts w:asciiTheme="minorHAnsi" w:hAnsiTheme="minorHAnsi"/>
          <w:sz w:val="20"/>
          <w:lang w:val="en-GB"/>
        </w:rPr>
        <w:t>assessment</w:t>
      </w:r>
      <w:r w:rsidR="000A3215">
        <w:rPr>
          <w:rFonts w:asciiTheme="minorHAnsi" w:hAnsiTheme="minorHAnsi"/>
          <w:sz w:val="20"/>
          <w:lang w:val="en-GB"/>
        </w:rPr>
        <w:t>s</w:t>
      </w:r>
      <w:r w:rsidR="00B12552">
        <w:rPr>
          <w:rFonts w:asciiTheme="minorHAnsi" w:hAnsiTheme="minorHAnsi"/>
          <w:sz w:val="20"/>
          <w:lang w:val="en-GB"/>
        </w:rPr>
        <w:t xml:space="preserve">/ </w:t>
      </w:r>
      <w:r w:rsidR="00C22115">
        <w:rPr>
          <w:rFonts w:asciiTheme="minorHAnsi" w:hAnsiTheme="minorHAnsi"/>
          <w:sz w:val="20"/>
          <w:lang w:val="en-GB"/>
        </w:rPr>
        <w:t>diagnostic exercises</w:t>
      </w:r>
      <w:r w:rsidR="00B12552">
        <w:rPr>
          <w:rFonts w:asciiTheme="minorHAnsi" w:hAnsiTheme="minorHAnsi"/>
          <w:sz w:val="20"/>
          <w:lang w:val="en-GB"/>
        </w:rPr>
        <w:t xml:space="preserve"> were i</w:t>
      </w:r>
      <w:r w:rsidR="00B11DBA">
        <w:rPr>
          <w:rFonts w:asciiTheme="minorHAnsi" w:hAnsiTheme="minorHAnsi"/>
          <w:sz w:val="20"/>
          <w:lang w:val="en-GB"/>
        </w:rPr>
        <w:t>nformed by the pre-project country analyses</w:t>
      </w:r>
      <w:r w:rsidR="00C53246">
        <w:rPr>
          <w:rFonts w:asciiTheme="minorHAnsi" w:hAnsiTheme="minorHAnsi"/>
          <w:sz w:val="20"/>
          <w:lang w:val="en-GB"/>
        </w:rPr>
        <w:t xml:space="preserve"> that were used to select the </w:t>
      </w:r>
      <w:r w:rsidR="005C1A43">
        <w:rPr>
          <w:rFonts w:asciiTheme="minorHAnsi" w:hAnsiTheme="minorHAnsi"/>
          <w:sz w:val="20"/>
          <w:lang w:val="en-GB"/>
        </w:rPr>
        <w:t>target countries</w:t>
      </w:r>
      <w:r w:rsidR="00DF145C">
        <w:rPr>
          <w:rFonts w:asciiTheme="minorHAnsi" w:hAnsiTheme="minorHAnsi"/>
          <w:sz w:val="20"/>
          <w:lang w:val="en-GB"/>
        </w:rPr>
        <w:t xml:space="preserve">. The pre-project analyses </w:t>
      </w:r>
      <w:r w:rsidR="00D50B5F">
        <w:rPr>
          <w:rFonts w:asciiTheme="minorHAnsi" w:hAnsiTheme="minorHAnsi"/>
          <w:sz w:val="20"/>
          <w:lang w:val="en-GB"/>
        </w:rPr>
        <w:t xml:space="preserve">provided a </w:t>
      </w:r>
      <w:r w:rsidR="00DE42AF">
        <w:rPr>
          <w:rFonts w:asciiTheme="minorHAnsi" w:hAnsiTheme="minorHAnsi"/>
          <w:sz w:val="20"/>
          <w:lang w:val="en-GB"/>
        </w:rPr>
        <w:t xml:space="preserve">generalised </w:t>
      </w:r>
      <w:r w:rsidR="00D50B5F">
        <w:rPr>
          <w:rFonts w:asciiTheme="minorHAnsi" w:hAnsiTheme="minorHAnsi"/>
          <w:sz w:val="20"/>
          <w:lang w:val="en-GB"/>
        </w:rPr>
        <w:t xml:space="preserve">overview of the </w:t>
      </w:r>
      <w:r w:rsidR="00361268">
        <w:rPr>
          <w:rFonts w:asciiTheme="minorHAnsi" w:hAnsiTheme="minorHAnsi"/>
          <w:sz w:val="20"/>
          <w:lang w:val="en-GB"/>
        </w:rPr>
        <w:t>situation of development financing in each country</w:t>
      </w:r>
      <w:r w:rsidR="00CD7389">
        <w:rPr>
          <w:rFonts w:asciiTheme="minorHAnsi" w:hAnsiTheme="minorHAnsi"/>
          <w:sz w:val="20"/>
          <w:lang w:val="en-GB"/>
        </w:rPr>
        <w:t xml:space="preserve">, including the link </w:t>
      </w:r>
      <w:r w:rsidR="008C64F5">
        <w:rPr>
          <w:rFonts w:asciiTheme="minorHAnsi" w:hAnsiTheme="minorHAnsi"/>
          <w:sz w:val="20"/>
          <w:lang w:val="en-GB"/>
        </w:rPr>
        <w:t xml:space="preserve">between </w:t>
      </w:r>
      <w:r w:rsidR="00CD7389">
        <w:rPr>
          <w:rFonts w:asciiTheme="minorHAnsi" w:hAnsiTheme="minorHAnsi"/>
          <w:sz w:val="20"/>
          <w:lang w:val="en-GB"/>
        </w:rPr>
        <w:t>national development prior</w:t>
      </w:r>
      <w:r w:rsidR="00AC449F">
        <w:rPr>
          <w:rFonts w:asciiTheme="minorHAnsi" w:hAnsiTheme="minorHAnsi"/>
          <w:sz w:val="20"/>
          <w:lang w:val="en-GB"/>
        </w:rPr>
        <w:t xml:space="preserve">ities and </w:t>
      </w:r>
      <w:r w:rsidR="00CD7389">
        <w:rPr>
          <w:rFonts w:asciiTheme="minorHAnsi" w:hAnsiTheme="minorHAnsi"/>
          <w:sz w:val="20"/>
          <w:lang w:val="en-GB"/>
        </w:rPr>
        <w:t>the SDGs</w:t>
      </w:r>
      <w:r w:rsidR="00ED4DDD">
        <w:rPr>
          <w:rFonts w:asciiTheme="minorHAnsi" w:hAnsiTheme="minorHAnsi"/>
          <w:sz w:val="20"/>
          <w:lang w:val="en-GB"/>
        </w:rPr>
        <w:t>, and country-level experience with INFFs</w:t>
      </w:r>
      <w:r w:rsidR="00361268">
        <w:rPr>
          <w:rFonts w:asciiTheme="minorHAnsi" w:hAnsiTheme="minorHAnsi"/>
          <w:sz w:val="20"/>
          <w:lang w:val="en-GB"/>
        </w:rPr>
        <w:t xml:space="preserve">. </w:t>
      </w:r>
    </w:p>
    <w:p w14:paraId="0658DBBE" w14:textId="47B316A9" w:rsidR="002021BA" w:rsidRDefault="00B32067" w:rsidP="002A0749">
      <w:pPr>
        <w:pStyle w:val="Reporttext"/>
        <w:spacing w:after="120" w:line="259" w:lineRule="auto"/>
        <w:rPr>
          <w:rFonts w:asciiTheme="minorHAnsi" w:hAnsiTheme="minorHAnsi"/>
          <w:sz w:val="20"/>
          <w:lang w:val="en-GB"/>
        </w:rPr>
      </w:pPr>
      <w:r>
        <w:rPr>
          <w:rFonts w:asciiTheme="minorHAnsi" w:hAnsiTheme="minorHAnsi"/>
          <w:sz w:val="20"/>
          <w:lang w:val="en-GB"/>
        </w:rPr>
        <w:t xml:space="preserve">To build on </w:t>
      </w:r>
      <w:r w:rsidR="007E43B4">
        <w:rPr>
          <w:rFonts w:asciiTheme="minorHAnsi" w:hAnsiTheme="minorHAnsi"/>
          <w:sz w:val="20"/>
          <w:lang w:val="en-GB"/>
        </w:rPr>
        <w:t xml:space="preserve">these analyses, </w:t>
      </w:r>
      <w:r w:rsidR="005A41B9">
        <w:rPr>
          <w:rFonts w:asciiTheme="minorHAnsi" w:hAnsiTheme="minorHAnsi"/>
          <w:sz w:val="20"/>
          <w:lang w:val="en-GB"/>
        </w:rPr>
        <w:t xml:space="preserve">the executing entities </w:t>
      </w:r>
      <w:r w:rsidR="00F739CD">
        <w:rPr>
          <w:rFonts w:asciiTheme="minorHAnsi" w:hAnsiTheme="minorHAnsi"/>
          <w:sz w:val="20"/>
          <w:lang w:val="en-GB"/>
        </w:rPr>
        <w:t xml:space="preserve">were required to </w:t>
      </w:r>
      <w:r w:rsidR="002C6BFB">
        <w:rPr>
          <w:rFonts w:asciiTheme="minorHAnsi" w:hAnsiTheme="minorHAnsi"/>
          <w:sz w:val="20"/>
          <w:lang w:val="en-GB"/>
        </w:rPr>
        <w:t>assess</w:t>
      </w:r>
      <w:r w:rsidR="002021BA">
        <w:rPr>
          <w:rFonts w:asciiTheme="minorHAnsi" w:hAnsiTheme="minorHAnsi"/>
          <w:sz w:val="20"/>
          <w:lang w:val="en-GB"/>
        </w:rPr>
        <w:t xml:space="preserve"> </w:t>
      </w:r>
      <w:r w:rsidR="0000310D">
        <w:rPr>
          <w:rFonts w:asciiTheme="minorHAnsi" w:hAnsiTheme="minorHAnsi"/>
          <w:sz w:val="20"/>
          <w:lang w:val="en-GB"/>
        </w:rPr>
        <w:t xml:space="preserve">country-level </w:t>
      </w:r>
      <w:r w:rsidR="00283271">
        <w:rPr>
          <w:rFonts w:asciiTheme="minorHAnsi" w:hAnsiTheme="minorHAnsi"/>
          <w:sz w:val="20"/>
          <w:lang w:val="en-GB"/>
        </w:rPr>
        <w:t xml:space="preserve">capacities in </w:t>
      </w:r>
      <w:r w:rsidR="00F7521C">
        <w:rPr>
          <w:rFonts w:asciiTheme="minorHAnsi" w:hAnsiTheme="minorHAnsi"/>
          <w:sz w:val="20"/>
          <w:lang w:val="en-GB"/>
        </w:rPr>
        <w:t>development financing</w:t>
      </w:r>
      <w:r w:rsidR="00A11144">
        <w:rPr>
          <w:rFonts w:asciiTheme="minorHAnsi" w:hAnsiTheme="minorHAnsi"/>
          <w:sz w:val="20"/>
          <w:lang w:val="en-GB"/>
        </w:rPr>
        <w:t>,</w:t>
      </w:r>
      <w:r w:rsidR="00932E48">
        <w:rPr>
          <w:rFonts w:asciiTheme="minorHAnsi" w:hAnsiTheme="minorHAnsi"/>
          <w:sz w:val="20"/>
          <w:lang w:val="en-GB"/>
        </w:rPr>
        <w:t xml:space="preserve"> to identify </w:t>
      </w:r>
      <w:r w:rsidR="00413486">
        <w:rPr>
          <w:rFonts w:asciiTheme="minorHAnsi" w:hAnsiTheme="minorHAnsi"/>
          <w:sz w:val="20"/>
          <w:lang w:val="en-GB"/>
        </w:rPr>
        <w:t xml:space="preserve">the capacity gaps </w:t>
      </w:r>
      <w:r w:rsidR="00932E48">
        <w:rPr>
          <w:rFonts w:asciiTheme="minorHAnsi" w:hAnsiTheme="minorHAnsi"/>
          <w:sz w:val="20"/>
          <w:lang w:val="en-GB"/>
        </w:rPr>
        <w:t>th</w:t>
      </w:r>
      <w:r w:rsidR="00413486">
        <w:rPr>
          <w:rFonts w:asciiTheme="minorHAnsi" w:hAnsiTheme="minorHAnsi"/>
          <w:sz w:val="20"/>
          <w:lang w:val="en-GB"/>
        </w:rPr>
        <w:t>at needed to be addressed</w:t>
      </w:r>
      <w:r w:rsidR="00F7521C">
        <w:rPr>
          <w:rFonts w:asciiTheme="minorHAnsi" w:hAnsiTheme="minorHAnsi"/>
          <w:sz w:val="20"/>
          <w:lang w:val="en-GB"/>
        </w:rPr>
        <w:t xml:space="preserve">. The results of </w:t>
      </w:r>
      <w:r>
        <w:rPr>
          <w:rFonts w:asciiTheme="minorHAnsi" w:hAnsiTheme="minorHAnsi"/>
          <w:sz w:val="20"/>
          <w:lang w:val="en-GB"/>
        </w:rPr>
        <w:t xml:space="preserve">the assessments </w:t>
      </w:r>
      <w:r w:rsidR="00AA7E12">
        <w:rPr>
          <w:rFonts w:asciiTheme="minorHAnsi" w:hAnsiTheme="minorHAnsi"/>
          <w:sz w:val="20"/>
          <w:lang w:val="en-GB"/>
        </w:rPr>
        <w:t xml:space="preserve">were used to </w:t>
      </w:r>
      <w:r w:rsidR="0031089F">
        <w:rPr>
          <w:rFonts w:asciiTheme="minorHAnsi" w:hAnsiTheme="minorHAnsi"/>
          <w:sz w:val="20"/>
          <w:lang w:val="en-GB"/>
        </w:rPr>
        <w:t xml:space="preserve">inform </w:t>
      </w:r>
      <w:r w:rsidR="00C355E0">
        <w:rPr>
          <w:rFonts w:asciiTheme="minorHAnsi" w:hAnsiTheme="minorHAnsi"/>
          <w:sz w:val="20"/>
          <w:lang w:val="en-GB"/>
        </w:rPr>
        <w:t>project del</w:t>
      </w:r>
      <w:r w:rsidR="00545306">
        <w:rPr>
          <w:rFonts w:asciiTheme="minorHAnsi" w:hAnsiTheme="minorHAnsi"/>
          <w:sz w:val="20"/>
          <w:lang w:val="en-GB"/>
        </w:rPr>
        <w:t>i</w:t>
      </w:r>
      <w:r w:rsidR="00C355E0">
        <w:rPr>
          <w:rFonts w:asciiTheme="minorHAnsi" w:hAnsiTheme="minorHAnsi"/>
          <w:sz w:val="20"/>
          <w:lang w:val="en-GB"/>
        </w:rPr>
        <w:t xml:space="preserve">very, with emphasis on </w:t>
      </w:r>
      <w:r w:rsidR="00EF3512">
        <w:rPr>
          <w:rFonts w:asciiTheme="minorHAnsi" w:hAnsiTheme="minorHAnsi"/>
          <w:sz w:val="20"/>
          <w:lang w:val="en-GB"/>
        </w:rPr>
        <w:t xml:space="preserve">the </w:t>
      </w:r>
      <w:r w:rsidR="00C355E0">
        <w:rPr>
          <w:rFonts w:asciiTheme="minorHAnsi" w:hAnsiTheme="minorHAnsi"/>
          <w:sz w:val="20"/>
          <w:lang w:val="en-GB"/>
        </w:rPr>
        <w:t>form</w:t>
      </w:r>
      <w:r w:rsidR="00545306">
        <w:rPr>
          <w:rFonts w:asciiTheme="minorHAnsi" w:hAnsiTheme="minorHAnsi"/>
          <w:sz w:val="20"/>
          <w:lang w:val="en-GB"/>
        </w:rPr>
        <w:t xml:space="preserve">at and content </w:t>
      </w:r>
      <w:r w:rsidR="00EF3512">
        <w:rPr>
          <w:rFonts w:asciiTheme="minorHAnsi" w:hAnsiTheme="minorHAnsi"/>
          <w:sz w:val="20"/>
          <w:lang w:val="en-GB"/>
        </w:rPr>
        <w:t>of implementation activities</w:t>
      </w:r>
      <w:r w:rsidR="00562AB3">
        <w:rPr>
          <w:rFonts w:asciiTheme="minorHAnsi" w:hAnsiTheme="minorHAnsi"/>
          <w:sz w:val="20"/>
          <w:lang w:val="en-GB"/>
        </w:rPr>
        <w:t xml:space="preserve"> (e.g. in-person workshops; </w:t>
      </w:r>
      <w:r w:rsidR="00562AB3">
        <w:rPr>
          <w:rFonts w:asciiTheme="minorHAnsi" w:hAnsiTheme="minorHAnsi"/>
          <w:sz w:val="20"/>
          <w:lang w:val="en-GB"/>
        </w:rPr>
        <w:t xml:space="preserve">webinars; </w:t>
      </w:r>
      <w:r w:rsidR="00FA690B">
        <w:rPr>
          <w:rFonts w:asciiTheme="minorHAnsi" w:hAnsiTheme="minorHAnsi"/>
          <w:sz w:val="20"/>
          <w:lang w:val="en-GB"/>
        </w:rPr>
        <w:t xml:space="preserve">introduction to </w:t>
      </w:r>
      <w:r w:rsidR="003B7F92">
        <w:rPr>
          <w:rFonts w:asciiTheme="minorHAnsi" w:hAnsiTheme="minorHAnsi"/>
          <w:sz w:val="20"/>
          <w:lang w:val="en-GB"/>
        </w:rPr>
        <w:t>development financing tools; etc.).</w:t>
      </w:r>
    </w:p>
    <w:p w14:paraId="5C8EBE0A" w14:textId="55F004FE" w:rsidR="002B7B51" w:rsidRDefault="008E1402" w:rsidP="009041A9">
      <w:pPr>
        <w:pStyle w:val="Heading3"/>
      </w:pPr>
      <w:r>
        <w:t xml:space="preserve">Step 3: </w:t>
      </w:r>
      <w:r w:rsidR="0062049A">
        <w:t>Technical assistance and trainings</w:t>
      </w:r>
    </w:p>
    <w:p w14:paraId="5A891777" w14:textId="0EBB9CC3" w:rsidR="00405D98" w:rsidRDefault="00E44B34" w:rsidP="002B7B51">
      <w:pPr>
        <w:pStyle w:val="Reporttext"/>
        <w:spacing w:after="120" w:line="259" w:lineRule="auto"/>
        <w:rPr>
          <w:rFonts w:asciiTheme="minorHAnsi" w:hAnsiTheme="minorHAnsi"/>
          <w:sz w:val="20"/>
          <w:lang w:val="en-GB"/>
        </w:rPr>
      </w:pPr>
      <w:r>
        <w:rPr>
          <w:rFonts w:asciiTheme="minorHAnsi" w:hAnsiTheme="minorHAnsi"/>
          <w:sz w:val="20"/>
          <w:lang w:val="en-GB"/>
        </w:rPr>
        <w:t>Technical assistance and trainings were facilitated at the country level</w:t>
      </w:r>
      <w:r w:rsidR="009B2C1C">
        <w:rPr>
          <w:rFonts w:asciiTheme="minorHAnsi" w:hAnsiTheme="minorHAnsi"/>
          <w:sz w:val="20"/>
          <w:lang w:val="en-GB"/>
        </w:rPr>
        <w:t xml:space="preserve">, to guide target countries towards the contextual </w:t>
      </w:r>
      <w:r w:rsidR="006F0561">
        <w:rPr>
          <w:rFonts w:asciiTheme="minorHAnsi" w:hAnsiTheme="minorHAnsi"/>
          <w:sz w:val="20"/>
          <w:lang w:val="en-GB"/>
        </w:rPr>
        <w:t xml:space="preserve">application of the INFF methodology. </w:t>
      </w:r>
      <w:r w:rsidR="00023374">
        <w:rPr>
          <w:rFonts w:asciiTheme="minorHAnsi" w:hAnsiTheme="minorHAnsi"/>
          <w:sz w:val="20"/>
          <w:lang w:val="en-GB"/>
        </w:rPr>
        <w:t>The g</w:t>
      </w:r>
      <w:r w:rsidR="000E0041">
        <w:rPr>
          <w:rFonts w:asciiTheme="minorHAnsi" w:hAnsiTheme="minorHAnsi"/>
          <w:sz w:val="20"/>
          <w:lang w:val="en-GB"/>
        </w:rPr>
        <w:t xml:space="preserve">uidance material </w:t>
      </w:r>
      <w:r w:rsidR="00023374">
        <w:rPr>
          <w:rFonts w:asciiTheme="minorHAnsi" w:hAnsiTheme="minorHAnsi"/>
          <w:sz w:val="20"/>
          <w:lang w:val="en-GB"/>
        </w:rPr>
        <w:t>of</w:t>
      </w:r>
      <w:r w:rsidR="000E0041">
        <w:rPr>
          <w:rFonts w:asciiTheme="minorHAnsi" w:hAnsiTheme="minorHAnsi"/>
          <w:sz w:val="20"/>
          <w:lang w:val="en-GB"/>
        </w:rPr>
        <w:t xml:space="preserve"> Step 1 of the project</w:t>
      </w:r>
      <w:r w:rsidR="00023374">
        <w:rPr>
          <w:rFonts w:asciiTheme="minorHAnsi" w:hAnsiTheme="minorHAnsi"/>
          <w:sz w:val="20"/>
          <w:lang w:val="en-GB"/>
        </w:rPr>
        <w:t>, combined with</w:t>
      </w:r>
      <w:r w:rsidR="00772CE0">
        <w:rPr>
          <w:rFonts w:asciiTheme="minorHAnsi" w:hAnsiTheme="minorHAnsi"/>
          <w:sz w:val="20"/>
          <w:lang w:val="en-GB"/>
        </w:rPr>
        <w:t xml:space="preserve"> existing guidelines</w:t>
      </w:r>
      <w:r w:rsidR="00405D98">
        <w:rPr>
          <w:rFonts w:asciiTheme="minorHAnsi" w:hAnsiTheme="minorHAnsi"/>
          <w:sz w:val="20"/>
          <w:lang w:val="en-GB"/>
        </w:rPr>
        <w:t xml:space="preserve"> at the level of the executing entitie</w:t>
      </w:r>
      <w:r w:rsidR="00C5406D">
        <w:rPr>
          <w:rFonts w:asciiTheme="minorHAnsi" w:hAnsiTheme="minorHAnsi"/>
          <w:sz w:val="20"/>
          <w:lang w:val="en-GB"/>
        </w:rPr>
        <w:t xml:space="preserve">s, were used to facilitate </w:t>
      </w:r>
      <w:r w:rsidR="00883424">
        <w:rPr>
          <w:rFonts w:asciiTheme="minorHAnsi" w:hAnsiTheme="minorHAnsi"/>
          <w:sz w:val="20"/>
          <w:lang w:val="en-GB"/>
        </w:rPr>
        <w:t xml:space="preserve">workshops and trainings. </w:t>
      </w:r>
      <w:r w:rsidR="007E642D">
        <w:rPr>
          <w:rFonts w:asciiTheme="minorHAnsi" w:hAnsiTheme="minorHAnsi"/>
          <w:sz w:val="20"/>
          <w:lang w:val="en-GB"/>
        </w:rPr>
        <w:t>As the c</w:t>
      </w:r>
      <w:r w:rsidR="00883424">
        <w:rPr>
          <w:rFonts w:asciiTheme="minorHAnsi" w:hAnsiTheme="minorHAnsi"/>
          <w:sz w:val="20"/>
          <w:lang w:val="en-GB"/>
        </w:rPr>
        <w:t xml:space="preserve">ountry-specific activities </w:t>
      </w:r>
      <w:r w:rsidR="00820F04">
        <w:rPr>
          <w:rFonts w:asciiTheme="minorHAnsi" w:hAnsiTheme="minorHAnsi"/>
          <w:sz w:val="20"/>
          <w:lang w:val="en-GB"/>
        </w:rPr>
        <w:t>responded to the results of the diagnostic exercises</w:t>
      </w:r>
      <w:r w:rsidR="007E642D">
        <w:rPr>
          <w:rFonts w:asciiTheme="minorHAnsi" w:hAnsiTheme="minorHAnsi"/>
          <w:sz w:val="20"/>
          <w:lang w:val="en-GB"/>
        </w:rPr>
        <w:t xml:space="preserve">, they </w:t>
      </w:r>
      <w:r w:rsidR="00A12D17">
        <w:rPr>
          <w:rFonts w:asciiTheme="minorHAnsi" w:hAnsiTheme="minorHAnsi"/>
          <w:sz w:val="20"/>
          <w:lang w:val="en-GB"/>
        </w:rPr>
        <w:t xml:space="preserve">were </w:t>
      </w:r>
      <w:r w:rsidR="00957841">
        <w:rPr>
          <w:rFonts w:asciiTheme="minorHAnsi" w:hAnsiTheme="minorHAnsi"/>
          <w:sz w:val="20"/>
          <w:lang w:val="en-GB"/>
        </w:rPr>
        <w:t xml:space="preserve">designed to address </w:t>
      </w:r>
      <w:r w:rsidR="00CC051C">
        <w:rPr>
          <w:rFonts w:asciiTheme="minorHAnsi" w:hAnsiTheme="minorHAnsi"/>
          <w:sz w:val="20"/>
          <w:lang w:val="en-GB"/>
        </w:rPr>
        <w:t xml:space="preserve">identified </w:t>
      </w:r>
      <w:r w:rsidR="00957841">
        <w:rPr>
          <w:rFonts w:asciiTheme="minorHAnsi" w:hAnsiTheme="minorHAnsi"/>
          <w:sz w:val="20"/>
          <w:lang w:val="en-GB"/>
        </w:rPr>
        <w:t xml:space="preserve">capacity-gaps </w:t>
      </w:r>
      <w:r w:rsidR="00CC051C">
        <w:rPr>
          <w:rFonts w:asciiTheme="minorHAnsi" w:hAnsiTheme="minorHAnsi"/>
          <w:sz w:val="20"/>
          <w:lang w:val="en-GB"/>
        </w:rPr>
        <w:t>for the development and implementation of INFFs by the target countries.</w:t>
      </w:r>
    </w:p>
    <w:p w14:paraId="02DBD616" w14:textId="38B24872" w:rsidR="00AC322E" w:rsidRDefault="008E1402" w:rsidP="009041A9">
      <w:pPr>
        <w:pStyle w:val="Heading3"/>
      </w:pPr>
      <w:r>
        <w:t xml:space="preserve">Step 4: </w:t>
      </w:r>
      <w:r w:rsidR="00AC322E">
        <w:t>Regional exchange</w:t>
      </w:r>
    </w:p>
    <w:p w14:paraId="0363934C" w14:textId="5FA79A9E" w:rsidR="00F43C1D" w:rsidRPr="00286661" w:rsidRDefault="00A75A61" w:rsidP="00286661">
      <w:pPr>
        <w:pStyle w:val="Reporttext"/>
        <w:spacing w:after="120" w:line="259" w:lineRule="auto"/>
        <w:rPr>
          <w:rFonts w:asciiTheme="minorHAnsi" w:hAnsiTheme="minorHAnsi"/>
          <w:sz w:val="20"/>
        </w:rPr>
      </w:pPr>
      <w:r w:rsidRPr="00286661">
        <w:rPr>
          <w:rFonts w:asciiTheme="minorHAnsi" w:hAnsiTheme="minorHAnsi"/>
          <w:sz w:val="20"/>
        </w:rPr>
        <w:t>R</w:t>
      </w:r>
      <w:r w:rsidR="00100039" w:rsidRPr="00286661">
        <w:rPr>
          <w:rFonts w:asciiTheme="minorHAnsi" w:hAnsiTheme="minorHAnsi"/>
          <w:sz w:val="20"/>
        </w:rPr>
        <w:t xml:space="preserve">egional </w:t>
      </w:r>
      <w:r w:rsidR="000C455A">
        <w:rPr>
          <w:rFonts w:asciiTheme="minorHAnsi" w:hAnsiTheme="minorHAnsi"/>
          <w:sz w:val="20"/>
        </w:rPr>
        <w:t>workshops</w:t>
      </w:r>
      <w:r w:rsidR="00100039" w:rsidRPr="00286661">
        <w:rPr>
          <w:rFonts w:asciiTheme="minorHAnsi" w:hAnsiTheme="minorHAnsi"/>
          <w:sz w:val="20"/>
        </w:rPr>
        <w:t xml:space="preserve"> were </w:t>
      </w:r>
      <w:r w:rsidR="006D151D" w:rsidRPr="00286661">
        <w:rPr>
          <w:rFonts w:asciiTheme="minorHAnsi" w:hAnsiTheme="minorHAnsi"/>
          <w:sz w:val="20"/>
        </w:rPr>
        <w:t xml:space="preserve">incorporated into the project </w:t>
      </w:r>
      <w:r w:rsidR="00B1192C" w:rsidRPr="00286661">
        <w:rPr>
          <w:rFonts w:asciiTheme="minorHAnsi" w:hAnsiTheme="minorHAnsi"/>
          <w:sz w:val="20"/>
        </w:rPr>
        <w:t xml:space="preserve">to support knowledge-exchange and peer-learning </w:t>
      </w:r>
      <w:r w:rsidR="006248BA">
        <w:rPr>
          <w:rFonts w:asciiTheme="minorHAnsi" w:hAnsiTheme="minorHAnsi"/>
          <w:sz w:val="20"/>
        </w:rPr>
        <w:t>at</w:t>
      </w:r>
      <w:r w:rsidR="006E12D8">
        <w:rPr>
          <w:rFonts w:asciiTheme="minorHAnsi" w:hAnsiTheme="minorHAnsi"/>
          <w:sz w:val="20"/>
        </w:rPr>
        <w:t xml:space="preserve"> the level of each </w:t>
      </w:r>
      <w:r w:rsidR="00A6010F" w:rsidRPr="00286661">
        <w:rPr>
          <w:rFonts w:asciiTheme="minorHAnsi" w:hAnsiTheme="minorHAnsi"/>
          <w:sz w:val="20"/>
        </w:rPr>
        <w:t xml:space="preserve">project region. </w:t>
      </w:r>
      <w:r w:rsidR="00316656" w:rsidRPr="00286661">
        <w:rPr>
          <w:rFonts w:asciiTheme="minorHAnsi" w:hAnsiTheme="minorHAnsi"/>
          <w:sz w:val="20"/>
        </w:rPr>
        <w:t xml:space="preserve">They were used to convene </w:t>
      </w:r>
      <w:r w:rsidR="00B934A0" w:rsidRPr="00286661">
        <w:rPr>
          <w:rFonts w:asciiTheme="minorHAnsi" w:hAnsiTheme="minorHAnsi"/>
          <w:sz w:val="20"/>
        </w:rPr>
        <w:t xml:space="preserve">key decision-makers from the </w:t>
      </w:r>
      <w:r w:rsidR="007214AC" w:rsidRPr="00286661">
        <w:rPr>
          <w:rFonts w:asciiTheme="minorHAnsi" w:hAnsiTheme="minorHAnsi"/>
          <w:sz w:val="20"/>
        </w:rPr>
        <w:t>target countries</w:t>
      </w:r>
      <w:r w:rsidR="002E11D7" w:rsidRPr="00286661">
        <w:rPr>
          <w:rFonts w:asciiTheme="minorHAnsi" w:hAnsiTheme="minorHAnsi"/>
          <w:sz w:val="20"/>
        </w:rPr>
        <w:t xml:space="preserve"> </w:t>
      </w:r>
      <w:r w:rsidR="008C10FF">
        <w:rPr>
          <w:rFonts w:asciiTheme="minorHAnsi" w:hAnsiTheme="minorHAnsi"/>
          <w:sz w:val="20"/>
        </w:rPr>
        <w:t>and other interested stakeholder</w:t>
      </w:r>
      <w:r w:rsidR="009B6B60">
        <w:rPr>
          <w:rFonts w:asciiTheme="minorHAnsi" w:hAnsiTheme="minorHAnsi"/>
          <w:sz w:val="20"/>
        </w:rPr>
        <w:t>s</w:t>
      </w:r>
      <w:r w:rsidR="008C10FF">
        <w:rPr>
          <w:rFonts w:asciiTheme="minorHAnsi" w:hAnsiTheme="minorHAnsi"/>
          <w:sz w:val="20"/>
        </w:rPr>
        <w:t xml:space="preserve"> from non-project countries</w:t>
      </w:r>
      <w:r w:rsidR="009B6B60" w:rsidRPr="009B6B60">
        <w:rPr>
          <w:rFonts w:asciiTheme="minorHAnsi" w:hAnsiTheme="minorHAnsi"/>
          <w:sz w:val="20"/>
        </w:rPr>
        <w:t xml:space="preserve"> </w:t>
      </w:r>
      <w:r w:rsidR="009B6B60" w:rsidRPr="00286661">
        <w:rPr>
          <w:rFonts w:asciiTheme="minorHAnsi" w:hAnsiTheme="minorHAnsi"/>
          <w:sz w:val="20"/>
        </w:rPr>
        <w:t xml:space="preserve">with portfolios that </w:t>
      </w:r>
      <w:r w:rsidR="009C5FAB">
        <w:rPr>
          <w:rFonts w:asciiTheme="minorHAnsi" w:hAnsiTheme="minorHAnsi"/>
          <w:sz w:val="20"/>
        </w:rPr>
        <w:t>were linked to INFF development</w:t>
      </w:r>
      <w:r w:rsidR="00F43C1D" w:rsidRPr="00286661">
        <w:rPr>
          <w:rFonts w:asciiTheme="minorHAnsi" w:hAnsiTheme="minorHAnsi"/>
          <w:sz w:val="20"/>
        </w:rPr>
        <w:t xml:space="preserve">. As a result, the </w:t>
      </w:r>
      <w:r w:rsidR="00410492">
        <w:rPr>
          <w:rFonts w:asciiTheme="minorHAnsi" w:hAnsiTheme="minorHAnsi"/>
          <w:sz w:val="20"/>
        </w:rPr>
        <w:t xml:space="preserve">main </w:t>
      </w:r>
      <w:r w:rsidR="00F43C1D" w:rsidRPr="00286661">
        <w:rPr>
          <w:rFonts w:asciiTheme="minorHAnsi" w:hAnsiTheme="minorHAnsi"/>
          <w:sz w:val="20"/>
        </w:rPr>
        <w:t>partici</w:t>
      </w:r>
      <w:r w:rsidR="009F4D7D" w:rsidRPr="00286661">
        <w:rPr>
          <w:rFonts w:asciiTheme="minorHAnsi" w:hAnsiTheme="minorHAnsi"/>
          <w:sz w:val="20"/>
        </w:rPr>
        <w:t xml:space="preserve">pants at the regional </w:t>
      </w:r>
      <w:r w:rsidR="000C455A">
        <w:rPr>
          <w:rFonts w:asciiTheme="minorHAnsi" w:hAnsiTheme="minorHAnsi"/>
          <w:sz w:val="20"/>
        </w:rPr>
        <w:t>workshops were</w:t>
      </w:r>
      <w:r w:rsidR="009F4D7D" w:rsidRPr="00286661">
        <w:rPr>
          <w:rFonts w:asciiTheme="minorHAnsi" w:hAnsiTheme="minorHAnsi"/>
          <w:sz w:val="20"/>
        </w:rPr>
        <w:t xml:space="preserve"> government official</w:t>
      </w:r>
      <w:r w:rsidR="00235144" w:rsidRPr="00286661">
        <w:rPr>
          <w:rFonts w:asciiTheme="minorHAnsi" w:hAnsiTheme="minorHAnsi"/>
          <w:sz w:val="20"/>
        </w:rPr>
        <w:t>s</w:t>
      </w:r>
      <w:r w:rsidR="009F4D7D" w:rsidRPr="00286661">
        <w:rPr>
          <w:rFonts w:asciiTheme="minorHAnsi" w:hAnsiTheme="minorHAnsi"/>
          <w:sz w:val="20"/>
        </w:rPr>
        <w:t>; private sector representatives</w:t>
      </w:r>
      <w:r w:rsidR="00235144" w:rsidRPr="00286661">
        <w:rPr>
          <w:rFonts w:asciiTheme="minorHAnsi" w:hAnsiTheme="minorHAnsi"/>
          <w:sz w:val="20"/>
        </w:rPr>
        <w:t>;</w:t>
      </w:r>
      <w:r w:rsidR="00C11411">
        <w:rPr>
          <w:rFonts w:asciiTheme="minorHAnsi" w:hAnsiTheme="minorHAnsi"/>
          <w:sz w:val="20"/>
        </w:rPr>
        <w:t xml:space="preserve"> and</w:t>
      </w:r>
      <w:r w:rsidR="00235144" w:rsidRPr="00286661">
        <w:rPr>
          <w:rFonts w:asciiTheme="minorHAnsi" w:hAnsiTheme="minorHAnsi"/>
          <w:sz w:val="20"/>
        </w:rPr>
        <w:t xml:space="preserve"> development partners</w:t>
      </w:r>
      <w:r w:rsidR="007E3A05" w:rsidRPr="00286661">
        <w:rPr>
          <w:rFonts w:asciiTheme="minorHAnsi" w:hAnsiTheme="minorHAnsi"/>
          <w:sz w:val="20"/>
        </w:rPr>
        <w:t xml:space="preserve"> from the target countries and </w:t>
      </w:r>
      <w:r w:rsidR="009C5FAB">
        <w:rPr>
          <w:rFonts w:asciiTheme="minorHAnsi" w:hAnsiTheme="minorHAnsi"/>
          <w:sz w:val="20"/>
        </w:rPr>
        <w:t>non</w:t>
      </w:r>
      <w:r w:rsidR="002C13F8">
        <w:rPr>
          <w:rFonts w:asciiTheme="minorHAnsi" w:hAnsiTheme="minorHAnsi"/>
          <w:sz w:val="20"/>
        </w:rPr>
        <w:t xml:space="preserve">-project </w:t>
      </w:r>
      <w:r w:rsidR="007E3A05" w:rsidRPr="00286661">
        <w:rPr>
          <w:rFonts w:asciiTheme="minorHAnsi" w:hAnsiTheme="minorHAnsi"/>
          <w:sz w:val="20"/>
        </w:rPr>
        <w:t xml:space="preserve">countries within each region </w:t>
      </w:r>
      <w:r w:rsidR="002C13F8">
        <w:rPr>
          <w:rFonts w:asciiTheme="minorHAnsi" w:hAnsiTheme="minorHAnsi"/>
          <w:sz w:val="20"/>
        </w:rPr>
        <w:t xml:space="preserve">who </w:t>
      </w:r>
      <w:r w:rsidR="00FC69C1" w:rsidRPr="00286661">
        <w:rPr>
          <w:rFonts w:asciiTheme="minorHAnsi" w:hAnsiTheme="minorHAnsi"/>
          <w:sz w:val="20"/>
        </w:rPr>
        <w:t xml:space="preserve">were </w:t>
      </w:r>
      <w:r w:rsidR="0001577F" w:rsidRPr="00286661">
        <w:rPr>
          <w:rFonts w:asciiTheme="minorHAnsi" w:hAnsiTheme="minorHAnsi"/>
          <w:sz w:val="20"/>
        </w:rPr>
        <w:t xml:space="preserve">working on </w:t>
      </w:r>
      <w:r w:rsidR="00E23A27" w:rsidRPr="00286661">
        <w:rPr>
          <w:rFonts w:asciiTheme="minorHAnsi" w:hAnsiTheme="minorHAnsi"/>
          <w:sz w:val="20"/>
        </w:rPr>
        <w:t>or interested in developing INFFs.</w:t>
      </w:r>
    </w:p>
    <w:p w14:paraId="61ECACC6" w14:textId="6E0569A3" w:rsidR="00F43C1D" w:rsidRPr="00286661" w:rsidRDefault="001D1741" w:rsidP="00286661">
      <w:pPr>
        <w:pStyle w:val="Reporttext"/>
        <w:spacing w:after="120" w:line="259" w:lineRule="auto"/>
        <w:rPr>
          <w:rFonts w:asciiTheme="minorHAnsi" w:hAnsiTheme="minorHAnsi"/>
          <w:sz w:val="20"/>
        </w:rPr>
      </w:pPr>
      <w:r>
        <w:rPr>
          <w:rFonts w:asciiTheme="minorHAnsi" w:hAnsiTheme="minorHAnsi"/>
          <w:sz w:val="20"/>
        </w:rPr>
        <w:t xml:space="preserve">In line with the </w:t>
      </w:r>
      <w:r w:rsidR="007C3D20" w:rsidRPr="00286661">
        <w:rPr>
          <w:rFonts w:asciiTheme="minorHAnsi" w:hAnsiTheme="minorHAnsi"/>
          <w:sz w:val="20"/>
        </w:rPr>
        <w:t xml:space="preserve">exchange of knowledge and information </w:t>
      </w:r>
      <w:r>
        <w:rPr>
          <w:rFonts w:asciiTheme="minorHAnsi" w:hAnsiTheme="minorHAnsi"/>
          <w:sz w:val="20"/>
        </w:rPr>
        <w:t xml:space="preserve">to </w:t>
      </w:r>
      <w:r w:rsidR="007C3D20" w:rsidRPr="00286661">
        <w:rPr>
          <w:rFonts w:asciiTheme="minorHAnsi" w:hAnsiTheme="minorHAnsi"/>
          <w:sz w:val="20"/>
        </w:rPr>
        <w:t xml:space="preserve">facilitate </w:t>
      </w:r>
      <w:r w:rsidR="006321A6">
        <w:rPr>
          <w:rFonts w:asciiTheme="minorHAnsi" w:hAnsiTheme="minorHAnsi"/>
          <w:sz w:val="20"/>
        </w:rPr>
        <w:t>peer-learning</w:t>
      </w:r>
      <w:r w:rsidR="007C3D20" w:rsidRPr="00286661">
        <w:rPr>
          <w:rFonts w:asciiTheme="minorHAnsi" w:hAnsiTheme="minorHAnsi"/>
          <w:sz w:val="20"/>
        </w:rPr>
        <w:t>, t</w:t>
      </w:r>
      <w:r w:rsidR="005357B3" w:rsidRPr="00286661">
        <w:rPr>
          <w:rFonts w:asciiTheme="minorHAnsi" w:hAnsiTheme="minorHAnsi"/>
          <w:sz w:val="20"/>
        </w:rPr>
        <w:t xml:space="preserve">he regional </w:t>
      </w:r>
      <w:r w:rsidR="000C455A">
        <w:rPr>
          <w:rFonts w:asciiTheme="minorHAnsi" w:hAnsiTheme="minorHAnsi"/>
          <w:sz w:val="20"/>
        </w:rPr>
        <w:t>workshops</w:t>
      </w:r>
      <w:r w:rsidR="005357B3" w:rsidRPr="00286661">
        <w:rPr>
          <w:rFonts w:asciiTheme="minorHAnsi" w:hAnsiTheme="minorHAnsi"/>
          <w:sz w:val="20"/>
        </w:rPr>
        <w:t xml:space="preserve"> </w:t>
      </w:r>
      <w:r w:rsidR="006460F8">
        <w:rPr>
          <w:rFonts w:asciiTheme="minorHAnsi" w:hAnsiTheme="minorHAnsi"/>
          <w:sz w:val="20"/>
        </w:rPr>
        <w:t xml:space="preserve">were designed to support </w:t>
      </w:r>
      <w:r w:rsidR="009E1360">
        <w:rPr>
          <w:rFonts w:asciiTheme="minorHAnsi" w:hAnsiTheme="minorHAnsi"/>
          <w:sz w:val="20"/>
        </w:rPr>
        <w:t xml:space="preserve">the sharing of </w:t>
      </w:r>
      <w:r w:rsidR="00896B3A">
        <w:rPr>
          <w:rFonts w:asciiTheme="minorHAnsi" w:hAnsiTheme="minorHAnsi"/>
          <w:sz w:val="20"/>
        </w:rPr>
        <w:t>experience</w:t>
      </w:r>
      <w:r w:rsidR="009E1360">
        <w:rPr>
          <w:rFonts w:asciiTheme="minorHAnsi" w:hAnsiTheme="minorHAnsi"/>
          <w:sz w:val="20"/>
        </w:rPr>
        <w:t xml:space="preserve"> and lessons learned </w:t>
      </w:r>
      <w:r w:rsidR="004D4104">
        <w:rPr>
          <w:rFonts w:asciiTheme="minorHAnsi" w:hAnsiTheme="minorHAnsi"/>
          <w:sz w:val="20"/>
        </w:rPr>
        <w:t xml:space="preserve">on the </w:t>
      </w:r>
      <w:r w:rsidR="006449A1">
        <w:rPr>
          <w:rFonts w:asciiTheme="minorHAnsi" w:hAnsiTheme="minorHAnsi"/>
          <w:sz w:val="20"/>
        </w:rPr>
        <w:t xml:space="preserve">application of the INFF methodology. </w:t>
      </w:r>
      <w:r w:rsidR="00BB1A74">
        <w:rPr>
          <w:rFonts w:asciiTheme="minorHAnsi" w:hAnsiTheme="minorHAnsi"/>
          <w:sz w:val="20"/>
        </w:rPr>
        <w:t>This element of the workshops</w:t>
      </w:r>
      <w:r w:rsidR="00553C52">
        <w:rPr>
          <w:rFonts w:asciiTheme="minorHAnsi" w:hAnsiTheme="minorHAnsi"/>
          <w:sz w:val="20"/>
        </w:rPr>
        <w:t xml:space="preserve"> </w:t>
      </w:r>
      <w:r w:rsidR="007A1C5A">
        <w:rPr>
          <w:rFonts w:asciiTheme="minorHAnsi" w:hAnsiTheme="minorHAnsi"/>
          <w:sz w:val="20"/>
        </w:rPr>
        <w:t xml:space="preserve">was used to support </w:t>
      </w:r>
      <w:r w:rsidR="006B202F">
        <w:rPr>
          <w:rFonts w:asciiTheme="minorHAnsi" w:hAnsiTheme="minorHAnsi"/>
          <w:sz w:val="20"/>
        </w:rPr>
        <w:t xml:space="preserve">the identification of additional capacity needs </w:t>
      </w:r>
      <w:r w:rsidR="00E26CEE">
        <w:rPr>
          <w:rFonts w:asciiTheme="minorHAnsi" w:hAnsiTheme="minorHAnsi"/>
          <w:sz w:val="20"/>
        </w:rPr>
        <w:t>in the target countries</w:t>
      </w:r>
      <w:r w:rsidR="008B0991">
        <w:rPr>
          <w:rFonts w:asciiTheme="minorHAnsi" w:hAnsiTheme="minorHAnsi"/>
          <w:sz w:val="20"/>
        </w:rPr>
        <w:t xml:space="preserve">, as well as </w:t>
      </w:r>
      <w:r w:rsidR="006F377C">
        <w:rPr>
          <w:rFonts w:asciiTheme="minorHAnsi" w:hAnsiTheme="minorHAnsi"/>
          <w:sz w:val="20"/>
        </w:rPr>
        <w:t>to explore</w:t>
      </w:r>
      <w:r w:rsidR="008B0991">
        <w:rPr>
          <w:rFonts w:asciiTheme="minorHAnsi" w:hAnsiTheme="minorHAnsi"/>
          <w:sz w:val="20"/>
        </w:rPr>
        <w:t xml:space="preserve"> the potential for </w:t>
      </w:r>
      <w:r w:rsidR="00132C9A">
        <w:rPr>
          <w:rFonts w:asciiTheme="minorHAnsi" w:hAnsiTheme="minorHAnsi"/>
          <w:sz w:val="20"/>
        </w:rPr>
        <w:t>a</w:t>
      </w:r>
      <w:r w:rsidR="00603349">
        <w:rPr>
          <w:rFonts w:asciiTheme="minorHAnsi" w:hAnsiTheme="minorHAnsi"/>
          <w:sz w:val="20"/>
        </w:rPr>
        <w:t xml:space="preserve"> wider app</w:t>
      </w:r>
      <w:r w:rsidR="00132C9A">
        <w:rPr>
          <w:rFonts w:asciiTheme="minorHAnsi" w:hAnsiTheme="minorHAnsi"/>
          <w:sz w:val="20"/>
        </w:rPr>
        <w:t>lication</w:t>
      </w:r>
      <w:r w:rsidR="00603349">
        <w:rPr>
          <w:rFonts w:asciiTheme="minorHAnsi" w:hAnsiTheme="minorHAnsi"/>
          <w:sz w:val="20"/>
        </w:rPr>
        <w:t xml:space="preserve"> of the </w:t>
      </w:r>
      <w:r w:rsidR="00132C9A">
        <w:rPr>
          <w:rFonts w:asciiTheme="minorHAnsi" w:hAnsiTheme="minorHAnsi"/>
          <w:sz w:val="20"/>
        </w:rPr>
        <w:t xml:space="preserve">INFF methodology (i.e. </w:t>
      </w:r>
      <w:r w:rsidR="003972A9">
        <w:rPr>
          <w:rFonts w:asciiTheme="minorHAnsi" w:hAnsiTheme="minorHAnsi"/>
          <w:sz w:val="20"/>
        </w:rPr>
        <w:t xml:space="preserve">beyond the </w:t>
      </w:r>
      <w:r w:rsidR="00132C9A">
        <w:rPr>
          <w:rFonts w:asciiTheme="minorHAnsi" w:hAnsiTheme="minorHAnsi"/>
          <w:sz w:val="20"/>
        </w:rPr>
        <w:t>target countries).</w:t>
      </w:r>
      <w:r w:rsidR="00896B3A">
        <w:rPr>
          <w:rFonts w:asciiTheme="minorHAnsi" w:hAnsiTheme="minorHAnsi"/>
          <w:sz w:val="20"/>
        </w:rPr>
        <w:t xml:space="preserve"> </w:t>
      </w:r>
    </w:p>
    <w:p w14:paraId="531E5EC4" w14:textId="271036A3" w:rsidR="00AC322E" w:rsidRDefault="008E1402" w:rsidP="009041A9">
      <w:pPr>
        <w:pStyle w:val="Heading3"/>
      </w:pPr>
      <w:r>
        <w:t xml:space="preserve">Step 5: </w:t>
      </w:r>
      <w:r w:rsidR="00AC322E">
        <w:t xml:space="preserve">Global </w:t>
      </w:r>
      <w:r w:rsidR="006321A6">
        <w:t>knowledge-exchange</w:t>
      </w:r>
    </w:p>
    <w:p w14:paraId="2EFF5100" w14:textId="7DD9F31F" w:rsidR="00487021" w:rsidRDefault="005F3F0F" w:rsidP="00531C18">
      <w:pPr>
        <w:pStyle w:val="Reporttext"/>
        <w:spacing w:after="120" w:line="259" w:lineRule="auto"/>
        <w:rPr>
          <w:rFonts w:asciiTheme="minorHAnsi" w:hAnsiTheme="minorHAnsi"/>
          <w:sz w:val="20"/>
        </w:rPr>
      </w:pPr>
      <w:r w:rsidRPr="00F35E58">
        <w:rPr>
          <w:rFonts w:asciiTheme="minorHAnsi" w:hAnsiTheme="minorHAnsi"/>
          <w:sz w:val="20"/>
        </w:rPr>
        <w:t xml:space="preserve">As an extension of the regional workshops, </w:t>
      </w:r>
      <w:r w:rsidR="00383F0C" w:rsidRPr="00F35E58">
        <w:rPr>
          <w:rFonts w:asciiTheme="minorHAnsi" w:hAnsiTheme="minorHAnsi"/>
          <w:sz w:val="20"/>
        </w:rPr>
        <w:t>g</w:t>
      </w:r>
      <w:r w:rsidR="001467A5" w:rsidRPr="00F35E58">
        <w:rPr>
          <w:rFonts w:asciiTheme="minorHAnsi" w:hAnsiTheme="minorHAnsi"/>
          <w:sz w:val="20"/>
        </w:rPr>
        <w:t xml:space="preserve">lobal workshops </w:t>
      </w:r>
      <w:r w:rsidR="00002AE5">
        <w:rPr>
          <w:rFonts w:asciiTheme="minorHAnsi" w:hAnsiTheme="minorHAnsi"/>
          <w:sz w:val="20"/>
        </w:rPr>
        <w:t xml:space="preserve">and </w:t>
      </w:r>
      <w:r w:rsidR="0045319C">
        <w:rPr>
          <w:rFonts w:asciiTheme="minorHAnsi" w:hAnsiTheme="minorHAnsi"/>
          <w:sz w:val="20"/>
        </w:rPr>
        <w:t xml:space="preserve">publications </w:t>
      </w:r>
      <w:r w:rsidR="001467A5" w:rsidRPr="00F35E58">
        <w:rPr>
          <w:rFonts w:asciiTheme="minorHAnsi" w:hAnsiTheme="minorHAnsi"/>
          <w:sz w:val="20"/>
        </w:rPr>
        <w:t xml:space="preserve">were incorporated into </w:t>
      </w:r>
      <w:r w:rsidR="00526B73" w:rsidRPr="00F35E58">
        <w:rPr>
          <w:rFonts w:asciiTheme="minorHAnsi" w:hAnsiTheme="minorHAnsi"/>
          <w:sz w:val="20"/>
        </w:rPr>
        <w:lastRenderedPageBreak/>
        <w:t xml:space="preserve">the project design to </w:t>
      </w:r>
      <w:r w:rsidR="00383F0C" w:rsidRPr="00F35E58">
        <w:rPr>
          <w:rFonts w:asciiTheme="minorHAnsi" w:hAnsiTheme="minorHAnsi"/>
          <w:sz w:val="20"/>
        </w:rPr>
        <w:t>extend the dissemination of information</w:t>
      </w:r>
      <w:r w:rsidR="00110798" w:rsidRPr="00F35E58">
        <w:rPr>
          <w:rFonts w:asciiTheme="minorHAnsi" w:hAnsiTheme="minorHAnsi"/>
          <w:sz w:val="20"/>
        </w:rPr>
        <w:t xml:space="preserve">; knowledge; experience; and lessons learned </w:t>
      </w:r>
      <w:r w:rsidR="00416C9B" w:rsidRPr="00F35E58">
        <w:rPr>
          <w:rFonts w:asciiTheme="minorHAnsi" w:hAnsiTheme="minorHAnsi"/>
          <w:sz w:val="20"/>
        </w:rPr>
        <w:t xml:space="preserve">to a global audience. </w:t>
      </w:r>
      <w:r w:rsidR="008C159D">
        <w:rPr>
          <w:rFonts w:asciiTheme="minorHAnsi" w:hAnsiTheme="minorHAnsi"/>
          <w:sz w:val="20"/>
        </w:rPr>
        <w:t xml:space="preserve">The intended </w:t>
      </w:r>
      <w:r w:rsidR="0045319C">
        <w:rPr>
          <w:rFonts w:asciiTheme="minorHAnsi" w:hAnsiTheme="minorHAnsi"/>
          <w:sz w:val="20"/>
        </w:rPr>
        <w:t xml:space="preserve">workshop participants and </w:t>
      </w:r>
      <w:r w:rsidR="008C159D">
        <w:rPr>
          <w:rFonts w:asciiTheme="minorHAnsi" w:hAnsiTheme="minorHAnsi"/>
          <w:sz w:val="20"/>
        </w:rPr>
        <w:t>audience for</w:t>
      </w:r>
      <w:r w:rsidR="0045319C">
        <w:rPr>
          <w:rFonts w:asciiTheme="minorHAnsi" w:hAnsiTheme="minorHAnsi"/>
          <w:sz w:val="20"/>
        </w:rPr>
        <w:t xml:space="preserve"> published material comprised </w:t>
      </w:r>
      <w:r w:rsidR="008F5FAB">
        <w:rPr>
          <w:rFonts w:asciiTheme="minorHAnsi" w:hAnsiTheme="minorHAnsi"/>
          <w:sz w:val="20"/>
        </w:rPr>
        <w:t xml:space="preserve">key </w:t>
      </w:r>
      <w:r w:rsidR="002F2B34">
        <w:rPr>
          <w:rFonts w:asciiTheme="minorHAnsi" w:hAnsiTheme="minorHAnsi"/>
          <w:sz w:val="20"/>
        </w:rPr>
        <w:t xml:space="preserve">actors at the level of intergovernmental processes on </w:t>
      </w:r>
      <w:r w:rsidR="00553F75">
        <w:rPr>
          <w:rFonts w:asciiTheme="minorHAnsi" w:hAnsiTheme="minorHAnsi"/>
          <w:sz w:val="20"/>
        </w:rPr>
        <w:t>Financing for Development (FfD).</w:t>
      </w:r>
      <w:r w:rsidR="00AE71FF">
        <w:rPr>
          <w:rFonts w:asciiTheme="minorHAnsi" w:hAnsiTheme="minorHAnsi"/>
          <w:sz w:val="20"/>
        </w:rPr>
        <w:t xml:space="preserve"> In support of this objective, the main publication of </w:t>
      </w:r>
      <w:r w:rsidR="00E62F35">
        <w:rPr>
          <w:rFonts w:asciiTheme="minorHAnsi" w:hAnsiTheme="minorHAnsi"/>
          <w:sz w:val="20"/>
        </w:rPr>
        <w:t>the global knowledge-exchange component of the project was</w:t>
      </w:r>
      <w:r w:rsidR="009C1DF4">
        <w:rPr>
          <w:rFonts w:asciiTheme="minorHAnsi" w:hAnsiTheme="minorHAnsi"/>
          <w:sz w:val="20"/>
        </w:rPr>
        <w:t xml:space="preserve"> a </w:t>
      </w:r>
      <w:r w:rsidR="00995D35">
        <w:rPr>
          <w:rFonts w:asciiTheme="minorHAnsi" w:hAnsiTheme="minorHAnsi"/>
          <w:sz w:val="20"/>
        </w:rPr>
        <w:t>c</w:t>
      </w:r>
      <w:r w:rsidR="009C1DF4">
        <w:rPr>
          <w:rFonts w:asciiTheme="minorHAnsi" w:hAnsiTheme="minorHAnsi"/>
          <w:sz w:val="20"/>
        </w:rPr>
        <w:t xml:space="preserve">ompendium of </w:t>
      </w:r>
      <w:r w:rsidR="00122257">
        <w:rPr>
          <w:rFonts w:asciiTheme="minorHAnsi" w:hAnsiTheme="minorHAnsi"/>
          <w:sz w:val="20"/>
        </w:rPr>
        <w:t>e</w:t>
      </w:r>
      <w:r w:rsidR="009C1DF4">
        <w:rPr>
          <w:rFonts w:asciiTheme="minorHAnsi" w:hAnsiTheme="minorHAnsi"/>
          <w:sz w:val="20"/>
        </w:rPr>
        <w:t>xperience</w:t>
      </w:r>
      <w:r w:rsidR="00B71424">
        <w:rPr>
          <w:rFonts w:asciiTheme="minorHAnsi" w:hAnsiTheme="minorHAnsi"/>
          <w:sz w:val="20"/>
        </w:rPr>
        <w:t>s</w:t>
      </w:r>
      <w:r w:rsidR="00122257">
        <w:rPr>
          <w:rFonts w:asciiTheme="minorHAnsi" w:hAnsiTheme="minorHAnsi"/>
          <w:sz w:val="20"/>
        </w:rPr>
        <w:t xml:space="preserve"> (CoE)</w:t>
      </w:r>
      <w:r w:rsidR="00981911">
        <w:rPr>
          <w:rFonts w:asciiTheme="minorHAnsi" w:hAnsiTheme="minorHAnsi"/>
          <w:sz w:val="20"/>
        </w:rPr>
        <w:t xml:space="preserve">. The purpose of the </w:t>
      </w:r>
      <w:r w:rsidR="00122257">
        <w:rPr>
          <w:rFonts w:asciiTheme="minorHAnsi" w:hAnsiTheme="minorHAnsi"/>
          <w:sz w:val="20"/>
        </w:rPr>
        <w:t xml:space="preserve">CoE </w:t>
      </w:r>
      <w:r w:rsidR="004479D7">
        <w:rPr>
          <w:rFonts w:asciiTheme="minorHAnsi" w:hAnsiTheme="minorHAnsi"/>
          <w:sz w:val="20"/>
        </w:rPr>
        <w:t xml:space="preserve">was to provide a </w:t>
      </w:r>
      <w:r w:rsidR="00487021">
        <w:rPr>
          <w:rFonts w:asciiTheme="minorHAnsi" w:hAnsiTheme="minorHAnsi"/>
          <w:sz w:val="20"/>
        </w:rPr>
        <w:t xml:space="preserve">detailed overview of the </w:t>
      </w:r>
      <w:r w:rsidR="00097DF1">
        <w:rPr>
          <w:rFonts w:asciiTheme="minorHAnsi" w:hAnsiTheme="minorHAnsi"/>
          <w:sz w:val="20"/>
        </w:rPr>
        <w:t xml:space="preserve">application of the </w:t>
      </w:r>
      <w:r w:rsidR="00B71424">
        <w:rPr>
          <w:rFonts w:asciiTheme="minorHAnsi" w:hAnsiTheme="minorHAnsi"/>
          <w:sz w:val="20"/>
        </w:rPr>
        <w:t>INFF</w:t>
      </w:r>
      <w:r w:rsidR="00097DF1">
        <w:rPr>
          <w:rFonts w:asciiTheme="minorHAnsi" w:hAnsiTheme="minorHAnsi"/>
          <w:sz w:val="20"/>
        </w:rPr>
        <w:t xml:space="preserve"> methodology </w:t>
      </w:r>
      <w:r w:rsidR="00B70FA7">
        <w:rPr>
          <w:rFonts w:asciiTheme="minorHAnsi" w:hAnsiTheme="minorHAnsi"/>
          <w:sz w:val="20"/>
        </w:rPr>
        <w:t>within the project context</w:t>
      </w:r>
      <w:r w:rsidR="00487021">
        <w:rPr>
          <w:rFonts w:asciiTheme="minorHAnsi" w:hAnsiTheme="minorHAnsi"/>
          <w:sz w:val="20"/>
        </w:rPr>
        <w:t>, including experiences</w:t>
      </w:r>
      <w:r w:rsidR="00460E06">
        <w:rPr>
          <w:rFonts w:asciiTheme="minorHAnsi" w:hAnsiTheme="minorHAnsi"/>
          <w:sz w:val="20"/>
        </w:rPr>
        <w:t>;</w:t>
      </w:r>
      <w:r w:rsidR="00487021">
        <w:rPr>
          <w:rFonts w:asciiTheme="minorHAnsi" w:hAnsiTheme="minorHAnsi"/>
          <w:sz w:val="20"/>
        </w:rPr>
        <w:t xml:space="preserve"> lessons learned</w:t>
      </w:r>
      <w:r w:rsidR="00460E06">
        <w:rPr>
          <w:rFonts w:asciiTheme="minorHAnsi" w:hAnsiTheme="minorHAnsi"/>
          <w:sz w:val="20"/>
        </w:rPr>
        <w:t>;</w:t>
      </w:r>
      <w:r w:rsidR="00487021">
        <w:rPr>
          <w:rFonts w:asciiTheme="minorHAnsi" w:hAnsiTheme="minorHAnsi"/>
          <w:sz w:val="20"/>
        </w:rPr>
        <w:t xml:space="preserve"> and good practices at the level of the target countries, and </w:t>
      </w:r>
      <w:r w:rsidR="00E321F4">
        <w:rPr>
          <w:rFonts w:asciiTheme="minorHAnsi" w:hAnsiTheme="minorHAnsi"/>
          <w:sz w:val="20"/>
        </w:rPr>
        <w:t>actionable recommendations to inform INFF development and implementation by policymakers.</w:t>
      </w:r>
    </w:p>
    <w:p w14:paraId="623BC084" w14:textId="4BA12608" w:rsidR="00875969" w:rsidRPr="00BE433F" w:rsidRDefault="002F133A" w:rsidP="003A073D">
      <w:pPr>
        <w:pStyle w:val="Heading2"/>
      </w:pPr>
      <w:bookmarkStart w:id="14" w:name="_Toc210730310"/>
      <w:r w:rsidRPr="00BE433F">
        <w:t>T</w:t>
      </w:r>
      <w:r w:rsidR="00875969" w:rsidRPr="00BE433F">
        <w:t>arget countries</w:t>
      </w:r>
      <w:r w:rsidRPr="00BE433F">
        <w:t xml:space="preserve"> and beneficiaries</w:t>
      </w:r>
      <w:bookmarkEnd w:id="14"/>
    </w:p>
    <w:p w14:paraId="11CC98B7" w14:textId="6DB0185A" w:rsidR="002653FE" w:rsidRPr="002653FE" w:rsidRDefault="002653FE" w:rsidP="002653FE">
      <w:pPr>
        <w:pStyle w:val="Heading3"/>
        <w:rPr>
          <w:lang w:eastAsia="en-US"/>
        </w:rPr>
      </w:pPr>
      <w:r w:rsidRPr="002653FE">
        <w:rPr>
          <w:lang w:eastAsia="en-US"/>
        </w:rPr>
        <w:t>Target countries</w:t>
      </w:r>
    </w:p>
    <w:p w14:paraId="0C75078E" w14:textId="36B221E8" w:rsidR="00042A73" w:rsidRDefault="00AD4AF3" w:rsidP="00393C7E">
      <w:pPr>
        <w:pStyle w:val="BodyText"/>
      </w:pPr>
      <w:r>
        <w:t xml:space="preserve">Ten </w:t>
      </w:r>
      <w:r w:rsidR="003F143A">
        <w:t xml:space="preserve">countries from </w:t>
      </w:r>
      <w:r w:rsidR="00FB3AF3">
        <w:t>five regions were selected</w:t>
      </w:r>
      <w:r w:rsidR="00341E74">
        <w:t xml:space="preserve"> as target countries</w:t>
      </w:r>
      <w:r w:rsidR="00FB3AF3">
        <w:t xml:space="preserve"> for project engagement</w:t>
      </w:r>
      <w:r w:rsidR="00FB10B1">
        <w:t xml:space="preserve"> (see Exhibit </w:t>
      </w:r>
      <w:r w:rsidR="00426DF4">
        <w:t>5</w:t>
      </w:r>
      <w:r w:rsidR="00FB10B1">
        <w:t>)</w:t>
      </w:r>
      <w:r w:rsidR="00FB3AF3">
        <w:t xml:space="preserve">. </w:t>
      </w:r>
      <w:r w:rsidR="003129D6">
        <w:t>T</w:t>
      </w:r>
      <w:r w:rsidR="00921177">
        <w:t>h</w:t>
      </w:r>
      <w:r w:rsidR="00D3099D">
        <w:t>re</w:t>
      </w:r>
      <w:r w:rsidR="00921177">
        <w:t xml:space="preserve">e </w:t>
      </w:r>
      <w:r w:rsidR="00D3099D">
        <w:t>main criteria were used to select two countries from each region</w:t>
      </w:r>
      <w:r w:rsidR="00042A73">
        <w:t>:</w:t>
      </w:r>
    </w:p>
    <w:p w14:paraId="6BFB5FD9" w14:textId="756D6A25" w:rsidR="00042A73" w:rsidRPr="000459D6" w:rsidRDefault="000459D6" w:rsidP="003B672F">
      <w:pPr>
        <w:pStyle w:val="BodyText"/>
        <w:numPr>
          <w:ilvl w:val="0"/>
          <w:numId w:val="86"/>
        </w:numPr>
      </w:pPr>
      <w:r>
        <w:rPr>
          <w:lang w:val="en-GB"/>
        </w:rPr>
        <w:t>Demonstrated interest in the implementation of INFFs;</w:t>
      </w:r>
    </w:p>
    <w:p w14:paraId="421E5FB8" w14:textId="56E16F89" w:rsidR="000459D6" w:rsidRPr="005C1599" w:rsidRDefault="005176E9" w:rsidP="003B672F">
      <w:pPr>
        <w:pStyle w:val="BodyText"/>
        <w:numPr>
          <w:ilvl w:val="0"/>
          <w:numId w:val="86"/>
        </w:numPr>
      </w:pPr>
      <w:r>
        <w:rPr>
          <w:lang w:val="en-GB"/>
        </w:rPr>
        <w:t>Selection of a diverse set of countries, reflecting a regional balance that also included vulnerable countries</w:t>
      </w:r>
      <w:r w:rsidR="005C1599">
        <w:rPr>
          <w:lang w:val="en-GB"/>
        </w:rPr>
        <w:t>; and</w:t>
      </w:r>
    </w:p>
    <w:p w14:paraId="6574C11E" w14:textId="6FEBDF9C" w:rsidR="005C1599" w:rsidRDefault="006377BE" w:rsidP="003B672F">
      <w:pPr>
        <w:pStyle w:val="BodyText"/>
        <w:numPr>
          <w:ilvl w:val="0"/>
          <w:numId w:val="86"/>
        </w:numPr>
      </w:pPr>
      <w:r>
        <w:rPr>
          <w:lang w:val="en-GB"/>
        </w:rPr>
        <w:t xml:space="preserve">An existing working relationship </w:t>
      </w:r>
      <w:r w:rsidR="00F054B1">
        <w:rPr>
          <w:lang w:val="en-GB"/>
        </w:rPr>
        <w:t xml:space="preserve">on </w:t>
      </w:r>
      <w:r w:rsidR="00F054B1" w:rsidRPr="00F054B1">
        <w:t>integrated financing or</w:t>
      </w:r>
      <w:r w:rsidR="00F054B1" w:rsidRPr="00934FC0">
        <w:t xml:space="preserve"> </w:t>
      </w:r>
      <w:r w:rsidR="00944897">
        <w:t xml:space="preserve">a related thematic area </w:t>
      </w:r>
      <w:r w:rsidRPr="00934FC0">
        <w:t>with one or</w:t>
      </w:r>
      <w:r>
        <w:t xml:space="preserve"> </w:t>
      </w:r>
      <w:r w:rsidRPr="00934FC0">
        <w:t xml:space="preserve">more of the </w:t>
      </w:r>
      <w:r>
        <w:t xml:space="preserve">executing </w:t>
      </w:r>
      <w:r w:rsidRPr="00934FC0">
        <w:t>entities</w:t>
      </w:r>
    </w:p>
    <w:p w14:paraId="405B12A4" w14:textId="0A14C6CB" w:rsidR="00944897" w:rsidRPr="00D34E62" w:rsidRDefault="00944897" w:rsidP="00D34E62">
      <w:pPr>
        <w:pStyle w:val="BodyText"/>
        <w:rPr>
          <w:i/>
          <w:iCs/>
        </w:rPr>
      </w:pPr>
      <w:r w:rsidRPr="00D34E62">
        <w:rPr>
          <w:i/>
          <w:iCs/>
          <w:lang w:val="en-GB"/>
        </w:rPr>
        <w:t xml:space="preserve">Source: </w:t>
      </w:r>
      <w:r w:rsidR="00D34E62" w:rsidRPr="00D34E62">
        <w:rPr>
          <w:i/>
          <w:iCs/>
        </w:rPr>
        <w:t>Adapted from Draft Project document, Section 2.3, p.9</w:t>
      </w:r>
      <w:r w:rsidR="00D34E62">
        <w:rPr>
          <w:i/>
          <w:iCs/>
        </w:rPr>
        <w:t>.</w:t>
      </w:r>
    </w:p>
    <w:p w14:paraId="644F0580" w14:textId="65C723F3" w:rsidR="00761544" w:rsidRDefault="00190178" w:rsidP="00D34E62">
      <w:pPr>
        <w:pStyle w:val="BodyText"/>
      </w:pPr>
      <w:r>
        <w:t xml:space="preserve">The </w:t>
      </w:r>
      <w:r w:rsidR="0013583D">
        <w:t xml:space="preserve">target </w:t>
      </w:r>
      <w:r w:rsidR="00341E74">
        <w:t xml:space="preserve">countries each met one or more of the </w:t>
      </w:r>
      <w:r w:rsidR="00761544">
        <w:t>selection criteria</w:t>
      </w:r>
      <w:r w:rsidR="009A0665">
        <w:t xml:space="preserve"> and comp</w:t>
      </w:r>
      <w:r w:rsidR="00713C13">
        <w:t>r</w:t>
      </w:r>
      <w:r w:rsidR="009A0665">
        <w:t>ised</w:t>
      </w:r>
      <w:r w:rsidR="009A0665" w:rsidRPr="00495DCC">
        <w:t>: two least developed countries; three landlocked developing countries; one low-income country; five lower-middle income countries; and four upper middle-income countries.</w:t>
      </w:r>
      <w:r w:rsidR="009A0665" w:rsidRPr="00495DCC">
        <w:rPr>
          <w:rStyle w:val="FootnoteReference"/>
        </w:rPr>
        <w:footnoteReference w:id="37"/>
      </w:r>
    </w:p>
    <w:p w14:paraId="5E1CF742" w14:textId="2452F4CC" w:rsidR="002D68CF" w:rsidRPr="00D12632" w:rsidRDefault="002D68CF" w:rsidP="002D68CF">
      <w:pPr>
        <w:pStyle w:val="Caption"/>
        <w:spacing w:before="120"/>
      </w:pPr>
      <w:bookmarkStart w:id="15" w:name="_Toc210730338"/>
      <w:r w:rsidRPr="00D12632">
        <w:t xml:space="preserve">Exhibit </w:t>
      </w:r>
      <w:r w:rsidRPr="00D12632">
        <w:fldChar w:fldCharType="begin"/>
      </w:r>
      <w:r w:rsidRPr="00D12632">
        <w:instrText xml:space="preserve"> SEQ Table \* ARABIC </w:instrText>
      </w:r>
      <w:r w:rsidRPr="00D12632">
        <w:fldChar w:fldCharType="separate"/>
      </w:r>
      <w:r w:rsidR="00426DF4">
        <w:rPr>
          <w:noProof/>
        </w:rPr>
        <w:t>5</w:t>
      </w:r>
      <w:r w:rsidRPr="00D12632">
        <w:fldChar w:fldCharType="end"/>
      </w:r>
      <w:r w:rsidRPr="00D12632">
        <w:t xml:space="preserve"> </w:t>
      </w:r>
      <w:r w:rsidR="00880251">
        <w:t>Target countries</w:t>
      </w:r>
      <w:r w:rsidR="006F50E8">
        <w:rPr>
          <w:rStyle w:val="FootnoteReference"/>
        </w:rPr>
        <w:footnoteReference w:id="38"/>
      </w:r>
      <w:bookmarkEnd w:id="15"/>
    </w:p>
    <w:tbl>
      <w:tblPr>
        <w:tblStyle w:val="BlueTable"/>
        <w:tblW w:w="5000" w:type="pct"/>
        <w:jc w:val="center"/>
        <w:tblLook w:val="04A0" w:firstRow="1" w:lastRow="0" w:firstColumn="1" w:lastColumn="0" w:noHBand="0" w:noVBand="1"/>
      </w:tblPr>
      <w:tblGrid>
        <w:gridCol w:w="1168"/>
        <w:gridCol w:w="1234"/>
        <w:gridCol w:w="2227"/>
      </w:tblGrid>
      <w:tr w:rsidR="00880251" w:rsidRPr="008919C1" w14:paraId="5BA3ADB8" w14:textId="77777777" w:rsidTr="000F733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68" w:type="dxa"/>
          </w:tcPr>
          <w:p w14:paraId="18469883" w14:textId="2D758D65" w:rsidR="00880251" w:rsidRPr="00A61847" w:rsidRDefault="00880251" w:rsidP="009F32B1">
            <w:r w:rsidRPr="00A61847">
              <w:t xml:space="preserve">Region </w:t>
            </w:r>
          </w:p>
        </w:tc>
        <w:tc>
          <w:tcPr>
            <w:tcW w:w="1234" w:type="dxa"/>
          </w:tcPr>
          <w:p w14:paraId="224C4D98" w14:textId="51D9D92B" w:rsidR="00880251" w:rsidRPr="00A61847" w:rsidRDefault="00880251" w:rsidP="009F32B1">
            <w:pPr>
              <w:jc w:val="center"/>
              <w:cnfStyle w:val="100000000000" w:firstRow="1" w:lastRow="0" w:firstColumn="0" w:lastColumn="0" w:oddVBand="0" w:evenVBand="0" w:oddHBand="0" w:evenHBand="0" w:firstRowFirstColumn="0" w:firstRowLastColumn="0" w:lastRowFirstColumn="0" w:lastRowLastColumn="0"/>
            </w:pPr>
            <w:r w:rsidRPr="00A61847">
              <w:t>Country</w:t>
            </w:r>
          </w:p>
        </w:tc>
        <w:tc>
          <w:tcPr>
            <w:tcW w:w="2227" w:type="dxa"/>
          </w:tcPr>
          <w:p w14:paraId="6755A4E4" w14:textId="50B9DA06" w:rsidR="00880251" w:rsidRPr="00A61847" w:rsidRDefault="00880251" w:rsidP="008919C1">
            <w:pPr>
              <w:jc w:val="center"/>
              <w:cnfStyle w:val="100000000000" w:firstRow="1" w:lastRow="0" w:firstColumn="0" w:lastColumn="0" w:oddVBand="0" w:evenVBand="0" w:oddHBand="0" w:evenHBand="0" w:firstRowFirstColumn="0" w:firstRowLastColumn="0" w:lastRowFirstColumn="0" w:lastRowLastColumn="0"/>
            </w:pPr>
            <w:r w:rsidRPr="00A61847">
              <w:t>Status</w:t>
            </w:r>
          </w:p>
        </w:tc>
      </w:tr>
      <w:tr w:rsidR="002F52F1" w:rsidRPr="00041EA7" w14:paraId="6759D7EA"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314C6574" w14:textId="3210865D" w:rsidR="002F52F1" w:rsidRPr="00A61847" w:rsidRDefault="002F52F1" w:rsidP="009F32B1">
            <w:r w:rsidRPr="00A61847">
              <w:t>Africa</w:t>
            </w:r>
          </w:p>
        </w:tc>
        <w:tc>
          <w:tcPr>
            <w:tcW w:w="1234" w:type="dxa"/>
          </w:tcPr>
          <w:p w14:paraId="51D8350C" w14:textId="770C8307" w:rsidR="002F52F1" w:rsidRPr="00A61847" w:rsidRDefault="002F52F1" w:rsidP="00D861E5">
            <w:pPr>
              <w:pStyle w:val="Normal-sizedTableBullets"/>
              <w:numPr>
                <w:ilvl w:val="0"/>
                <w:numId w:val="0"/>
              </w:numPr>
              <w:cnfStyle w:val="000000000000" w:firstRow="0" w:lastRow="0" w:firstColumn="0" w:lastColumn="0" w:oddVBand="0" w:evenVBand="0" w:oddHBand="0" w:evenHBand="0" w:firstRowFirstColumn="0" w:firstRowLastColumn="0" w:lastRowFirstColumn="0" w:lastRowLastColumn="0"/>
            </w:pPr>
            <w:r w:rsidRPr="00A61847">
              <w:t>Burkina Faso</w:t>
            </w:r>
          </w:p>
        </w:tc>
        <w:tc>
          <w:tcPr>
            <w:tcW w:w="2227" w:type="dxa"/>
          </w:tcPr>
          <w:p w14:paraId="44E88B18" w14:textId="580D0657" w:rsidR="002F52F1" w:rsidRPr="00A61847" w:rsidRDefault="000E5793"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A61847">
              <w:t xml:space="preserve">Least developed country </w:t>
            </w:r>
          </w:p>
          <w:p w14:paraId="1A6399A7" w14:textId="77777777" w:rsidR="000E5793" w:rsidRPr="00A61847" w:rsidRDefault="000E5793"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A61847">
              <w:t>Landlocked developing country</w:t>
            </w:r>
          </w:p>
          <w:p w14:paraId="5ADCE569" w14:textId="531AE0DE" w:rsidR="000E5793" w:rsidRPr="00A61847" w:rsidRDefault="000E5793"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A61847">
              <w:t>Low-income country</w:t>
            </w:r>
          </w:p>
        </w:tc>
      </w:tr>
      <w:tr w:rsidR="002F52F1" w:rsidRPr="00041EA7" w14:paraId="3975CC6C"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7CBD25FD" w14:textId="7E60C4BC" w:rsidR="002F52F1" w:rsidRPr="00A61847" w:rsidRDefault="002F52F1" w:rsidP="009F32B1"/>
        </w:tc>
        <w:tc>
          <w:tcPr>
            <w:tcW w:w="1234" w:type="dxa"/>
          </w:tcPr>
          <w:p w14:paraId="186347A3" w14:textId="3EEAB8C8" w:rsidR="002F52F1" w:rsidRPr="00344E28"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344E28">
              <w:t>Zambia</w:t>
            </w:r>
          </w:p>
        </w:tc>
        <w:tc>
          <w:tcPr>
            <w:tcW w:w="2227" w:type="dxa"/>
          </w:tcPr>
          <w:p w14:paraId="1B4CF70E" w14:textId="77777777" w:rsidR="008919C1" w:rsidRPr="00344E28" w:rsidRDefault="008919C1" w:rsidP="008919C1">
            <w:pPr>
              <w:pStyle w:val="Normal-sizedTableBullets"/>
              <w:cnfStyle w:val="000000000000" w:firstRow="0" w:lastRow="0" w:firstColumn="0" w:lastColumn="0" w:oddVBand="0" w:evenVBand="0" w:oddHBand="0" w:evenHBand="0" w:firstRowFirstColumn="0" w:firstRowLastColumn="0" w:lastRowFirstColumn="0" w:lastRowLastColumn="0"/>
            </w:pPr>
            <w:r w:rsidRPr="00344E28">
              <w:t xml:space="preserve">Least developed country </w:t>
            </w:r>
          </w:p>
          <w:p w14:paraId="34B0D5DB" w14:textId="77777777" w:rsidR="008E497F" w:rsidRPr="00344E28" w:rsidRDefault="008E497F"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344E28">
              <w:t>Landlocked developing country</w:t>
            </w:r>
          </w:p>
          <w:p w14:paraId="7F675005" w14:textId="3C6606E7" w:rsidR="002F52F1" w:rsidRPr="00344E28" w:rsidRDefault="008E497F"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344E28">
              <w:t>Low</w:t>
            </w:r>
            <w:r w:rsidR="000F733C" w:rsidRPr="00344E28">
              <w:t>er middle</w:t>
            </w:r>
            <w:r w:rsidRPr="00344E28">
              <w:t>-income country</w:t>
            </w:r>
          </w:p>
        </w:tc>
      </w:tr>
      <w:tr w:rsidR="002F52F1" w:rsidRPr="00041EA7" w14:paraId="00149402"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773027C5" w14:textId="6BF6E231" w:rsidR="002F52F1" w:rsidRPr="00A61847" w:rsidRDefault="002F52F1" w:rsidP="009F32B1">
            <w:r w:rsidRPr="00A61847">
              <w:t>Asia and the Pacific</w:t>
            </w:r>
          </w:p>
        </w:tc>
        <w:tc>
          <w:tcPr>
            <w:tcW w:w="1234" w:type="dxa"/>
          </w:tcPr>
          <w:p w14:paraId="6E681791" w14:textId="578E726D"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Pakistan</w:t>
            </w:r>
          </w:p>
        </w:tc>
        <w:tc>
          <w:tcPr>
            <w:tcW w:w="2227" w:type="dxa"/>
          </w:tcPr>
          <w:p w14:paraId="0D7296EC" w14:textId="6872D94A" w:rsidR="002F52F1" w:rsidRPr="00A61847" w:rsidRDefault="000F733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Lower middle-income country</w:t>
            </w:r>
          </w:p>
        </w:tc>
      </w:tr>
      <w:tr w:rsidR="002F52F1" w:rsidRPr="00041EA7" w14:paraId="32BCF3DD"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307ED403" w14:textId="63DF5CC3" w:rsidR="002F52F1" w:rsidRPr="00A61847" w:rsidRDefault="002F52F1" w:rsidP="009F32B1"/>
        </w:tc>
        <w:tc>
          <w:tcPr>
            <w:tcW w:w="1234" w:type="dxa"/>
          </w:tcPr>
          <w:p w14:paraId="103AEE48" w14:textId="7A2B82BA"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Samoa</w:t>
            </w:r>
          </w:p>
        </w:tc>
        <w:tc>
          <w:tcPr>
            <w:tcW w:w="2227" w:type="dxa"/>
          </w:tcPr>
          <w:p w14:paraId="4B0C5245" w14:textId="5B0DCFD1" w:rsidR="002F52F1" w:rsidRPr="00A61847" w:rsidRDefault="000F733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Lower middle-income country</w:t>
            </w:r>
          </w:p>
        </w:tc>
      </w:tr>
      <w:tr w:rsidR="002F52F1" w:rsidRPr="00041EA7" w14:paraId="6F15EF12"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15E4341D" w14:textId="5554E6EF" w:rsidR="002F52F1" w:rsidRPr="00A61847" w:rsidRDefault="002F52F1" w:rsidP="009F32B1">
            <w:r w:rsidRPr="00A61847">
              <w:t>Europe</w:t>
            </w:r>
          </w:p>
        </w:tc>
        <w:tc>
          <w:tcPr>
            <w:tcW w:w="1234" w:type="dxa"/>
          </w:tcPr>
          <w:p w14:paraId="006F8CF0" w14:textId="4146EA28"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Belarus</w:t>
            </w:r>
          </w:p>
        </w:tc>
        <w:tc>
          <w:tcPr>
            <w:tcW w:w="2227" w:type="dxa"/>
          </w:tcPr>
          <w:p w14:paraId="6EAFF34E" w14:textId="711810F2" w:rsidR="002F52F1" w:rsidRPr="00A61847" w:rsidRDefault="001E79DA"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Upper middle-income country</w:t>
            </w:r>
          </w:p>
        </w:tc>
      </w:tr>
      <w:tr w:rsidR="002F52F1" w:rsidRPr="00041EA7" w14:paraId="3B9AB22E"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78A6BDD3" w14:textId="77777777" w:rsidR="002F52F1" w:rsidRPr="00A61847" w:rsidRDefault="002F52F1" w:rsidP="009F32B1"/>
        </w:tc>
        <w:tc>
          <w:tcPr>
            <w:tcW w:w="1234" w:type="dxa"/>
          </w:tcPr>
          <w:p w14:paraId="2FCD4EF9" w14:textId="241A8784" w:rsidR="002F52F1" w:rsidRPr="00A6184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A61847">
              <w:t>Kyrgyzstan</w:t>
            </w:r>
          </w:p>
        </w:tc>
        <w:tc>
          <w:tcPr>
            <w:tcW w:w="2227" w:type="dxa"/>
          </w:tcPr>
          <w:p w14:paraId="2652DB25" w14:textId="77777777" w:rsidR="00E9455C" w:rsidRPr="00A61847" w:rsidRDefault="00E9455C" w:rsidP="00543AA7">
            <w:pPr>
              <w:pStyle w:val="Normal-sizedTableBullets"/>
              <w:cnfStyle w:val="000000000000" w:firstRow="0" w:lastRow="0" w:firstColumn="0" w:lastColumn="0" w:oddVBand="0" w:evenVBand="0" w:oddHBand="0" w:evenHBand="0" w:firstRowFirstColumn="0" w:firstRowLastColumn="0" w:lastRowFirstColumn="0" w:lastRowLastColumn="0"/>
            </w:pPr>
            <w:r w:rsidRPr="00A61847">
              <w:t>Landlocked developing country</w:t>
            </w:r>
          </w:p>
          <w:p w14:paraId="725B8217" w14:textId="7D692659" w:rsidR="002F52F1" w:rsidRPr="00A61847" w:rsidRDefault="00E00F3D"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E00F3D">
              <w:t>Lower</w:t>
            </w:r>
            <w:r w:rsidR="00E9455C" w:rsidRPr="00E00F3D">
              <w:t xml:space="preserve"> middle-income country</w:t>
            </w:r>
          </w:p>
        </w:tc>
      </w:tr>
      <w:tr w:rsidR="002F52F1" w:rsidRPr="00041EA7" w14:paraId="17E186B8"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353FE8EA" w14:textId="5898CACE" w:rsidR="002F52F1" w:rsidRPr="00A61847" w:rsidRDefault="002F52F1" w:rsidP="009F32B1">
            <w:r w:rsidRPr="00A61847">
              <w:t>Latin America and the Caribbean</w:t>
            </w:r>
          </w:p>
        </w:tc>
        <w:tc>
          <w:tcPr>
            <w:tcW w:w="1234" w:type="dxa"/>
          </w:tcPr>
          <w:p w14:paraId="6FD72A4D" w14:textId="3F6FA0D4"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Costa Rica</w:t>
            </w:r>
          </w:p>
        </w:tc>
        <w:tc>
          <w:tcPr>
            <w:tcW w:w="2227" w:type="dxa"/>
          </w:tcPr>
          <w:p w14:paraId="2C7ECF40" w14:textId="6AA864FD" w:rsidR="002F52F1" w:rsidRPr="00A61847" w:rsidRDefault="00E9455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Upper middle-income country</w:t>
            </w:r>
          </w:p>
        </w:tc>
      </w:tr>
      <w:tr w:rsidR="002F52F1" w:rsidRPr="00041EA7" w14:paraId="6E9F62E3"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12E78863" w14:textId="77777777" w:rsidR="002F52F1" w:rsidRPr="00A61847" w:rsidRDefault="002F52F1" w:rsidP="009F32B1"/>
        </w:tc>
        <w:tc>
          <w:tcPr>
            <w:tcW w:w="1234" w:type="dxa"/>
          </w:tcPr>
          <w:p w14:paraId="5767EB12" w14:textId="3DF8C68B"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Dominican Republic</w:t>
            </w:r>
          </w:p>
        </w:tc>
        <w:tc>
          <w:tcPr>
            <w:tcW w:w="2227" w:type="dxa"/>
          </w:tcPr>
          <w:p w14:paraId="48B1F8B7" w14:textId="59374036" w:rsidR="002F52F1" w:rsidRPr="00A61847" w:rsidRDefault="00E9455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Upper middle-income country</w:t>
            </w:r>
          </w:p>
        </w:tc>
      </w:tr>
      <w:tr w:rsidR="002F52F1" w:rsidRPr="00041EA7" w14:paraId="29CCF899"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restart"/>
            <w:vAlign w:val="center"/>
          </w:tcPr>
          <w:p w14:paraId="5D653C69" w14:textId="3D654142" w:rsidR="002F52F1" w:rsidRPr="00A61847" w:rsidRDefault="002F52F1" w:rsidP="009F32B1">
            <w:r w:rsidRPr="00A61847">
              <w:t>Western Asia</w:t>
            </w:r>
          </w:p>
        </w:tc>
        <w:tc>
          <w:tcPr>
            <w:tcW w:w="1234" w:type="dxa"/>
          </w:tcPr>
          <w:p w14:paraId="0FCB6582" w14:textId="30F58D79"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Egypt</w:t>
            </w:r>
          </w:p>
        </w:tc>
        <w:tc>
          <w:tcPr>
            <w:tcW w:w="2227" w:type="dxa"/>
          </w:tcPr>
          <w:p w14:paraId="0901EC25" w14:textId="2707DFD9" w:rsidR="002F52F1" w:rsidRPr="00A61847" w:rsidRDefault="00E9455C"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Lower middle-income country</w:t>
            </w:r>
          </w:p>
        </w:tc>
      </w:tr>
      <w:tr w:rsidR="002F52F1" w:rsidRPr="00041EA7" w14:paraId="5F0B96A0" w14:textId="77777777" w:rsidTr="000F733C">
        <w:trPr>
          <w:jc w:val="center"/>
        </w:trPr>
        <w:tc>
          <w:tcPr>
            <w:cnfStyle w:val="001000000000" w:firstRow="0" w:lastRow="0" w:firstColumn="1" w:lastColumn="0" w:oddVBand="0" w:evenVBand="0" w:oddHBand="0" w:evenHBand="0" w:firstRowFirstColumn="0" w:firstRowLastColumn="0" w:lastRowFirstColumn="0" w:lastRowLastColumn="0"/>
            <w:tcW w:w="1168" w:type="dxa"/>
            <w:vMerge/>
            <w:vAlign w:val="center"/>
          </w:tcPr>
          <w:p w14:paraId="091B7030" w14:textId="77777777" w:rsidR="002F52F1" w:rsidRPr="00A61847" w:rsidRDefault="002F52F1" w:rsidP="009F32B1"/>
        </w:tc>
        <w:tc>
          <w:tcPr>
            <w:tcW w:w="1234" w:type="dxa"/>
          </w:tcPr>
          <w:p w14:paraId="7CAB8E17" w14:textId="0FA04115" w:rsidR="002F52F1" w:rsidRPr="00FB7A37" w:rsidRDefault="002F52F1" w:rsidP="00D861E5">
            <w:pPr>
              <w:pStyle w:val="Normal-sizedTableBullets"/>
              <w:numPr>
                <w:ilvl w:val="0"/>
                <w:numId w:val="0"/>
              </w:numPr>
              <w:spacing w:before="60" w:after="60"/>
              <w:cnfStyle w:val="000000000000" w:firstRow="0" w:lastRow="0" w:firstColumn="0" w:lastColumn="0" w:oddVBand="0" w:evenVBand="0" w:oddHBand="0" w:evenHBand="0" w:firstRowFirstColumn="0" w:firstRowLastColumn="0" w:lastRowFirstColumn="0" w:lastRowLastColumn="0"/>
            </w:pPr>
            <w:r w:rsidRPr="00FB7A37">
              <w:t>Jordan</w:t>
            </w:r>
          </w:p>
        </w:tc>
        <w:tc>
          <w:tcPr>
            <w:tcW w:w="2227" w:type="dxa"/>
          </w:tcPr>
          <w:p w14:paraId="5C771272" w14:textId="1B1FC012" w:rsidR="002F52F1" w:rsidRPr="00A61847" w:rsidRDefault="004C2DF1" w:rsidP="00543A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A61847">
              <w:t>Upper middle-income country</w:t>
            </w:r>
          </w:p>
        </w:tc>
      </w:tr>
    </w:tbl>
    <w:p w14:paraId="7649CFDA" w14:textId="49281A62" w:rsidR="00042A73" w:rsidRDefault="004751B6" w:rsidP="00393C7E">
      <w:pPr>
        <w:pStyle w:val="BodyText"/>
      </w:pPr>
      <w:r w:rsidRPr="00D34E62">
        <w:rPr>
          <w:i/>
          <w:iCs/>
          <w:lang w:val="en-GB"/>
        </w:rPr>
        <w:t xml:space="preserve">Source: </w:t>
      </w:r>
      <w:r w:rsidR="00107965">
        <w:rPr>
          <w:i/>
          <w:iCs/>
          <w:lang w:val="en-GB"/>
        </w:rPr>
        <w:t xml:space="preserve">World Economic </w:t>
      </w:r>
      <w:r w:rsidR="00EF1EA7">
        <w:rPr>
          <w:i/>
          <w:iCs/>
          <w:lang w:val="en-GB"/>
        </w:rPr>
        <w:t xml:space="preserve">Situation and Prospects: Statistical Annex, </w:t>
      </w:r>
      <w:r w:rsidR="00E01C4A">
        <w:rPr>
          <w:i/>
          <w:iCs/>
        </w:rPr>
        <w:t>2022</w:t>
      </w:r>
      <w:r w:rsidR="006B5CB8">
        <w:rPr>
          <w:i/>
          <w:iCs/>
        </w:rPr>
        <w:t>.</w:t>
      </w:r>
    </w:p>
    <w:p w14:paraId="5A54281B" w14:textId="3301D49F" w:rsidR="003A3399" w:rsidRPr="002653FE" w:rsidRDefault="003A3399" w:rsidP="003A3399">
      <w:pPr>
        <w:pStyle w:val="Heading3"/>
        <w:rPr>
          <w:lang w:eastAsia="en-US"/>
        </w:rPr>
      </w:pPr>
      <w:r>
        <w:rPr>
          <w:lang w:eastAsia="en-US"/>
        </w:rPr>
        <w:t>Beneficiaries</w:t>
      </w:r>
    </w:p>
    <w:p w14:paraId="217168B6" w14:textId="77777777" w:rsidR="00F52FCF" w:rsidRDefault="007F12E7" w:rsidP="00393C7E">
      <w:pPr>
        <w:pStyle w:val="BodyText"/>
      </w:pPr>
      <w:r>
        <w:t>A</w:t>
      </w:r>
      <w:r w:rsidR="008325FE">
        <w:t xml:space="preserve"> </w:t>
      </w:r>
      <w:r w:rsidR="00272F45">
        <w:t>stakeholder analysis and capacity assessment</w:t>
      </w:r>
      <w:r w:rsidR="008325FE">
        <w:t xml:space="preserve"> </w:t>
      </w:r>
      <w:r>
        <w:t>during project development</w:t>
      </w:r>
      <w:r w:rsidR="00272F45">
        <w:t xml:space="preserve"> </w:t>
      </w:r>
      <w:r w:rsidR="004E7AA6">
        <w:t xml:space="preserve">was used to identify the </w:t>
      </w:r>
      <w:r w:rsidR="004E7AA6">
        <w:lastRenderedPageBreak/>
        <w:t xml:space="preserve">target beneficiaries of the INFF </w:t>
      </w:r>
      <w:r w:rsidR="001B4320">
        <w:t>project</w:t>
      </w:r>
      <w:r w:rsidR="004E7AA6">
        <w:t xml:space="preserve">. </w:t>
      </w:r>
      <w:r w:rsidR="00F61AD0">
        <w:t xml:space="preserve">The target </w:t>
      </w:r>
      <w:r w:rsidR="003203CB">
        <w:t xml:space="preserve">project </w:t>
      </w:r>
      <w:r w:rsidR="00F61AD0">
        <w:t>beneficiaries comprise</w:t>
      </w:r>
      <w:r w:rsidR="00A26E76">
        <w:t>:</w:t>
      </w:r>
      <w:r w:rsidR="00F61AD0">
        <w:t xml:space="preserve"> </w:t>
      </w:r>
      <w:r w:rsidR="00030ECE">
        <w:t xml:space="preserve">country governments; </w:t>
      </w:r>
      <w:r w:rsidR="0072273E">
        <w:t>key decision-makers</w:t>
      </w:r>
      <w:r w:rsidR="00030ECE">
        <w:t xml:space="preserve"> </w:t>
      </w:r>
      <w:r w:rsidR="00D90B88">
        <w:t xml:space="preserve">and senior staff </w:t>
      </w:r>
      <w:r w:rsidR="005F0772">
        <w:t xml:space="preserve">of </w:t>
      </w:r>
      <w:r w:rsidR="00030ECE">
        <w:t xml:space="preserve">public sector </w:t>
      </w:r>
      <w:r w:rsidR="005F0772">
        <w:t xml:space="preserve">ministries; the </w:t>
      </w:r>
      <w:r w:rsidR="00CF2CA8">
        <w:t xml:space="preserve">management </w:t>
      </w:r>
      <w:r w:rsidR="0072273E">
        <w:t xml:space="preserve">and senior </w:t>
      </w:r>
      <w:r w:rsidR="00CF2CA8">
        <w:t>staff of private sector firms; and representative</w:t>
      </w:r>
      <w:r w:rsidR="007C3656">
        <w:t>s</w:t>
      </w:r>
      <w:r w:rsidR="00CF2CA8">
        <w:t xml:space="preserve"> of State development partners. </w:t>
      </w:r>
      <w:r w:rsidR="008F1908">
        <w:t xml:space="preserve">These </w:t>
      </w:r>
      <w:r w:rsidR="003B6CA5">
        <w:t xml:space="preserve">categories of project stakeholders are actively involved in </w:t>
      </w:r>
      <w:r w:rsidR="008F1908">
        <w:t xml:space="preserve">development financing in target </w:t>
      </w:r>
      <w:r w:rsidR="00794F6B">
        <w:t xml:space="preserve">countries, as well as non-project countries that have an interest in INFF implementation. </w:t>
      </w:r>
    </w:p>
    <w:p w14:paraId="6DC113DA" w14:textId="38BD2EDC" w:rsidR="00794F6B" w:rsidRDefault="00CB1411" w:rsidP="00393C7E">
      <w:pPr>
        <w:pStyle w:val="BodyText"/>
      </w:pPr>
      <w:r>
        <w:t>An</w:t>
      </w:r>
      <w:r w:rsidR="00F52FCF">
        <w:t xml:space="preserve">nex </w:t>
      </w:r>
      <w:r w:rsidR="00582A28">
        <w:t>3</w:t>
      </w:r>
      <w:r w:rsidR="00F52FCF">
        <w:t xml:space="preserve"> presents an</w:t>
      </w:r>
      <w:r>
        <w:t xml:space="preserve"> overview of the target project beneficiaries, </w:t>
      </w:r>
      <w:r w:rsidR="00945839">
        <w:t xml:space="preserve">including </w:t>
      </w:r>
      <w:r w:rsidR="007A68CE">
        <w:t xml:space="preserve">their role in development financing and the capacity gaps </w:t>
      </w:r>
      <w:r w:rsidR="00FC0625">
        <w:t xml:space="preserve">in their organisations </w:t>
      </w:r>
      <w:r w:rsidR="007A68CE">
        <w:t>that</w:t>
      </w:r>
      <w:r w:rsidR="0040429F">
        <w:t xml:space="preserve"> </w:t>
      </w:r>
      <w:r w:rsidR="000F7006">
        <w:t xml:space="preserve">were identified for </w:t>
      </w:r>
      <w:r w:rsidR="007A68CE">
        <w:t>project</w:t>
      </w:r>
      <w:r w:rsidR="001E7D44">
        <w:t xml:space="preserve"> support</w:t>
      </w:r>
      <w:r w:rsidR="007A68CE">
        <w:t>.</w:t>
      </w:r>
    </w:p>
    <w:p w14:paraId="76DF2C02" w14:textId="3BD5D7D3" w:rsidR="00875969" w:rsidRPr="009562A2" w:rsidRDefault="00875969" w:rsidP="00393C7E">
      <w:pPr>
        <w:pStyle w:val="Heading2"/>
      </w:pPr>
      <w:bookmarkStart w:id="16" w:name="_Toc210730311"/>
      <w:r w:rsidRPr="009562A2">
        <w:t>Key partners and other key stakeholders</w:t>
      </w:r>
      <w:bookmarkEnd w:id="16"/>
    </w:p>
    <w:p w14:paraId="5D1BCE68" w14:textId="38AB9B87" w:rsidR="00181CC8" w:rsidRDefault="001F58B5" w:rsidP="00393C7E">
      <w:pPr>
        <w:pStyle w:val="BodyText"/>
      </w:pPr>
      <w:r>
        <w:t>Based on its role a</w:t>
      </w:r>
      <w:r w:rsidR="00590CC8">
        <w:t>s the Lead Executing Agency</w:t>
      </w:r>
      <w:r w:rsidR="00F85C68">
        <w:t xml:space="preserve"> for the project</w:t>
      </w:r>
      <w:r w:rsidR="00590CC8">
        <w:t xml:space="preserve">, </w:t>
      </w:r>
      <w:r w:rsidR="008916EC">
        <w:t>UNDESA</w:t>
      </w:r>
      <w:r w:rsidR="003E69E1">
        <w:t>-FSDO was responsible for coordinati</w:t>
      </w:r>
      <w:r w:rsidR="00564816">
        <w:t>ng</w:t>
      </w:r>
      <w:r w:rsidR="00762748">
        <w:t xml:space="preserve"> p</w:t>
      </w:r>
      <w:r w:rsidR="003419F2">
        <w:t>roject implementation</w:t>
      </w:r>
      <w:r w:rsidR="00BB2796">
        <w:t>,</w:t>
      </w:r>
      <w:r w:rsidR="00762748">
        <w:t xml:space="preserve"> and</w:t>
      </w:r>
      <w:r w:rsidR="00D854C3">
        <w:t xml:space="preserve"> </w:t>
      </w:r>
      <w:r w:rsidR="00FA2BF1">
        <w:t xml:space="preserve">leading the </w:t>
      </w:r>
      <w:r w:rsidR="00C24984">
        <w:t>development of the INFF methodology</w:t>
      </w:r>
      <w:r w:rsidR="000F458A">
        <w:t xml:space="preserve">. In collaboration with </w:t>
      </w:r>
      <w:r w:rsidR="00746F00">
        <w:t xml:space="preserve">the </w:t>
      </w:r>
      <w:r w:rsidR="000F458A">
        <w:t>IATF</w:t>
      </w:r>
      <w:r w:rsidR="00E9107E">
        <w:t xml:space="preserve"> on Financing for Development (FfD), UNDESA </w:t>
      </w:r>
      <w:r w:rsidR="00181CC8">
        <w:t>developed the global guidance material for the project</w:t>
      </w:r>
      <w:r w:rsidR="00746F00">
        <w:t xml:space="preserve"> </w:t>
      </w:r>
      <w:r w:rsidR="009D1804">
        <w:t xml:space="preserve">to inform the implementation of </w:t>
      </w:r>
      <w:r w:rsidR="00F41408">
        <w:t>the main project activities.</w:t>
      </w:r>
    </w:p>
    <w:p w14:paraId="4C5CEBB3" w14:textId="610A21C4" w:rsidR="00573F7B" w:rsidRDefault="00396F9C" w:rsidP="00393C7E">
      <w:pPr>
        <w:pStyle w:val="BodyText"/>
      </w:pPr>
      <w:r>
        <w:t xml:space="preserve">The </w:t>
      </w:r>
      <w:r w:rsidR="009F7191">
        <w:t>implementation</w:t>
      </w:r>
      <w:r w:rsidR="000A0C06">
        <w:t>/ execution</w:t>
      </w:r>
      <w:r w:rsidR="009F7191">
        <w:t xml:space="preserve"> </w:t>
      </w:r>
      <w:r>
        <w:t xml:space="preserve">of project activities was </w:t>
      </w:r>
      <w:r w:rsidR="00823133">
        <w:t xml:space="preserve">the </w:t>
      </w:r>
      <w:r w:rsidR="00707AF1">
        <w:t xml:space="preserve">joint responsibility of </w:t>
      </w:r>
      <w:r w:rsidR="00EF16D6">
        <w:t xml:space="preserve">the five RECs and </w:t>
      </w:r>
      <w:r w:rsidR="00707AF1">
        <w:t>UNCTAD</w:t>
      </w:r>
      <w:r w:rsidR="00E06D2E">
        <w:t xml:space="preserve">. </w:t>
      </w:r>
      <w:r w:rsidR="00560BDC">
        <w:t xml:space="preserve">In coordination with UNDESA-FSDO, the </w:t>
      </w:r>
      <w:r w:rsidR="00A43292">
        <w:t xml:space="preserve">project executing agencies </w:t>
      </w:r>
      <w:r w:rsidR="00346A77">
        <w:t xml:space="preserve">conducted </w:t>
      </w:r>
      <w:r w:rsidR="00A43292">
        <w:t xml:space="preserve">inception </w:t>
      </w:r>
      <w:r w:rsidR="00C000F0">
        <w:t>meetings</w:t>
      </w:r>
      <w:r w:rsidR="00897970">
        <w:t xml:space="preserve"> and/ or tra</w:t>
      </w:r>
      <w:r w:rsidR="00626E61">
        <w:t>i</w:t>
      </w:r>
      <w:r w:rsidR="00897970">
        <w:t>nings</w:t>
      </w:r>
      <w:r w:rsidR="00C000F0">
        <w:t xml:space="preserve"> </w:t>
      </w:r>
      <w:r w:rsidR="006B285D">
        <w:t>to introduce the INFF methodology to the target countries</w:t>
      </w:r>
      <w:r w:rsidR="00626E61">
        <w:t>. T</w:t>
      </w:r>
      <w:r w:rsidR="00102088">
        <w:t xml:space="preserve">o support the </w:t>
      </w:r>
      <w:r w:rsidR="00E34750">
        <w:t xml:space="preserve">application of the methodology </w:t>
      </w:r>
      <w:r w:rsidR="007D79D7">
        <w:t>within</w:t>
      </w:r>
      <w:r w:rsidR="00AC3798">
        <w:t xml:space="preserve"> t</w:t>
      </w:r>
      <w:r w:rsidR="00626E61">
        <w:t>h</w:t>
      </w:r>
      <w:r w:rsidR="00102088">
        <w:t xml:space="preserve">e </w:t>
      </w:r>
      <w:r w:rsidR="00AC3798">
        <w:t>targ</w:t>
      </w:r>
      <w:r w:rsidR="00EA0EBB">
        <w:t>e</w:t>
      </w:r>
      <w:r w:rsidR="00AC3798">
        <w:t xml:space="preserve">t countries, the </w:t>
      </w:r>
      <w:r w:rsidR="00102088">
        <w:t xml:space="preserve">executing agencies </w:t>
      </w:r>
      <w:r w:rsidR="0035302F">
        <w:t xml:space="preserve">were responsible for </w:t>
      </w:r>
      <w:r w:rsidR="001B09AB">
        <w:t>provid</w:t>
      </w:r>
      <w:r w:rsidR="0035302F">
        <w:t>ing</w:t>
      </w:r>
      <w:r w:rsidR="001B09AB">
        <w:t xml:space="preserve"> </w:t>
      </w:r>
      <w:r w:rsidR="006156BB">
        <w:t>ta</w:t>
      </w:r>
      <w:r w:rsidR="0035302F">
        <w:t>rgeted</w:t>
      </w:r>
      <w:r w:rsidR="006156BB">
        <w:t xml:space="preserve"> </w:t>
      </w:r>
      <w:r w:rsidR="001B09AB">
        <w:t>technic</w:t>
      </w:r>
      <w:r w:rsidR="006156BB">
        <w:t xml:space="preserve">al assistance in the form of country-specific workshops </w:t>
      </w:r>
      <w:r w:rsidR="00207CCE">
        <w:t>and exchange. The</w:t>
      </w:r>
      <w:r w:rsidR="00F66746">
        <w:t>y</w:t>
      </w:r>
      <w:r w:rsidR="002A3060">
        <w:t xml:space="preserve"> </w:t>
      </w:r>
      <w:r w:rsidR="0035302F">
        <w:t xml:space="preserve">were also responsible for </w:t>
      </w:r>
      <w:r w:rsidR="00D0215C">
        <w:t xml:space="preserve">facilitating </w:t>
      </w:r>
      <w:r w:rsidR="00BC3403">
        <w:t xml:space="preserve">regional workshops </w:t>
      </w:r>
      <w:r w:rsidR="000D541B">
        <w:t xml:space="preserve">and </w:t>
      </w:r>
      <w:r w:rsidR="006F42FD">
        <w:t>supporting the facilitation of</w:t>
      </w:r>
      <w:r w:rsidR="0078130B">
        <w:t xml:space="preserve"> the </w:t>
      </w:r>
      <w:r w:rsidR="000D541B">
        <w:t xml:space="preserve">global </w:t>
      </w:r>
      <w:r w:rsidR="0078130B">
        <w:t xml:space="preserve">end-of-project </w:t>
      </w:r>
      <w:r w:rsidR="000D541B">
        <w:t>workshop</w:t>
      </w:r>
      <w:r w:rsidR="0078130B">
        <w:t>. These workshops</w:t>
      </w:r>
      <w:r w:rsidR="00FB71C4">
        <w:t xml:space="preserve"> were designed to </w:t>
      </w:r>
      <w:r w:rsidR="001C3B1E">
        <w:t>facilitate</w:t>
      </w:r>
      <w:r w:rsidR="00FB71C4">
        <w:t xml:space="preserve"> </w:t>
      </w:r>
      <w:r w:rsidR="00BD45D6">
        <w:t>the</w:t>
      </w:r>
      <w:r w:rsidR="0003081E">
        <w:t xml:space="preserve"> </w:t>
      </w:r>
      <w:r w:rsidR="00EA0EBB">
        <w:t>exchange</w:t>
      </w:r>
      <w:r w:rsidR="00BD45D6">
        <w:t xml:space="preserve"> of </w:t>
      </w:r>
      <w:r w:rsidR="00A71760">
        <w:t xml:space="preserve">knowledge and </w:t>
      </w:r>
      <w:r w:rsidR="00BD45D6">
        <w:t xml:space="preserve">the </w:t>
      </w:r>
      <w:r w:rsidR="00EA0EBB">
        <w:t>shar</w:t>
      </w:r>
      <w:r w:rsidR="00BD45D6">
        <w:t xml:space="preserve">ing of </w:t>
      </w:r>
      <w:r w:rsidR="004B00FC">
        <w:t xml:space="preserve">experience; </w:t>
      </w:r>
      <w:r w:rsidR="00A71760">
        <w:t>lessons learned</w:t>
      </w:r>
      <w:r w:rsidR="004B00FC">
        <w:t>;</w:t>
      </w:r>
      <w:r w:rsidR="00A71760">
        <w:t xml:space="preserve"> and good practices </w:t>
      </w:r>
      <w:r w:rsidR="00AC0410">
        <w:t xml:space="preserve">on the development and implementation of INFFs </w:t>
      </w:r>
      <w:r w:rsidR="00BD45D6">
        <w:t>by the target countries</w:t>
      </w:r>
      <w:r w:rsidR="00573F7B">
        <w:t xml:space="preserve">. </w:t>
      </w:r>
      <w:r w:rsidR="00DD45ED">
        <w:t xml:space="preserve">The executing agencies were further responsible for </w:t>
      </w:r>
      <w:r w:rsidR="0035302F">
        <w:t xml:space="preserve">supporting the </w:t>
      </w:r>
      <w:r w:rsidR="00033B55">
        <w:t xml:space="preserve">development of </w:t>
      </w:r>
      <w:r w:rsidR="00F44401">
        <w:t>a compe</w:t>
      </w:r>
      <w:r w:rsidR="006348C0">
        <w:t>ndium of experiences on the INFF project</w:t>
      </w:r>
      <w:r w:rsidR="000B7E1E">
        <w:t>, to inform future</w:t>
      </w:r>
      <w:r w:rsidR="003A368A">
        <w:t xml:space="preserve"> uptake of the INFF methodology.</w:t>
      </w:r>
    </w:p>
    <w:p w14:paraId="03339B8A" w14:textId="4AF24C2C" w:rsidR="00181CC8" w:rsidRDefault="0081177A" w:rsidP="00393C7E">
      <w:pPr>
        <w:pStyle w:val="BodyText"/>
      </w:pPr>
      <w:r>
        <w:t xml:space="preserve">In coordination with the executing entities, </w:t>
      </w:r>
      <w:r w:rsidR="002C2088">
        <w:t>UN</w:t>
      </w:r>
      <w:r w:rsidR="00953613">
        <w:t xml:space="preserve">DESA-FSDO </w:t>
      </w:r>
      <w:r w:rsidR="00E1631D">
        <w:t xml:space="preserve">also engaged cooperating entities from within the UN </w:t>
      </w:r>
      <w:r w:rsidR="00BA52D8">
        <w:t xml:space="preserve">Secretariat and </w:t>
      </w:r>
      <w:r w:rsidR="00E1631D">
        <w:t>System</w:t>
      </w:r>
      <w:r w:rsidR="00824638">
        <w:t>,</w:t>
      </w:r>
      <w:r w:rsidR="001951E5">
        <w:rPr>
          <w:rStyle w:val="FootnoteReference"/>
        </w:rPr>
        <w:footnoteReference w:id="39"/>
      </w:r>
      <w:r w:rsidR="00824638">
        <w:t xml:space="preserve"> to facilitate elements of project</w:t>
      </w:r>
      <w:r w:rsidR="00145BEF">
        <w:t xml:space="preserve"> implementation</w:t>
      </w:r>
      <w:r w:rsidR="00824638">
        <w:t xml:space="preserve">. </w:t>
      </w:r>
      <w:r w:rsidR="003D5143">
        <w:t xml:space="preserve">At the level of the executing entities, </w:t>
      </w:r>
      <w:r w:rsidR="00135B54">
        <w:t>the RECs also engaged other</w:t>
      </w:r>
      <w:r w:rsidR="00EB54E5">
        <w:t xml:space="preserve"> collaborating entities </w:t>
      </w:r>
      <w:r w:rsidR="00CD6BB5">
        <w:t>from within the project regions to support the implementation of project activities.</w:t>
      </w:r>
      <w:r w:rsidR="00CD6BB5">
        <w:rPr>
          <w:rStyle w:val="FootnoteReference"/>
        </w:rPr>
        <w:footnoteReference w:id="40"/>
      </w:r>
    </w:p>
    <w:p w14:paraId="792DFF3B" w14:textId="5BE03D64" w:rsidR="00875969" w:rsidRPr="00116661" w:rsidRDefault="00875969" w:rsidP="009562A2">
      <w:pPr>
        <w:pStyle w:val="Heading2"/>
        <w:numPr>
          <w:ilvl w:val="0"/>
          <w:numId w:val="0"/>
        </w:numPr>
        <w:ind w:left="510" w:hanging="510"/>
      </w:pPr>
      <w:bookmarkStart w:id="17" w:name="_Toc210730312"/>
      <w:r w:rsidRPr="00116661">
        <w:t>Resources</w:t>
      </w:r>
      <w:bookmarkEnd w:id="17"/>
    </w:p>
    <w:p w14:paraId="03EFE342" w14:textId="20509246" w:rsidR="006100FA" w:rsidRDefault="003904F0" w:rsidP="00393C7E">
      <w:pPr>
        <w:pStyle w:val="BodyText"/>
      </w:pPr>
      <w:r>
        <w:t xml:space="preserve">A </w:t>
      </w:r>
      <w:r w:rsidR="0004580B">
        <w:t>budget of USD $2</w:t>
      </w:r>
      <w:r w:rsidR="008540CB">
        <w:t>,</w:t>
      </w:r>
      <w:r w:rsidR="00FD062C">
        <w:t xml:space="preserve">321,000 </w:t>
      </w:r>
      <w:r w:rsidR="00D45A3E">
        <w:t xml:space="preserve">was allocated </w:t>
      </w:r>
      <w:r w:rsidR="00C034D8">
        <w:t>to the INFF project</w:t>
      </w:r>
      <w:r w:rsidR="004331EF">
        <w:t xml:space="preserve"> (see Exhibit </w:t>
      </w:r>
      <w:r w:rsidR="00426DF4">
        <w:t>6)</w:t>
      </w:r>
      <w:r w:rsidR="00966E65">
        <w:t>.</w:t>
      </w:r>
      <w:r w:rsidR="00C034D8">
        <w:t xml:space="preserve"> </w:t>
      </w:r>
      <w:r w:rsidR="00BE747E">
        <w:t xml:space="preserve">At </w:t>
      </w:r>
      <w:r w:rsidR="00450AE3">
        <w:t xml:space="preserve">38.73 percent, </w:t>
      </w:r>
      <w:r w:rsidR="002C5419">
        <w:t xml:space="preserve">the </w:t>
      </w:r>
      <w:r w:rsidR="002779A6">
        <w:t xml:space="preserve">largest </w:t>
      </w:r>
      <w:r w:rsidR="00BE747E">
        <w:t>percentage of the bu</w:t>
      </w:r>
      <w:r w:rsidR="00450AE3">
        <w:t xml:space="preserve">dget </w:t>
      </w:r>
      <w:r w:rsidR="002E1F16">
        <w:t xml:space="preserve">was allocated to </w:t>
      </w:r>
      <w:r w:rsidR="00202C8C">
        <w:t xml:space="preserve">the engagement of consultants and experts to </w:t>
      </w:r>
      <w:r w:rsidR="00E3738C">
        <w:t xml:space="preserve">support </w:t>
      </w:r>
      <w:r w:rsidR="006C7050">
        <w:t xml:space="preserve">project </w:t>
      </w:r>
      <w:r w:rsidR="00E3738C">
        <w:t xml:space="preserve">implementation </w:t>
      </w:r>
      <w:r w:rsidR="00707CB0">
        <w:t xml:space="preserve">(e.g. production of guidance material; </w:t>
      </w:r>
      <w:r w:rsidR="00E63A78">
        <w:t xml:space="preserve">facilitation of </w:t>
      </w:r>
      <w:r w:rsidR="00707CB0">
        <w:t xml:space="preserve">diagnostic exercises; </w:t>
      </w:r>
      <w:r w:rsidR="006100FA">
        <w:t xml:space="preserve">preparation and facilitation of workshops; etc.). </w:t>
      </w:r>
      <w:r w:rsidR="00656FFB">
        <w:t xml:space="preserve">This was followed by the allotments for workshops (21.95 percent of the project budget) and </w:t>
      </w:r>
      <w:r w:rsidR="00E441B4">
        <w:t>contractual services</w:t>
      </w:r>
      <w:r w:rsidR="00867A20">
        <w:rPr>
          <w:rStyle w:val="FootnoteReference"/>
        </w:rPr>
        <w:footnoteReference w:id="41"/>
      </w:r>
      <w:r w:rsidR="00A67AC6">
        <w:t xml:space="preserve"> (13.78 percent). </w:t>
      </w:r>
    </w:p>
    <w:p w14:paraId="40B361E3" w14:textId="25DD3F4A" w:rsidR="00396E62" w:rsidRDefault="00A67AC6" w:rsidP="0088662F">
      <w:pPr>
        <w:pStyle w:val="BodyText"/>
      </w:pPr>
      <w:r>
        <w:t>In response to</w:t>
      </w:r>
      <w:r w:rsidR="0072153F">
        <w:t xml:space="preserve"> ongoing project evolvement,</w:t>
      </w:r>
      <w:r w:rsidR="00A45A0B">
        <w:t xml:space="preserve"> the allotments for each </w:t>
      </w:r>
      <w:r w:rsidR="00EC604E">
        <w:t xml:space="preserve">budget </w:t>
      </w:r>
      <w:r w:rsidR="000A669F">
        <w:t>cl</w:t>
      </w:r>
      <w:r w:rsidR="00A45A0B">
        <w:t xml:space="preserve">ass </w:t>
      </w:r>
      <w:r w:rsidR="009A59CE">
        <w:t xml:space="preserve">were reviewed and revised, as required. </w:t>
      </w:r>
      <w:r w:rsidR="003750B5">
        <w:t xml:space="preserve">This process did not </w:t>
      </w:r>
      <w:r w:rsidR="00CD7F88">
        <w:t xml:space="preserve">lead to a budget overrun, but </w:t>
      </w:r>
      <w:r w:rsidR="004B001D">
        <w:t>resulted in revised allotments</w:t>
      </w:r>
      <w:r w:rsidR="00AF7EB5">
        <w:t xml:space="preserve"> for </w:t>
      </w:r>
      <w:r w:rsidR="008F120F">
        <w:t>each budget class</w:t>
      </w:r>
      <w:r w:rsidR="00F4733C">
        <w:t xml:space="preserve"> (see Exhibit </w:t>
      </w:r>
      <w:r w:rsidR="0088662F">
        <w:t>6</w:t>
      </w:r>
      <w:r w:rsidR="00F4733C">
        <w:t>)</w:t>
      </w:r>
      <w:r w:rsidR="00973D73">
        <w:t>.</w:t>
      </w:r>
      <w:r w:rsidR="008F120F">
        <w:t xml:space="preserve"> </w:t>
      </w:r>
      <w:r w:rsidR="00E7794A">
        <w:t xml:space="preserve">There was an increase in the allocation for </w:t>
      </w:r>
      <w:r w:rsidR="00473069">
        <w:t>consultants and experts</w:t>
      </w:r>
      <w:r w:rsidR="00F65F91">
        <w:t>, which continued to account for the largest per</w:t>
      </w:r>
      <w:r w:rsidR="00556CAB">
        <w:t>centage of the budget (45</w:t>
      </w:r>
      <w:r w:rsidR="006A33B0">
        <w:t xml:space="preserve">.03 percent). This aggregate was </w:t>
      </w:r>
      <w:r w:rsidR="00490D2F">
        <w:t xml:space="preserve">again </w:t>
      </w:r>
      <w:r w:rsidR="006A33B0">
        <w:t xml:space="preserve">followed by the allotment for workshops, </w:t>
      </w:r>
      <w:r w:rsidR="00490D2F">
        <w:t xml:space="preserve">although it accounted for a reduced percentage of the budget (17.89 percent). </w:t>
      </w:r>
    </w:p>
    <w:p w14:paraId="032A8389" w14:textId="27C5363E" w:rsidR="00CE2CDA" w:rsidRDefault="00CE2CDA" w:rsidP="00393C7E">
      <w:pPr>
        <w:pStyle w:val="BodyText"/>
      </w:pPr>
    </w:p>
    <w:p w14:paraId="1191B618" w14:textId="77777777" w:rsidR="00B70B14" w:rsidRDefault="00B70B14" w:rsidP="00393C7E">
      <w:pPr>
        <w:pStyle w:val="Caption"/>
        <w:sectPr w:rsidR="00B70B14" w:rsidSect="004C6201">
          <w:type w:val="continuous"/>
          <w:pgSz w:w="12240" w:h="15840" w:code="1"/>
          <w:pgMar w:top="1276" w:right="1276" w:bottom="1985" w:left="1276" w:header="720" w:footer="720" w:gutter="0"/>
          <w:cols w:num="2" w:space="397"/>
          <w:docGrid w:linePitch="360"/>
        </w:sectPr>
      </w:pPr>
    </w:p>
    <w:p w14:paraId="16C1F894" w14:textId="7FF5DF5F" w:rsidR="005068B1" w:rsidRPr="00393C7E" w:rsidRDefault="00CB1482" w:rsidP="00393C7E">
      <w:pPr>
        <w:pStyle w:val="Caption"/>
      </w:pPr>
      <w:bookmarkStart w:id="18" w:name="_Toc210730339"/>
      <w:r w:rsidRPr="00393C7E">
        <w:lastRenderedPageBreak/>
        <w:t>Exhibit</w:t>
      </w:r>
      <w:r w:rsidR="005068B1" w:rsidRPr="00393C7E">
        <w:t xml:space="preserve"> </w:t>
      </w:r>
      <w:r w:rsidR="005068B1" w:rsidRPr="00393C7E">
        <w:fldChar w:fldCharType="begin"/>
      </w:r>
      <w:r w:rsidR="005068B1" w:rsidRPr="00393C7E">
        <w:instrText xml:space="preserve"> SEQ Table \* ARABIC </w:instrText>
      </w:r>
      <w:r w:rsidR="005068B1" w:rsidRPr="00393C7E">
        <w:fldChar w:fldCharType="separate"/>
      </w:r>
      <w:r w:rsidR="00C94795">
        <w:rPr>
          <w:noProof/>
        </w:rPr>
        <w:t>6</w:t>
      </w:r>
      <w:r w:rsidR="005068B1" w:rsidRPr="00393C7E">
        <w:fldChar w:fldCharType="end"/>
      </w:r>
      <w:r w:rsidR="005068B1" w:rsidRPr="00393C7E">
        <w:t xml:space="preserve"> </w:t>
      </w:r>
      <w:r w:rsidR="008E4229">
        <w:t xml:space="preserve">Budget vs </w:t>
      </w:r>
      <w:r w:rsidR="00A3344A">
        <w:t>expenditure</w:t>
      </w:r>
      <w:bookmarkEnd w:id="18"/>
    </w:p>
    <w:tbl>
      <w:tblPr>
        <w:tblStyle w:val="BlueTable"/>
        <w:tblW w:w="5000" w:type="pct"/>
        <w:jc w:val="center"/>
        <w:tblLook w:val="06E0" w:firstRow="1" w:lastRow="1" w:firstColumn="1" w:lastColumn="0" w:noHBand="1" w:noVBand="1"/>
      </w:tblPr>
      <w:tblGrid>
        <w:gridCol w:w="2689"/>
        <w:gridCol w:w="2126"/>
        <w:gridCol w:w="2268"/>
        <w:gridCol w:w="2595"/>
      </w:tblGrid>
      <w:tr w:rsidR="006B6547" w:rsidRPr="00116661" w14:paraId="29CDE4A2" w14:textId="77777777" w:rsidTr="0011666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89" w:type="dxa"/>
            <w:vMerge w:val="restart"/>
            <w:tcBorders>
              <w:left w:val="single" w:sz="4" w:space="0" w:color="009EDB" w:themeColor="accent1"/>
              <w:right w:val="single" w:sz="4" w:space="0" w:color="009EDB" w:themeColor="accent1"/>
            </w:tcBorders>
            <w:vAlign w:val="center"/>
          </w:tcPr>
          <w:p w14:paraId="7A49EDA4" w14:textId="3D773BA1" w:rsidR="006B6547" w:rsidRPr="00116661" w:rsidRDefault="00DE70BF" w:rsidP="00223ACB">
            <w:pPr>
              <w:jc w:val="center"/>
              <w:rPr>
                <w:sz w:val="18"/>
                <w:szCs w:val="18"/>
              </w:rPr>
            </w:pPr>
            <w:r w:rsidRPr="00116661">
              <w:rPr>
                <w:sz w:val="18"/>
                <w:szCs w:val="18"/>
              </w:rPr>
              <w:t>Budget class</w:t>
            </w:r>
          </w:p>
        </w:tc>
        <w:tc>
          <w:tcPr>
            <w:tcW w:w="6989" w:type="dxa"/>
            <w:gridSpan w:val="3"/>
            <w:tcBorders>
              <w:left w:val="single" w:sz="4" w:space="0" w:color="009EDB" w:themeColor="accent1"/>
              <w:right w:val="single" w:sz="4" w:space="0" w:color="009EDB" w:themeColor="accent1"/>
            </w:tcBorders>
            <w:vAlign w:val="center"/>
          </w:tcPr>
          <w:p w14:paraId="768D67A4" w14:textId="250CFF8F" w:rsidR="006B6547" w:rsidRPr="00116661" w:rsidRDefault="006B6547" w:rsidP="001E7F44">
            <w:pPr>
              <w:jc w:val="center"/>
              <w:cnfStyle w:val="100000000000" w:firstRow="1" w:lastRow="0" w:firstColumn="0" w:lastColumn="0" w:oddVBand="0" w:evenVBand="0" w:oddHBand="0" w:evenHBand="0" w:firstRowFirstColumn="0" w:firstRowLastColumn="0" w:lastRowFirstColumn="0" w:lastRowLastColumn="0"/>
              <w:rPr>
                <w:sz w:val="18"/>
                <w:szCs w:val="18"/>
              </w:rPr>
            </w:pPr>
            <w:r w:rsidRPr="00116661">
              <w:rPr>
                <w:sz w:val="18"/>
                <w:szCs w:val="18"/>
              </w:rPr>
              <w:t xml:space="preserve">Project budget </w:t>
            </w:r>
            <w:r w:rsidR="002E3144" w:rsidRPr="00116661">
              <w:rPr>
                <w:sz w:val="18"/>
                <w:szCs w:val="18"/>
              </w:rPr>
              <w:t xml:space="preserve">vs </w:t>
            </w:r>
            <w:r w:rsidRPr="00116661">
              <w:rPr>
                <w:sz w:val="18"/>
                <w:szCs w:val="18"/>
              </w:rPr>
              <w:t>expenditure (USD $)</w:t>
            </w:r>
          </w:p>
        </w:tc>
      </w:tr>
      <w:tr w:rsidR="006B6547" w:rsidRPr="00116661" w14:paraId="604F9AEB"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Merge/>
            <w:tcBorders>
              <w:left w:val="single" w:sz="4" w:space="0" w:color="009EDB" w:themeColor="accent1"/>
              <w:right w:val="single" w:sz="4" w:space="0" w:color="009EDB" w:themeColor="accent1"/>
            </w:tcBorders>
            <w:vAlign w:val="center"/>
          </w:tcPr>
          <w:p w14:paraId="48548BEA" w14:textId="266219E4" w:rsidR="006B6547" w:rsidRPr="00116661" w:rsidRDefault="006B6547" w:rsidP="00223ACB">
            <w:pPr>
              <w:keepNext/>
              <w:jc w:val="center"/>
              <w:rPr>
                <w:sz w:val="18"/>
                <w:szCs w:val="18"/>
              </w:rPr>
            </w:pPr>
          </w:p>
        </w:tc>
        <w:tc>
          <w:tcPr>
            <w:tcW w:w="2126" w:type="dxa"/>
            <w:tcBorders>
              <w:left w:val="single" w:sz="4" w:space="0" w:color="009EDB" w:themeColor="accent1"/>
            </w:tcBorders>
            <w:shd w:val="clear" w:color="auto" w:fill="0075A4" w:themeFill="accent1" w:themeFillShade="BF"/>
            <w:vAlign w:val="center"/>
          </w:tcPr>
          <w:p w14:paraId="4BC09CB2" w14:textId="3D4DEB5B" w:rsidR="006B6547" w:rsidRPr="00116661" w:rsidRDefault="006B6547"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Budget</w:t>
            </w:r>
            <w:r w:rsidR="00DE70BF" w:rsidRPr="00116661">
              <w:rPr>
                <w:b/>
                <w:bCs/>
                <w:color w:val="FFFFFF" w:themeColor="background1"/>
                <w:sz w:val="18"/>
                <w:szCs w:val="18"/>
              </w:rPr>
              <w:t>/ Al</w:t>
            </w:r>
            <w:r w:rsidR="00EC604E" w:rsidRPr="00116661">
              <w:rPr>
                <w:b/>
                <w:bCs/>
                <w:color w:val="FFFFFF" w:themeColor="background1"/>
                <w:sz w:val="18"/>
                <w:szCs w:val="18"/>
              </w:rPr>
              <w:t>lotments</w:t>
            </w:r>
          </w:p>
          <w:p w14:paraId="6E8878AE" w14:textId="057C83A9" w:rsidR="00951052" w:rsidRPr="00116661" w:rsidRDefault="00951052"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(%of total budget)</w:t>
            </w:r>
          </w:p>
        </w:tc>
        <w:tc>
          <w:tcPr>
            <w:tcW w:w="2268" w:type="dxa"/>
            <w:shd w:val="clear" w:color="auto" w:fill="0075A4" w:themeFill="accent1" w:themeFillShade="BF"/>
            <w:vAlign w:val="center"/>
          </w:tcPr>
          <w:p w14:paraId="39F1EBCF" w14:textId="77777777" w:rsidR="00333ED3" w:rsidRPr="00116661" w:rsidRDefault="006B6547"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Revised allotments</w:t>
            </w:r>
            <w:r w:rsidR="00643E71" w:rsidRPr="00116661">
              <w:rPr>
                <w:b/>
                <w:bCs/>
                <w:color w:val="FFFFFF" w:themeColor="background1"/>
                <w:sz w:val="18"/>
                <w:szCs w:val="18"/>
              </w:rPr>
              <w:t xml:space="preserve"> </w:t>
            </w:r>
          </w:p>
          <w:p w14:paraId="048AA1E7" w14:textId="38AF58E4" w:rsidR="006B6547" w:rsidRPr="00116661" w:rsidRDefault="00643E71"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w:t>
            </w:r>
            <w:r w:rsidR="00333ED3" w:rsidRPr="00116661">
              <w:rPr>
                <w:b/>
                <w:bCs/>
                <w:color w:val="FFFFFF" w:themeColor="background1"/>
                <w:sz w:val="18"/>
                <w:szCs w:val="18"/>
              </w:rPr>
              <w:t>%of total allotment)</w:t>
            </w:r>
          </w:p>
        </w:tc>
        <w:tc>
          <w:tcPr>
            <w:tcW w:w="2595" w:type="dxa"/>
            <w:tcBorders>
              <w:right w:val="single" w:sz="4" w:space="0" w:color="009EDB" w:themeColor="accent1"/>
            </w:tcBorders>
            <w:shd w:val="clear" w:color="auto" w:fill="0075A4" w:themeFill="accent1" w:themeFillShade="BF"/>
            <w:vAlign w:val="center"/>
          </w:tcPr>
          <w:p w14:paraId="6250060C" w14:textId="2BC69FA5" w:rsidR="006B6547" w:rsidRPr="00116661" w:rsidRDefault="006B6547"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Total expenditure</w:t>
            </w:r>
          </w:p>
          <w:p w14:paraId="0869DCFD" w14:textId="0B3DA013" w:rsidR="006B6547" w:rsidRPr="00116661" w:rsidRDefault="006B6547" w:rsidP="00223ACB">
            <w:pPr>
              <w:keepNext/>
              <w:jc w:val="center"/>
              <w:cnfStyle w:val="000000000000" w:firstRow="0" w:lastRow="0" w:firstColumn="0" w:lastColumn="0" w:oddVBand="0" w:evenVBand="0" w:oddHBand="0" w:evenHBand="0" w:firstRowFirstColumn="0" w:firstRowLastColumn="0" w:lastRowFirstColumn="0" w:lastRowLastColumn="0"/>
              <w:rPr>
                <w:b/>
                <w:bCs/>
                <w:color w:val="FFFFFF" w:themeColor="background1"/>
                <w:sz w:val="18"/>
                <w:szCs w:val="18"/>
              </w:rPr>
            </w:pPr>
            <w:r w:rsidRPr="00116661">
              <w:rPr>
                <w:b/>
                <w:bCs/>
                <w:color w:val="FFFFFF" w:themeColor="background1"/>
                <w:sz w:val="18"/>
                <w:szCs w:val="18"/>
              </w:rPr>
              <w:t xml:space="preserve">(% of total </w:t>
            </w:r>
            <w:r w:rsidR="00D326A8" w:rsidRPr="00116661">
              <w:rPr>
                <w:b/>
                <w:bCs/>
                <w:color w:val="FFFFFF" w:themeColor="background1"/>
                <w:sz w:val="18"/>
                <w:szCs w:val="18"/>
              </w:rPr>
              <w:t>expenditure</w:t>
            </w:r>
            <w:r w:rsidRPr="00116661">
              <w:rPr>
                <w:b/>
                <w:bCs/>
                <w:color w:val="FFFFFF" w:themeColor="background1"/>
                <w:sz w:val="18"/>
                <w:szCs w:val="18"/>
              </w:rPr>
              <w:t>)</w:t>
            </w:r>
          </w:p>
        </w:tc>
      </w:tr>
      <w:tr w:rsidR="006B6547" w:rsidRPr="00116661" w14:paraId="2015B377"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AC8E900" w14:textId="69CB11B6" w:rsidR="006B6547" w:rsidRPr="00116661" w:rsidRDefault="006B6547" w:rsidP="00223ACB">
            <w:pPr>
              <w:rPr>
                <w:sz w:val="18"/>
                <w:szCs w:val="18"/>
              </w:rPr>
            </w:pPr>
            <w:r w:rsidRPr="00116661">
              <w:rPr>
                <w:sz w:val="18"/>
                <w:szCs w:val="18"/>
              </w:rPr>
              <w:t>Other staff costs – General temporary assistance</w:t>
            </w:r>
          </w:p>
        </w:tc>
        <w:tc>
          <w:tcPr>
            <w:tcW w:w="2126" w:type="dxa"/>
            <w:vAlign w:val="center"/>
          </w:tcPr>
          <w:p w14:paraId="3E1D70AA"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180,000</w:t>
            </w:r>
          </w:p>
          <w:p w14:paraId="36046119" w14:textId="1A6A6B22" w:rsidR="00DC45E6" w:rsidRPr="00116661" w:rsidRDefault="00DC45E6"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(7.75)</w:t>
            </w:r>
          </w:p>
        </w:tc>
        <w:tc>
          <w:tcPr>
            <w:tcW w:w="2268" w:type="dxa"/>
            <w:vAlign w:val="center"/>
          </w:tcPr>
          <w:p w14:paraId="102E0C4E"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191,627</w:t>
            </w:r>
          </w:p>
          <w:p w14:paraId="58E983FC" w14:textId="2AAFBD0F" w:rsidR="004042AC" w:rsidRPr="00116661" w:rsidRDefault="004042AC"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(8.36)</w:t>
            </w:r>
          </w:p>
        </w:tc>
        <w:tc>
          <w:tcPr>
            <w:tcW w:w="2595" w:type="dxa"/>
            <w:vAlign w:val="center"/>
          </w:tcPr>
          <w:p w14:paraId="0B4D7742" w14:textId="586099BE"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173,286.63</w:t>
            </w:r>
          </w:p>
          <w:p w14:paraId="15740CA4" w14:textId="6BDD6FFA"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AD5340" w:rsidRPr="00116661">
              <w:rPr>
                <w:sz w:val="18"/>
                <w:szCs w:val="18"/>
              </w:rPr>
              <w:t>8</w:t>
            </w:r>
            <w:r w:rsidRPr="00116661">
              <w:rPr>
                <w:sz w:val="18"/>
                <w:szCs w:val="18"/>
              </w:rPr>
              <w:t>)</w:t>
            </w:r>
          </w:p>
        </w:tc>
      </w:tr>
      <w:tr w:rsidR="006B6547" w:rsidRPr="00116661" w14:paraId="7127714A"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B92A56F" w14:textId="7ACE4599" w:rsidR="006B6547" w:rsidRPr="00116661" w:rsidRDefault="006B6547" w:rsidP="00223ACB">
            <w:pPr>
              <w:rPr>
                <w:sz w:val="18"/>
                <w:szCs w:val="18"/>
              </w:rPr>
            </w:pPr>
            <w:r w:rsidRPr="00116661">
              <w:rPr>
                <w:sz w:val="18"/>
                <w:szCs w:val="18"/>
              </w:rPr>
              <w:t>Consultants and experts</w:t>
            </w:r>
          </w:p>
        </w:tc>
        <w:tc>
          <w:tcPr>
            <w:tcW w:w="2126" w:type="dxa"/>
            <w:vAlign w:val="center"/>
          </w:tcPr>
          <w:p w14:paraId="3029FCF1"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899,000</w:t>
            </w:r>
          </w:p>
          <w:p w14:paraId="6693216B" w14:textId="4BAAFEA2" w:rsidR="00E46232" w:rsidRPr="00116661" w:rsidRDefault="00E46232"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D326A8" w:rsidRPr="00116661">
              <w:rPr>
                <w:sz w:val="18"/>
                <w:szCs w:val="18"/>
              </w:rPr>
              <w:t>38.73)</w:t>
            </w:r>
          </w:p>
        </w:tc>
        <w:tc>
          <w:tcPr>
            <w:tcW w:w="2268" w:type="dxa"/>
            <w:vAlign w:val="center"/>
          </w:tcPr>
          <w:p w14:paraId="71E2AD28"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1,031,797</w:t>
            </w:r>
          </w:p>
          <w:p w14:paraId="74E0C8D8" w14:textId="1D47DC15" w:rsidR="004042AC" w:rsidRPr="00116661" w:rsidRDefault="004042AC"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4D5938" w:rsidRPr="00116661">
              <w:rPr>
                <w:sz w:val="18"/>
                <w:szCs w:val="18"/>
              </w:rPr>
              <w:t>45.03)</w:t>
            </w:r>
          </w:p>
        </w:tc>
        <w:tc>
          <w:tcPr>
            <w:tcW w:w="2595" w:type="dxa"/>
            <w:vAlign w:val="center"/>
          </w:tcPr>
          <w:p w14:paraId="27F59D8A" w14:textId="4FD09B5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1,121,065.31</w:t>
            </w:r>
          </w:p>
          <w:p w14:paraId="4BED7ED4" w14:textId="0DABD329"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E167FE" w:rsidRPr="00116661">
              <w:rPr>
                <w:sz w:val="18"/>
                <w:szCs w:val="18"/>
              </w:rPr>
              <w:t>5</w:t>
            </w:r>
            <w:r w:rsidR="00730EF6" w:rsidRPr="00116661">
              <w:rPr>
                <w:sz w:val="18"/>
                <w:szCs w:val="18"/>
              </w:rPr>
              <w:t>1</w:t>
            </w:r>
            <w:r w:rsidRPr="00116661">
              <w:rPr>
                <w:sz w:val="18"/>
                <w:szCs w:val="18"/>
              </w:rPr>
              <w:t>)</w:t>
            </w:r>
          </w:p>
        </w:tc>
      </w:tr>
      <w:tr w:rsidR="006B6547" w:rsidRPr="00116661" w14:paraId="45AAAB8C"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1D84BBFE" w14:textId="2A0E3860" w:rsidR="006B6547" w:rsidRPr="00116661" w:rsidRDefault="006B6547" w:rsidP="00223ACB">
            <w:pPr>
              <w:rPr>
                <w:sz w:val="18"/>
                <w:szCs w:val="18"/>
              </w:rPr>
            </w:pPr>
            <w:r w:rsidRPr="00116661">
              <w:rPr>
                <w:sz w:val="18"/>
                <w:szCs w:val="18"/>
              </w:rPr>
              <w:t>Travel of staff</w:t>
            </w:r>
          </w:p>
        </w:tc>
        <w:tc>
          <w:tcPr>
            <w:tcW w:w="2126" w:type="dxa"/>
            <w:vAlign w:val="center"/>
          </w:tcPr>
          <w:p w14:paraId="342A1C86"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284,800</w:t>
            </w:r>
          </w:p>
          <w:p w14:paraId="082CCD94" w14:textId="294FB11F" w:rsidR="00942F48" w:rsidRPr="00116661" w:rsidRDefault="00942F48"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(12.27)</w:t>
            </w:r>
          </w:p>
        </w:tc>
        <w:tc>
          <w:tcPr>
            <w:tcW w:w="2268" w:type="dxa"/>
            <w:vAlign w:val="center"/>
          </w:tcPr>
          <w:p w14:paraId="7BE2CBD1"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313,856</w:t>
            </w:r>
          </w:p>
          <w:p w14:paraId="39D75320" w14:textId="0E8198F7" w:rsidR="004D5938" w:rsidRPr="00116661" w:rsidRDefault="004D5938"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B82B0C" w:rsidRPr="00116661">
              <w:rPr>
                <w:sz w:val="18"/>
                <w:szCs w:val="18"/>
              </w:rPr>
              <w:t>13.70)</w:t>
            </w:r>
          </w:p>
        </w:tc>
        <w:tc>
          <w:tcPr>
            <w:tcW w:w="2595" w:type="dxa"/>
            <w:vAlign w:val="center"/>
          </w:tcPr>
          <w:p w14:paraId="1B3F26FB" w14:textId="63AE082F"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235,816.99</w:t>
            </w:r>
          </w:p>
          <w:p w14:paraId="5BAAE1F0" w14:textId="0D480ED9"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w:t>
            </w:r>
            <w:r w:rsidR="00730EF6" w:rsidRPr="00116661">
              <w:rPr>
                <w:sz w:val="18"/>
                <w:szCs w:val="18"/>
              </w:rPr>
              <w:t>1</w:t>
            </w:r>
            <w:r w:rsidRPr="00116661">
              <w:rPr>
                <w:sz w:val="18"/>
                <w:szCs w:val="18"/>
              </w:rPr>
              <w:t>)</w:t>
            </w:r>
          </w:p>
        </w:tc>
      </w:tr>
      <w:tr w:rsidR="006B6547" w:rsidRPr="00116661" w14:paraId="587353C9"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3F840143" w14:textId="73783FAD" w:rsidR="006B6547" w:rsidRPr="00116661" w:rsidRDefault="006B6547" w:rsidP="00223ACB">
            <w:pPr>
              <w:rPr>
                <w:sz w:val="18"/>
                <w:szCs w:val="18"/>
              </w:rPr>
            </w:pPr>
            <w:r w:rsidRPr="00116661">
              <w:rPr>
                <w:sz w:val="18"/>
                <w:szCs w:val="18"/>
              </w:rPr>
              <w:t>Contractual services</w:t>
            </w:r>
          </w:p>
        </w:tc>
        <w:tc>
          <w:tcPr>
            <w:tcW w:w="2126" w:type="dxa"/>
            <w:vAlign w:val="center"/>
          </w:tcPr>
          <w:p w14:paraId="5C1203CC"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319,840</w:t>
            </w:r>
          </w:p>
          <w:p w14:paraId="4631344B" w14:textId="15751162" w:rsidR="00942F48" w:rsidRPr="00116661" w:rsidRDefault="00241E6B"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(13.78)</w:t>
            </w:r>
          </w:p>
        </w:tc>
        <w:tc>
          <w:tcPr>
            <w:tcW w:w="2268" w:type="dxa"/>
            <w:vAlign w:val="center"/>
          </w:tcPr>
          <w:p w14:paraId="65E729ED"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240,541</w:t>
            </w:r>
          </w:p>
          <w:p w14:paraId="68AFE9A0" w14:textId="789C14E6" w:rsidR="00177E9D" w:rsidRPr="00116661" w:rsidRDefault="00177E9D"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(10.50)</w:t>
            </w:r>
          </w:p>
        </w:tc>
        <w:tc>
          <w:tcPr>
            <w:tcW w:w="2595" w:type="dxa"/>
            <w:vAlign w:val="center"/>
          </w:tcPr>
          <w:p w14:paraId="6FCF8F96" w14:textId="76C02FB6"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319,330.97</w:t>
            </w:r>
          </w:p>
          <w:p w14:paraId="59B38E9F" w14:textId="66DBA8A1"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2230AC" w:rsidRPr="00116661">
              <w:rPr>
                <w:sz w:val="18"/>
                <w:szCs w:val="18"/>
              </w:rPr>
              <w:t>14</w:t>
            </w:r>
            <w:r w:rsidRPr="00116661">
              <w:rPr>
                <w:sz w:val="18"/>
                <w:szCs w:val="18"/>
              </w:rPr>
              <w:t>)</w:t>
            </w:r>
          </w:p>
        </w:tc>
      </w:tr>
      <w:tr w:rsidR="006B6547" w:rsidRPr="00116661" w14:paraId="59B9B82E"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C364395" w14:textId="6C69CA3C" w:rsidR="006B6547" w:rsidRPr="00116661" w:rsidRDefault="006B6547" w:rsidP="00223ACB">
            <w:pPr>
              <w:rPr>
                <w:sz w:val="18"/>
                <w:szCs w:val="18"/>
              </w:rPr>
            </w:pPr>
            <w:r w:rsidRPr="00116661">
              <w:rPr>
                <w:sz w:val="18"/>
                <w:szCs w:val="18"/>
              </w:rPr>
              <w:t>General operating expenses</w:t>
            </w:r>
          </w:p>
        </w:tc>
        <w:tc>
          <w:tcPr>
            <w:tcW w:w="2126" w:type="dxa"/>
            <w:vAlign w:val="center"/>
          </w:tcPr>
          <w:p w14:paraId="7A45FFC5"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128,000</w:t>
            </w:r>
          </w:p>
          <w:p w14:paraId="78CB9047" w14:textId="44F936C0" w:rsidR="00241E6B" w:rsidRPr="00116661" w:rsidRDefault="004B7DFC"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(5.51)</w:t>
            </w:r>
          </w:p>
        </w:tc>
        <w:tc>
          <w:tcPr>
            <w:tcW w:w="2268" w:type="dxa"/>
            <w:vAlign w:val="center"/>
          </w:tcPr>
          <w:p w14:paraId="08028D58"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102,234</w:t>
            </w:r>
          </w:p>
          <w:p w14:paraId="346AFC63" w14:textId="2B1382A9" w:rsidR="00682808" w:rsidRPr="00116661" w:rsidRDefault="00682808"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(4.46)</w:t>
            </w:r>
          </w:p>
        </w:tc>
        <w:tc>
          <w:tcPr>
            <w:tcW w:w="2595" w:type="dxa"/>
            <w:vAlign w:val="center"/>
          </w:tcPr>
          <w:p w14:paraId="7FD752BA"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95,643.71</w:t>
            </w:r>
          </w:p>
          <w:p w14:paraId="390396B7" w14:textId="61C01D39" w:rsidR="002230AC" w:rsidRPr="00116661" w:rsidRDefault="002230AC"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727029" w:rsidRPr="00116661">
              <w:rPr>
                <w:sz w:val="18"/>
                <w:szCs w:val="18"/>
              </w:rPr>
              <w:t>4)</w:t>
            </w:r>
          </w:p>
        </w:tc>
      </w:tr>
      <w:tr w:rsidR="006B6547" w:rsidRPr="00116661" w14:paraId="0D6F33CF"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1F23B3B" w14:textId="58942CE0" w:rsidR="006B6547" w:rsidRPr="00116661" w:rsidRDefault="006B6547" w:rsidP="00223ACB">
            <w:pPr>
              <w:rPr>
                <w:sz w:val="18"/>
                <w:szCs w:val="18"/>
              </w:rPr>
            </w:pPr>
            <w:r w:rsidRPr="00116661">
              <w:rPr>
                <w:sz w:val="18"/>
                <w:szCs w:val="18"/>
              </w:rPr>
              <w:t>Supplies and materials</w:t>
            </w:r>
          </w:p>
        </w:tc>
        <w:tc>
          <w:tcPr>
            <w:tcW w:w="2126" w:type="dxa"/>
            <w:vAlign w:val="center"/>
          </w:tcPr>
          <w:p w14:paraId="54D72897" w14:textId="637C999D"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p>
        </w:tc>
        <w:tc>
          <w:tcPr>
            <w:tcW w:w="2268" w:type="dxa"/>
            <w:vAlign w:val="center"/>
          </w:tcPr>
          <w:p w14:paraId="0A0FF078"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768</w:t>
            </w:r>
          </w:p>
          <w:p w14:paraId="5D3D00BF" w14:textId="6471278A" w:rsidR="0012720B" w:rsidRPr="00116661" w:rsidRDefault="0012720B"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(0.03)</w:t>
            </w:r>
          </w:p>
        </w:tc>
        <w:tc>
          <w:tcPr>
            <w:tcW w:w="2595" w:type="dxa"/>
            <w:vAlign w:val="center"/>
          </w:tcPr>
          <w:p w14:paraId="1E15E7CC"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738</w:t>
            </w:r>
          </w:p>
          <w:p w14:paraId="5F605379" w14:textId="5B6725C3" w:rsidR="00727029" w:rsidRPr="00116661" w:rsidRDefault="00133216"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(0.03)</w:t>
            </w:r>
          </w:p>
        </w:tc>
      </w:tr>
      <w:tr w:rsidR="006B6547" w:rsidRPr="00116661" w14:paraId="104319DC"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0F55913C" w14:textId="27853774" w:rsidR="006B6547" w:rsidRPr="00116661" w:rsidRDefault="006B6547" w:rsidP="00223ACB">
            <w:pPr>
              <w:rPr>
                <w:sz w:val="18"/>
                <w:szCs w:val="18"/>
              </w:rPr>
            </w:pPr>
            <w:r w:rsidRPr="00116661">
              <w:rPr>
                <w:sz w:val="18"/>
                <w:szCs w:val="18"/>
              </w:rPr>
              <w:t>Furniture and equipment</w:t>
            </w:r>
          </w:p>
        </w:tc>
        <w:tc>
          <w:tcPr>
            <w:tcW w:w="2126" w:type="dxa"/>
            <w:vAlign w:val="center"/>
          </w:tcPr>
          <w:p w14:paraId="60B151AF" w14:textId="21F4FB71"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p>
        </w:tc>
        <w:tc>
          <w:tcPr>
            <w:tcW w:w="2268" w:type="dxa"/>
            <w:vAlign w:val="center"/>
          </w:tcPr>
          <w:p w14:paraId="73400745"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423</w:t>
            </w:r>
          </w:p>
          <w:p w14:paraId="0D978AD5" w14:textId="75FDA534" w:rsidR="0012720B" w:rsidRPr="00116661" w:rsidRDefault="0012720B"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760A69" w:rsidRPr="00116661">
              <w:rPr>
                <w:sz w:val="18"/>
                <w:szCs w:val="18"/>
              </w:rPr>
              <w:t>0.02)</w:t>
            </w:r>
          </w:p>
        </w:tc>
        <w:tc>
          <w:tcPr>
            <w:tcW w:w="2595" w:type="dxa"/>
            <w:vAlign w:val="center"/>
          </w:tcPr>
          <w:p w14:paraId="3F6B04BC"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939.10</w:t>
            </w:r>
          </w:p>
          <w:p w14:paraId="1CE820E8" w14:textId="7B5F2905" w:rsidR="00133216" w:rsidRPr="00116661" w:rsidRDefault="00133216"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ED7274" w:rsidRPr="00116661">
              <w:rPr>
                <w:sz w:val="18"/>
                <w:szCs w:val="18"/>
              </w:rPr>
              <w:t>0.04)</w:t>
            </w:r>
          </w:p>
        </w:tc>
      </w:tr>
      <w:tr w:rsidR="006B6547" w:rsidRPr="00116661" w14:paraId="4135E1AE"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F094EB8" w14:textId="505EE6A1" w:rsidR="006B6547" w:rsidRPr="00116661" w:rsidRDefault="006B6547" w:rsidP="00223ACB">
            <w:pPr>
              <w:rPr>
                <w:sz w:val="18"/>
                <w:szCs w:val="18"/>
              </w:rPr>
            </w:pPr>
            <w:r w:rsidRPr="00116661">
              <w:rPr>
                <w:sz w:val="18"/>
                <w:szCs w:val="18"/>
              </w:rPr>
              <w:t>Workshops/ Study tours (Grants and contributions)</w:t>
            </w:r>
          </w:p>
        </w:tc>
        <w:tc>
          <w:tcPr>
            <w:tcW w:w="2126" w:type="dxa"/>
            <w:vAlign w:val="center"/>
          </w:tcPr>
          <w:p w14:paraId="144BE834"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509,360</w:t>
            </w:r>
          </w:p>
          <w:p w14:paraId="131DBFB0" w14:textId="5AF6E369" w:rsidR="004B7DFC" w:rsidRPr="00116661" w:rsidRDefault="00F759DB"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(21.95)</w:t>
            </w:r>
          </w:p>
        </w:tc>
        <w:tc>
          <w:tcPr>
            <w:tcW w:w="2268" w:type="dxa"/>
            <w:vAlign w:val="center"/>
          </w:tcPr>
          <w:p w14:paraId="09CBD5A4"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409,752</w:t>
            </w:r>
          </w:p>
          <w:p w14:paraId="774F8A6B" w14:textId="4A83B35B" w:rsidR="00760A69" w:rsidRPr="00116661" w:rsidRDefault="00760A69"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w:t>
            </w:r>
            <w:r w:rsidR="00487E2B" w:rsidRPr="00116661">
              <w:rPr>
                <w:sz w:val="18"/>
                <w:szCs w:val="18"/>
              </w:rPr>
              <w:t>17.89)</w:t>
            </w:r>
          </w:p>
        </w:tc>
        <w:tc>
          <w:tcPr>
            <w:tcW w:w="2595" w:type="dxa"/>
            <w:vAlign w:val="center"/>
          </w:tcPr>
          <w:p w14:paraId="2B7DC437"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270,170.85</w:t>
            </w:r>
          </w:p>
          <w:p w14:paraId="1C2B38FC" w14:textId="2C4BCB19" w:rsidR="00775E00" w:rsidRPr="00116661" w:rsidRDefault="00775E00"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(12)</w:t>
            </w:r>
          </w:p>
        </w:tc>
      </w:tr>
      <w:tr w:rsidR="006B6547" w:rsidRPr="00116661" w14:paraId="1003FF46"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2689" w:type="dxa"/>
          </w:tcPr>
          <w:p w14:paraId="062993AB" w14:textId="5E7745E0" w:rsidR="006B6547" w:rsidRPr="00116661" w:rsidRDefault="006B6547" w:rsidP="00223ACB">
            <w:pPr>
              <w:jc w:val="center"/>
              <w:rPr>
                <w:sz w:val="18"/>
                <w:szCs w:val="18"/>
              </w:rPr>
            </w:pPr>
            <w:r w:rsidRPr="00116661">
              <w:rPr>
                <w:sz w:val="18"/>
                <w:szCs w:val="18"/>
              </w:rPr>
              <w:t>Total</w:t>
            </w:r>
          </w:p>
        </w:tc>
        <w:tc>
          <w:tcPr>
            <w:tcW w:w="2126" w:type="dxa"/>
            <w:vAlign w:val="center"/>
          </w:tcPr>
          <w:p w14:paraId="0412B0C9" w14:textId="0CFD9CFA"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2,321,000</w:t>
            </w:r>
          </w:p>
        </w:tc>
        <w:tc>
          <w:tcPr>
            <w:tcW w:w="2268" w:type="dxa"/>
            <w:vAlign w:val="center"/>
          </w:tcPr>
          <w:p w14:paraId="5C14C232" w14:textId="4EEA7FEF"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2,290,998</w:t>
            </w:r>
          </w:p>
        </w:tc>
        <w:tc>
          <w:tcPr>
            <w:tcW w:w="2595" w:type="dxa"/>
            <w:vAlign w:val="center"/>
          </w:tcPr>
          <w:p w14:paraId="2D0B9E7B" w14:textId="77777777" w:rsidR="006B6547" w:rsidRPr="00116661" w:rsidRDefault="006B6547" w:rsidP="00223AC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116661">
              <w:rPr>
                <w:b/>
                <w:bCs/>
                <w:sz w:val="18"/>
                <w:szCs w:val="18"/>
              </w:rPr>
              <w:t>2,216,991.56</w:t>
            </w:r>
          </w:p>
          <w:p w14:paraId="54605E06" w14:textId="3F2D00A6" w:rsidR="000662CD" w:rsidRPr="00116661" w:rsidRDefault="002E3144"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9</w:t>
            </w:r>
            <w:r w:rsidR="00FE0E72" w:rsidRPr="00116661">
              <w:rPr>
                <w:sz w:val="18"/>
                <w:szCs w:val="18"/>
              </w:rPr>
              <w:t>6.76</w:t>
            </w:r>
            <w:r w:rsidR="00D47014">
              <w:rPr>
                <w:sz w:val="18"/>
                <w:szCs w:val="18"/>
              </w:rPr>
              <w:t>%</w:t>
            </w:r>
            <w:r w:rsidRPr="00116661">
              <w:rPr>
                <w:sz w:val="18"/>
                <w:szCs w:val="18"/>
              </w:rPr>
              <w:t xml:space="preserve"> </w:t>
            </w:r>
            <w:r w:rsidR="008305DD" w:rsidRPr="00116661">
              <w:rPr>
                <w:sz w:val="18"/>
                <w:szCs w:val="18"/>
              </w:rPr>
              <w:t xml:space="preserve">of </w:t>
            </w:r>
            <w:r w:rsidR="001950E0" w:rsidRPr="00116661">
              <w:rPr>
                <w:sz w:val="18"/>
                <w:szCs w:val="18"/>
              </w:rPr>
              <w:t xml:space="preserve">revised allotment </w:t>
            </w:r>
          </w:p>
        </w:tc>
      </w:tr>
      <w:tr w:rsidR="006B6547" w:rsidRPr="00116661" w14:paraId="104F4364" w14:textId="77777777" w:rsidTr="00116661">
        <w:trPr>
          <w:jc w:val="center"/>
        </w:trPr>
        <w:tc>
          <w:tcPr>
            <w:cnfStyle w:val="001000000000" w:firstRow="0" w:lastRow="0" w:firstColumn="1" w:lastColumn="0" w:oddVBand="0" w:evenVBand="0" w:oddHBand="0" w:evenHBand="0" w:firstRowFirstColumn="0" w:firstRowLastColumn="0" w:lastRowFirstColumn="0" w:lastRowLastColumn="0"/>
            <w:tcW w:w="7083" w:type="dxa"/>
            <w:gridSpan w:val="3"/>
            <w:vAlign w:val="center"/>
          </w:tcPr>
          <w:p w14:paraId="0B007FF4" w14:textId="50245BAC" w:rsidR="006B6547" w:rsidRPr="00116661" w:rsidRDefault="006B6547" w:rsidP="00223ACB">
            <w:pPr>
              <w:jc w:val="right"/>
              <w:rPr>
                <w:sz w:val="18"/>
                <w:szCs w:val="18"/>
              </w:rPr>
            </w:pPr>
            <w:r w:rsidRPr="00116661">
              <w:rPr>
                <w:sz w:val="18"/>
                <w:szCs w:val="18"/>
              </w:rPr>
              <w:t>Unspent balance</w:t>
            </w:r>
          </w:p>
        </w:tc>
        <w:tc>
          <w:tcPr>
            <w:tcW w:w="2595" w:type="dxa"/>
            <w:vAlign w:val="center"/>
          </w:tcPr>
          <w:p w14:paraId="792511ED" w14:textId="77777777" w:rsidR="00ED7D1F" w:rsidRPr="00116661" w:rsidRDefault="00F40F0A" w:rsidP="00223AC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116661">
              <w:rPr>
                <w:b/>
                <w:bCs/>
                <w:sz w:val="18"/>
                <w:szCs w:val="18"/>
              </w:rPr>
              <w:t>74,006.12</w:t>
            </w:r>
          </w:p>
          <w:p w14:paraId="2D397521" w14:textId="3C7EA6D0" w:rsidR="000662CD" w:rsidRPr="00116661" w:rsidRDefault="000662CD" w:rsidP="00223ACB">
            <w:pPr>
              <w:jc w:val="center"/>
              <w:cnfStyle w:val="000000000000" w:firstRow="0" w:lastRow="0" w:firstColumn="0" w:lastColumn="0" w:oddVBand="0" w:evenVBand="0" w:oddHBand="0" w:evenHBand="0" w:firstRowFirstColumn="0" w:firstRowLastColumn="0" w:lastRowFirstColumn="0" w:lastRowLastColumn="0"/>
              <w:rPr>
                <w:sz w:val="18"/>
                <w:szCs w:val="18"/>
              </w:rPr>
            </w:pPr>
            <w:r w:rsidRPr="00116661">
              <w:rPr>
                <w:sz w:val="18"/>
                <w:szCs w:val="18"/>
              </w:rPr>
              <w:t>3.</w:t>
            </w:r>
            <w:r w:rsidR="00700E6D" w:rsidRPr="00116661">
              <w:rPr>
                <w:sz w:val="18"/>
                <w:szCs w:val="18"/>
              </w:rPr>
              <w:t>23</w:t>
            </w:r>
            <w:r w:rsidR="00D47014">
              <w:rPr>
                <w:sz w:val="18"/>
                <w:szCs w:val="18"/>
              </w:rPr>
              <w:t>%</w:t>
            </w:r>
            <w:r w:rsidR="00700E6D" w:rsidRPr="00116661">
              <w:rPr>
                <w:sz w:val="18"/>
                <w:szCs w:val="18"/>
              </w:rPr>
              <w:t xml:space="preserve"> of</w:t>
            </w:r>
            <w:r w:rsidR="001950E0" w:rsidRPr="00116661">
              <w:rPr>
                <w:sz w:val="18"/>
                <w:szCs w:val="18"/>
              </w:rPr>
              <w:t xml:space="preserve"> revised allotment</w:t>
            </w:r>
          </w:p>
        </w:tc>
      </w:tr>
      <w:tr w:rsidR="00F40F0A" w:rsidRPr="00116661" w14:paraId="1C91209B" w14:textId="77777777" w:rsidTr="00116661">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083" w:type="dxa"/>
            <w:gridSpan w:val="3"/>
            <w:vAlign w:val="center"/>
          </w:tcPr>
          <w:p w14:paraId="54ED176A" w14:textId="4683AB19" w:rsidR="00F40F0A" w:rsidRPr="00116661" w:rsidRDefault="00F40F0A" w:rsidP="00223ACB">
            <w:pPr>
              <w:jc w:val="right"/>
              <w:rPr>
                <w:sz w:val="18"/>
                <w:szCs w:val="18"/>
              </w:rPr>
            </w:pPr>
            <w:r w:rsidRPr="00116661">
              <w:rPr>
                <w:sz w:val="18"/>
                <w:szCs w:val="18"/>
              </w:rPr>
              <w:t>Returned funds</w:t>
            </w:r>
          </w:p>
        </w:tc>
        <w:tc>
          <w:tcPr>
            <w:tcW w:w="2595" w:type="dxa"/>
            <w:vAlign w:val="center"/>
          </w:tcPr>
          <w:p w14:paraId="5E41E792" w14:textId="5A1E29A0" w:rsidR="00404973" w:rsidRPr="00116661" w:rsidRDefault="00F40F0A" w:rsidP="00223ACB">
            <w:pPr>
              <w:jc w:val="center"/>
              <w:cnfStyle w:val="010000000000" w:firstRow="0" w:lastRow="1" w:firstColumn="0" w:lastColumn="0" w:oddVBand="0" w:evenVBand="0" w:oddHBand="0" w:evenHBand="0" w:firstRowFirstColumn="0" w:firstRowLastColumn="0" w:lastRowFirstColumn="0" w:lastRowLastColumn="0"/>
              <w:rPr>
                <w:b/>
                <w:bCs/>
                <w:sz w:val="18"/>
                <w:szCs w:val="18"/>
              </w:rPr>
            </w:pPr>
            <w:r w:rsidRPr="00116661">
              <w:rPr>
                <w:b/>
                <w:bCs/>
                <w:sz w:val="18"/>
                <w:szCs w:val="18"/>
              </w:rPr>
              <w:t>30,002</w:t>
            </w:r>
            <w:r w:rsidR="00116661" w:rsidRPr="00116661">
              <w:rPr>
                <w:b/>
                <w:bCs/>
                <w:sz w:val="18"/>
                <w:szCs w:val="18"/>
              </w:rPr>
              <w:t xml:space="preserve"> </w:t>
            </w:r>
          </w:p>
          <w:p w14:paraId="26A82B48" w14:textId="61D2507A" w:rsidR="00980B18" w:rsidRPr="00116661" w:rsidRDefault="0072627F" w:rsidP="00223ACB">
            <w:pPr>
              <w:jc w:val="center"/>
              <w:cnfStyle w:val="010000000000" w:firstRow="0" w:lastRow="1" w:firstColumn="0" w:lastColumn="0" w:oddVBand="0" w:evenVBand="0" w:oddHBand="0" w:evenHBand="0" w:firstRowFirstColumn="0" w:firstRowLastColumn="0" w:lastRowFirstColumn="0" w:lastRowLastColumn="0"/>
              <w:rPr>
                <w:sz w:val="18"/>
                <w:szCs w:val="18"/>
              </w:rPr>
            </w:pPr>
            <w:r w:rsidRPr="00116661">
              <w:rPr>
                <w:sz w:val="18"/>
                <w:szCs w:val="18"/>
              </w:rPr>
              <w:t>1.29</w:t>
            </w:r>
            <w:r w:rsidR="00D47014">
              <w:rPr>
                <w:sz w:val="18"/>
                <w:szCs w:val="18"/>
              </w:rPr>
              <w:t>%</w:t>
            </w:r>
            <w:r w:rsidRPr="00116661">
              <w:rPr>
                <w:sz w:val="18"/>
                <w:szCs w:val="18"/>
              </w:rPr>
              <w:t xml:space="preserve"> </w:t>
            </w:r>
            <w:r w:rsidR="00190BDA" w:rsidRPr="00116661">
              <w:rPr>
                <w:sz w:val="18"/>
                <w:szCs w:val="18"/>
              </w:rPr>
              <w:t>of original  budget</w:t>
            </w:r>
          </w:p>
        </w:tc>
      </w:tr>
    </w:tbl>
    <w:p w14:paraId="52F15556" w14:textId="1E71F98A" w:rsidR="00605B55" w:rsidRDefault="00605B55" w:rsidP="00605B55">
      <w:pPr>
        <w:pStyle w:val="DocumentSource"/>
      </w:pPr>
      <w:r w:rsidRPr="00575B9A">
        <w:t xml:space="preserve">Source: </w:t>
      </w:r>
      <w:r w:rsidR="00051D84">
        <w:t>Final budget report</w:t>
      </w:r>
      <w:r w:rsidR="00D056F5">
        <w:t>, March 2025.</w:t>
      </w:r>
    </w:p>
    <w:p w14:paraId="3C283D28" w14:textId="77777777" w:rsidR="0088662F" w:rsidRDefault="0088662F" w:rsidP="00605B55">
      <w:pPr>
        <w:pStyle w:val="DocumentSource"/>
        <w:rPr>
          <w:i w:val="0"/>
          <w:iCs/>
        </w:rPr>
        <w:sectPr w:rsidR="0088662F" w:rsidSect="00F666A1">
          <w:type w:val="continuous"/>
          <w:pgSz w:w="12240" w:h="15840" w:code="1"/>
          <w:pgMar w:top="1276" w:right="1276" w:bottom="568" w:left="1276" w:header="720" w:footer="720" w:gutter="0"/>
          <w:cols w:space="720"/>
          <w:docGrid w:linePitch="360"/>
        </w:sectPr>
      </w:pPr>
    </w:p>
    <w:p w14:paraId="0EB2CD2C" w14:textId="406EF62C" w:rsidR="0088662F" w:rsidRDefault="0088662F" w:rsidP="0088662F">
      <w:pPr>
        <w:pStyle w:val="BodyText"/>
      </w:pPr>
      <w:r>
        <w:t>At 13.7 percent, staff travel accounted for the third highest allotment, replacing contractual services. This development was logical, given the upfront costs that are associated with the provision of contractual services, as opposed to the fluctuating costs of air travel (and in-country accommodation), in particular during post-pandemic recovery. It is of interest, however, that the total expenditure on contractual services surpassed the revised allotment for this budget class, amount</w:t>
      </w:r>
      <w:r w:rsidR="001759CF">
        <w:t>ing</w:t>
      </w:r>
      <w:r>
        <w:t xml:space="preserve"> to 14 percent of the total project expenditure.</w:t>
      </w:r>
    </w:p>
    <w:p w14:paraId="7C75DB3C" w14:textId="398EC163" w:rsidR="0088662F" w:rsidRDefault="0088662F" w:rsidP="0088662F">
      <w:pPr>
        <w:pStyle w:val="BodyText"/>
      </w:pPr>
      <w:r>
        <w:t>Total project expenditure accounted for 96.76 of the revised allotment. There was an unspent balance that amounted to 3.23 percent of the revised allotment. This figure included funds that were returned by one target country as a result of delayed project start-up</w:t>
      </w:r>
      <w:r>
        <w:rPr>
          <w:rStyle w:val="FootnoteReference"/>
        </w:rPr>
        <w:footnoteReference w:id="42"/>
      </w:r>
      <w:r>
        <w:t xml:space="preserve">. The engagement of consultants </w:t>
      </w:r>
      <w:r>
        <w:t xml:space="preserve">and experts accounted for the largest percentage of the total project expenditure (51 percent), and was followed by contractual services (14 percent) and workshops (12 percent). Notably, the revised allotment </w:t>
      </w:r>
      <w:r w:rsidR="00766968">
        <w:t xml:space="preserve">for consultants and experts </w:t>
      </w:r>
      <w:r w:rsidR="00F8133A">
        <w:t>was</w:t>
      </w:r>
      <w:r w:rsidR="00F8133A" w:rsidRPr="00F8133A">
        <w:t xml:space="preserve"> </w:t>
      </w:r>
      <w:r w:rsidR="00F8133A">
        <w:t xml:space="preserve">significantly greater than the original allotment for this budget class. This was </w:t>
      </w:r>
      <w:r w:rsidR="00182C68">
        <w:t xml:space="preserve">also reflected in </w:t>
      </w:r>
      <w:r>
        <w:t>the total expenditure for consultants and expert</w:t>
      </w:r>
      <w:r w:rsidR="00182C68">
        <w:t>s</w:t>
      </w:r>
      <w:r>
        <w:t xml:space="preserve">. The total expenditure on contractual services has also shown that the original allotment </w:t>
      </w:r>
      <w:r w:rsidR="00B2192A">
        <w:t>f</w:t>
      </w:r>
      <w:r>
        <w:t xml:space="preserve">or this budget class was more accurate than the revised allotment. Although in-kind resources accounted for less than one percent of the total project expenditure, it is to be noted that </w:t>
      </w:r>
      <w:r w:rsidR="003A25C1">
        <w:t xml:space="preserve">an associated estimate </w:t>
      </w:r>
      <w:r>
        <w:t xml:space="preserve">was not included in the original project budget. </w:t>
      </w:r>
    </w:p>
    <w:p w14:paraId="53F6F8E3" w14:textId="40E87CA6" w:rsidR="00875969" w:rsidRPr="000509D8" w:rsidRDefault="00875969" w:rsidP="001471A8">
      <w:pPr>
        <w:pStyle w:val="Heading2"/>
      </w:pPr>
      <w:bookmarkStart w:id="19" w:name="_Toc210730313"/>
      <w:r w:rsidRPr="000509D8">
        <w:lastRenderedPageBreak/>
        <w:t>Link to the Sustainable Development Goals (SDGs)</w:t>
      </w:r>
      <w:bookmarkEnd w:id="19"/>
    </w:p>
    <w:p w14:paraId="30D47EF5" w14:textId="77777777" w:rsidR="00EF5FD9" w:rsidRDefault="00EF5FD9" w:rsidP="001471A8">
      <w:pPr>
        <w:pStyle w:val="BodyText"/>
        <w:sectPr w:rsidR="00EF5FD9" w:rsidSect="0088662F">
          <w:type w:val="continuous"/>
          <w:pgSz w:w="12240" w:h="15840" w:code="1"/>
          <w:pgMar w:top="1276" w:right="1276" w:bottom="568" w:left="1276" w:header="720" w:footer="720" w:gutter="0"/>
          <w:cols w:num="2" w:space="720"/>
          <w:docGrid w:linePitch="360"/>
        </w:sectPr>
      </w:pPr>
    </w:p>
    <w:p w14:paraId="3E375057" w14:textId="5ACA4C4F" w:rsidR="00A33624" w:rsidRDefault="00D2525B" w:rsidP="001471A8">
      <w:pPr>
        <w:pStyle w:val="BodyText"/>
      </w:pPr>
      <w:r>
        <w:t xml:space="preserve">As </w:t>
      </w:r>
      <w:r w:rsidR="00B10DA4">
        <w:t xml:space="preserve">the </w:t>
      </w:r>
      <w:r>
        <w:t xml:space="preserve">project </w:t>
      </w:r>
      <w:r w:rsidR="00E67ECD">
        <w:t xml:space="preserve">design </w:t>
      </w:r>
      <w:r w:rsidR="00B10DA4">
        <w:t xml:space="preserve">was </w:t>
      </w:r>
      <w:r>
        <w:t xml:space="preserve">informed by the 2015 Addis Agenda, </w:t>
      </w:r>
      <w:r w:rsidR="008530BA">
        <w:t xml:space="preserve">there </w:t>
      </w:r>
      <w:r w:rsidR="00B10DA4">
        <w:t>was</w:t>
      </w:r>
      <w:r w:rsidR="008530BA">
        <w:t xml:space="preserve"> a direct link between </w:t>
      </w:r>
      <w:r w:rsidR="00B10DA4">
        <w:t xml:space="preserve">project implementation and </w:t>
      </w:r>
      <w:r w:rsidR="00043C4C">
        <w:t xml:space="preserve">the </w:t>
      </w:r>
      <w:r w:rsidR="004464A6">
        <w:t>SDGs.</w:t>
      </w:r>
      <w:r w:rsidR="00043C4C">
        <w:t xml:space="preserve"> The 2015 Addis Agenda</w:t>
      </w:r>
      <w:r w:rsidR="0095169E">
        <w:t xml:space="preserve"> </w:t>
      </w:r>
      <w:r w:rsidR="00F34FAF">
        <w:t>is underpinned by a documented co</w:t>
      </w:r>
      <w:r w:rsidR="0095169E">
        <w:t xml:space="preserve">mmitment to </w:t>
      </w:r>
      <w:r w:rsidR="00F34FAF">
        <w:t xml:space="preserve">the post-2015 </w:t>
      </w:r>
      <w:r w:rsidR="0095169E">
        <w:t>development</w:t>
      </w:r>
      <w:r w:rsidR="00F34FAF">
        <w:t xml:space="preserve"> agenda, </w:t>
      </w:r>
      <w:r w:rsidR="000A2E85">
        <w:t xml:space="preserve">namely </w:t>
      </w:r>
      <w:r w:rsidR="00BE68EB">
        <w:t xml:space="preserve">the facilitation of the 2030 Agenda for Sustainable Development, </w:t>
      </w:r>
      <w:r w:rsidR="00F34FAF">
        <w:t>including the achievement of the SDGs</w:t>
      </w:r>
      <w:r w:rsidR="00491362">
        <w:rPr>
          <w:rStyle w:val="FootnoteReference"/>
        </w:rPr>
        <w:footnoteReference w:id="43"/>
      </w:r>
      <w:r w:rsidR="00F34FAF">
        <w:t xml:space="preserve">. </w:t>
      </w:r>
    </w:p>
    <w:p w14:paraId="191AF67D" w14:textId="0C4C012E" w:rsidR="00CD4FEA" w:rsidRDefault="009C3D4A" w:rsidP="001471A8">
      <w:pPr>
        <w:pStyle w:val="BodyText"/>
      </w:pPr>
      <w:r>
        <w:t>In line with the</w:t>
      </w:r>
      <w:r w:rsidR="0000614C">
        <w:t xml:space="preserve"> </w:t>
      </w:r>
      <w:r w:rsidR="00886CD8">
        <w:t xml:space="preserve">focus on </w:t>
      </w:r>
      <w:r w:rsidR="00614919">
        <w:t>development financing</w:t>
      </w:r>
      <w:r w:rsidR="0000614C">
        <w:t xml:space="preserve"> </w:t>
      </w:r>
      <w:r w:rsidR="00D41FC9">
        <w:t xml:space="preserve">through multiple </w:t>
      </w:r>
      <w:r w:rsidR="00133A00">
        <w:t xml:space="preserve">stakeholder collaboration, there </w:t>
      </w:r>
      <w:r w:rsidR="00892EA8">
        <w:t>was</w:t>
      </w:r>
      <w:r w:rsidR="00133A00">
        <w:t xml:space="preserve"> a link between </w:t>
      </w:r>
      <w:r w:rsidR="00280F7B">
        <w:t xml:space="preserve">the </w:t>
      </w:r>
      <w:r w:rsidR="00133A00">
        <w:t xml:space="preserve">INFF project </w:t>
      </w:r>
      <w:r w:rsidR="00280F7B">
        <w:t>and SDG17</w:t>
      </w:r>
      <w:r w:rsidR="002F4821">
        <w:t xml:space="preserve">, </w:t>
      </w:r>
      <w:r w:rsidR="002F4821" w:rsidRPr="00CD4FEA">
        <w:t>including Targets 17.1; 17.3; 17.9</w:t>
      </w:r>
      <w:r w:rsidR="00FA1A0D" w:rsidRPr="00CD4FEA">
        <w:t>; and 17.14 (see</w:t>
      </w:r>
      <w:r w:rsidR="00FA1A0D">
        <w:t xml:space="preserve"> Exhibit </w:t>
      </w:r>
      <w:r w:rsidR="00716249">
        <w:t>7</w:t>
      </w:r>
      <w:r w:rsidR="00FA1A0D">
        <w:t xml:space="preserve">). </w:t>
      </w:r>
      <w:r w:rsidR="00896E16">
        <w:t xml:space="preserve">The </w:t>
      </w:r>
      <w:r w:rsidR="001112D6">
        <w:t xml:space="preserve">aim of SDG17 </w:t>
      </w:r>
      <w:r w:rsidR="00892EA8">
        <w:t xml:space="preserve">is </w:t>
      </w:r>
      <w:r w:rsidR="00457002">
        <w:t xml:space="preserve">to strengthen </w:t>
      </w:r>
      <w:r w:rsidR="00884031">
        <w:t xml:space="preserve">the modalities/ means of implementation </w:t>
      </w:r>
      <w:r w:rsidR="00E0440A">
        <w:t>that ca</w:t>
      </w:r>
      <w:r w:rsidR="00226B1A">
        <w:t>n</w:t>
      </w:r>
      <w:r w:rsidR="00E0440A">
        <w:t xml:space="preserve"> be used to facilitate sustainable development at the country level </w:t>
      </w:r>
      <w:r w:rsidR="00764413">
        <w:t xml:space="preserve">and </w:t>
      </w:r>
      <w:r w:rsidR="00226B1A">
        <w:t xml:space="preserve">restore the </w:t>
      </w:r>
      <w:r w:rsidR="00764413">
        <w:t xml:space="preserve">collaborative </w:t>
      </w:r>
      <w:r w:rsidR="00D74AC0">
        <w:t xml:space="preserve">global partnerships </w:t>
      </w:r>
      <w:r w:rsidR="00226B1A">
        <w:t xml:space="preserve">that </w:t>
      </w:r>
      <w:r w:rsidR="0028720D">
        <w:t xml:space="preserve">are needed for a </w:t>
      </w:r>
      <w:r w:rsidR="00334423">
        <w:t>success</w:t>
      </w:r>
      <w:r w:rsidR="0028720D">
        <w:t>ful outcome</w:t>
      </w:r>
      <w:r w:rsidR="00334423">
        <w:t>.</w:t>
      </w:r>
      <w:r w:rsidR="00353BFF">
        <w:t xml:space="preserve"> </w:t>
      </w:r>
    </w:p>
    <w:p w14:paraId="6D452282" w14:textId="1DEB28A4" w:rsidR="003F234B" w:rsidRDefault="00871835" w:rsidP="001471A8">
      <w:pPr>
        <w:pStyle w:val="BodyText"/>
      </w:pPr>
      <w:r>
        <w:t xml:space="preserve">Targets </w:t>
      </w:r>
      <w:r w:rsidR="00B3184F">
        <w:t xml:space="preserve">17.1 and 17.3 </w:t>
      </w:r>
      <w:r w:rsidR="009D365B">
        <w:t>h</w:t>
      </w:r>
      <w:r w:rsidR="00EE6B1B">
        <w:t xml:space="preserve">ighlight </w:t>
      </w:r>
      <w:r w:rsidR="00EF33A3">
        <w:t>the importance of resource mobilisation</w:t>
      </w:r>
      <w:r w:rsidR="00F15BEF">
        <w:t xml:space="preserve"> </w:t>
      </w:r>
      <w:r w:rsidR="001D7DC8">
        <w:t xml:space="preserve">during </w:t>
      </w:r>
      <w:r w:rsidR="00BF33E8">
        <w:t>this process</w:t>
      </w:r>
      <w:r w:rsidR="001D7DC8">
        <w:t xml:space="preserve">. </w:t>
      </w:r>
      <w:r w:rsidR="003F234B">
        <w:t xml:space="preserve">Target 17.9 </w:t>
      </w:r>
      <w:r w:rsidR="001D7DC8">
        <w:t xml:space="preserve">further </w:t>
      </w:r>
      <w:r w:rsidR="00807DCF">
        <w:t xml:space="preserve">identifies capacity-building and inter-regional </w:t>
      </w:r>
      <w:r w:rsidR="007052D7">
        <w:t xml:space="preserve">exchange as modalities for </w:t>
      </w:r>
      <w:r w:rsidR="001D7DC8">
        <w:t xml:space="preserve">knowledge-exchange; </w:t>
      </w:r>
      <w:r w:rsidR="001F7EDA">
        <w:t xml:space="preserve">informational </w:t>
      </w:r>
      <w:r w:rsidR="007052D7">
        <w:t>transfer</w:t>
      </w:r>
      <w:r w:rsidR="00222A01">
        <w:t>;</w:t>
      </w:r>
      <w:r w:rsidR="007052D7">
        <w:t xml:space="preserve"> </w:t>
      </w:r>
      <w:r w:rsidR="00BE2F90">
        <w:t xml:space="preserve">and </w:t>
      </w:r>
      <w:r w:rsidR="001F7EDA">
        <w:t>experience-</w:t>
      </w:r>
      <w:r w:rsidR="00BE2F90">
        <w:t xml:space="preserve">sharing </w:t>
      </w:r>
      <w:r w:rsidR="001F7EDA">
        <w:t xml:space="preserve">among </w:t>
      </w:r>
      <w:r w:rsidR="00083573">
        <w:t xml:space="preserve">project </w:t>
      </w:r>
      <w:r w:rsidR="00097466">
        <w:t>stakeholders</w:t>
      </w:r>
      <w:r w:rsidR="00CB4599">
        <w:t xml:space="preserve"> to support </w:t>
      </w:r>
      <w:r w:rsidR="006321A6">
        <w:t>peer-learning</w:t>
      </w:r>
      <w:r w:rsidR="00083573">
        <w:t xml:space="preserve">. Within the project </w:t>
      </w:r>
      <w:r w:rsidR="00BD54CB">
        <w:t>context</w:t>
      </w:r>
      <w:r w:rsidR="00491119">
        <w:t xml:space="preserve">, the reference is </w:t>
      </w:r>
      <w:r w:rsidR="00D71F3D">
        <w:t xml:space="preserve">applicable </w:t>
      </w:r>
      <w:r w:rsidR="00491119">
        <w:t>to the target beneficiaries.</w:t>
      </w:r>
      <w:r w:rsidR="00D71F3D">
        <w:t xml:space="preserve"> </w:t>
      </w:r>
      <w:r w:rsidR="00AE0D1C">
        <w:t xml:space="preserve">The need for coherent policy </w:t>
      </w:r>
      <w:r w:rsidR="004F085D">
        <w:t>environments at the global and national level</w:t>
      </w:r>
      <w:r w:rsidR="003F3A0D">
        <w:t xml:space="preserve">, as documented within the Addis Agenda, is </w:t>
      </w:r>
      <w:r w:rsidR="00CD4FEA">
        <w:t>addressed by Target 17.14.</w:t>
      </w:r>
    </w:p>
    <w:p w14:paraId="769CE79C" w14:textId="074C3D33" w:rsidR="003F234B" w:rsidRDefault="00F14957" w:rsidP="001471A8">
      <w:pPr>
        <w:pStyle w:val="BodyText"/>
      </w:pPr>
      <w:r>
        <w:t xml:space="preserve">The link between project implementation and </w:t>
      </w:r>
      <w:r w:rsidR="006810C4">
        <w:t>SDG16</w:t>
      </w:r>
      <w:r>
        <w:t xml:space="preserve">, including </w:t>
      </w:r>
      <w:r w:rsidR="001D6E6B">
        <w:t>Target 16.6</w:t>
      </w:r>
      <w:r w:rsidR="00D50472">
        <w:t xml:space="preserve"> (see Exhibit </w:t>
      </w:r>
      <w:r w:rsidR="00426DF4">
        <w:t>7)</w:t>
      </w:r>
      <w:r>
        <w:t xml:space="preserve"> </w:t>
      </w:r>
      <w:r w:rsidR="00892EA8">
        <w:t xml:space="preserve">was </w:t>
      </w:r>
      <w:r w:rsidR="000046F4">
        <w:t xml:space="preserve">indicated by the </w:t>
      </w:r>
      <w:r w:rsidR="009D365B">
        <w:t>emphasis on</w:t>
      </w:r>
      <w:r w:rsidR="0092526C">
        <w:t xml:space="preserve"> efficient infrastructure</w:t>
      </w:r>
      <w:r w:rsidR="00AE662C">
        <w:t xml:space="preserve">. </w:t>
      </w:r>
      <w:r w:rsidR="00892EA8">
        <w:t xml:space="preserve">SDG focuses </w:t>
      </w:r>
      <w:r w:rsidR="00577A92">
        <w:t>focus on societal inclusivenes</w:t>
      </w:r>
      <w:r w:rsidR="00C51F67">
        <w:t>s;</w:t>
      </w:r>
      <w:r w:rsidR="00555E7B">
        <w:t xml:space="preserve"> transparent processes</w:t>
      </w:r>
      <w:r w:rsidR="00C51F67">
        <w:t xml:space="preserve">; </w:t>
      </w:r>
      <w:r w:rsidR="00555E7B">
        <w:t xml:space="preserve">and </w:t>
      </w:r>
      <w:r w:rsidR="00577A92">
        <w:t xml:space="preserve"> institutional </w:t>
      </w:r>
      <w:r w:rsidR="00C51F67">
        <w:t>accountability</w:t>
      </w:r>
      <w:r w:rsidR="001275B8">
        <w:t>, to support</w:t>
      </w:r>
      <w:r w:rsidR="005E5349">
        <w:t xml:space="preserve"> </w:t>
      </w:r>
      <w:r w:rsidR="00252602">
        <w:t xml:space="preserve">goal achievement </w:t>
      </w:r>
      <w:r w:rsidR="00F60A40">
        <w:t xml:space="preserve">based on </w:t>
      </w:r>
      <w:r w:rsidR="005E5349">
        <w:t>effective</w:t>
      </w:r>
      <w:r w:rsidR="00F60A40">
        <w:t xml:space="preserve"> </w:t>
      </w:r>
      <w:r w:rsidR="005E5349">
        <w:t>process.</w:t>
      </w:r>
    </w:p>
    <w:p w14:paraId="1B9C429A" w14:textId="60F86A97" w:rsidR="00731926" w:rsidRDefault="00731926" w:rsidP="001471A8">
      <w:pPr>
        <w:pStyle w:val="BodyText"/>
      </w:pPr>
    </w:p>
    <w:p w14:paraId="63175891" w14:textId="77777777" w:rsidR="00EF5FD9" w:rsidRDefault="00EF5FD9" w:rsidP="001471A8">
      <w:pPr>
        <w:pStyle w:val="Caption"/>
        <w:sectPr w:rsidR="00EF5FD9" w:rsidSect="00F666A1">
          <w:type w:val="continuous"/>
          <w:pgSz w:w="12240" w:h="15840" w:code="1"/>
          <w:pgMar w:top="1276" w:right="1276" w:bottom="1588" w:left="1276" w:header="720" w:footer="720" w:gutter="0"/>
          <w:cols w:num="2" w:space="397"/>
          <w:docGrid w:linePitch="360"/>
        </w:sectPr>
      </w:pPr>
    </w:p>
    <w:p w14:paraId="5C62277C" w14:textId="709B3A32" w:rsidR="00C444A1" w:rsidRPr="001471A8" w:rsidRDefault="00CB1482" w:rsidP="001471A8">
      <w:pPr>
        <w:pStyle w:val="Caption"/>
      </w:pPr>
      <w:bookmarkStart w:id="20" w:name="_Toc210730340"/>
      <w:r w:rsidRPr="001471A8">
        <w:t>Exhibit</w:t>
      </w:r>
      <w:r w:rsidR="00C444A1" w:rsidRPr="001471A8">
        <w:t xml:space="preserve"> </w:t>
      </w:r>
      <w:r w:rsidR="00C444A1" w:rsidRPr="001471A8">
        <w:fldChar w:fldCharType="begin"/>
      </w:r>
      <w:r w:rsidR="00C444A1" w:rsidRPr="001471A8">
        <w:instrText xml:space="preserve"> SEQ Table \* ARABIC </w:instrText>
      </w:r>
      <w:r w:rsidR="00C444A1" w:rsidRPr="001471A8">
        <w:fldChar w:fldCharType="separate"/>
      </w:r>
      <w:r w:rsidR="00716249">
        <w:rPr>
          <w:noProof/>
        </w:rPr>
        <w:t>7</w:t>
      </w:r>
      <w:r w:rsidR="00C444A1" w:rsidRPr="001471A8">
        <w:fldChar w:fldCharType="end"/>
      </w:r>
      <w:r w:rsidR="00C444A1" w:rsidRPr="001471A8">
        <w:t xml:space="preserve"> Project linkage to SDGs and targets</w:t>
      </w:r>
      <w:bookmarkEnd w:id="20"/>
      <w:r w:rsidR="00C444A1" w:rsidRPr="001471A8">
        <w:t xml:space="preserve"> </w:t>
      </w:r>
    </w:p>
    <w:tbl>
      <w:tblPr>
        <w:tblStyle w:val="BlueTable"/>
        <w:tblW w:w="5000" w:type="pct"/>
        <w:tblLook w:val="04A0" w:firstRow="1" w:lastRow="0" w:firstColumn="1" w:lastColumn="0" w:noHBand="0" w:noVBand="1"/>
      </w:tblPr>
      <w:tblGrid>
        <w:gridCol w:w="2402"/>
        <w:gridCol w:w="7270"/>
      </w:tblGrid>
      <w:tr w:rsidR="00731926" w:rsidRPr="00F03CD6" w14:paraId="11A313CD" w14:textId="77777777" w:rsidTr="004F01F8">
        <w:trPr>
          <w:cnfStyle w:val="100000000000" w:firstRow="1" w:lastRow="0" w:firstColumn="0" w:lastColumn="0" w:oddVBand="0" w:evenVBand="0" w:oddHBand="0" w:evenHBand="0" w:firstRowFirstColumn="0" w:firstRowLastColumn="0" w:lastRowFirstColumn="0" w:lastRowLastColumn="0"/>
          <w:trHeight w:val="340"/>
          <w:tblHeader/>
        </w:trPr>
        <w:tc>
          <w:tcPr>
            <w:cnfStyle w:val="001000000000" w:firstRow="0" w:lastRow="0" w:firstColumn="1" w:lastColumn="0" w:oddVBand="0" w:evenVBand="0" w:oddHBand="0" w:evenHBand="0" w:firstRowFirstColumn="0" w:firstRowLastColumn="0" w:lastRowFirstColumn="0" w:lastRowLastColumn="0"/>
            <w:tcW w:w="2402" w:type="dxa"/>
            <w:vAlign w:val="center"/>
          </w:tcPr>
          <w:p w14:paraId="52219070" w14:textId="225B1D86" w:rsidR="00731926" w:rsidRPr="00AB5946" w:rsidRDefault="00F03CD6" w:rsidP="007C6D4A">
            <w:pPr>
              <w:rPr>
                <w:sz w:val="19"/>
                <w:szCs w:val="19"/>
              </w:rPr>
            </w:pPr>
            <w:r w:rsidRPr="00AB5946">
              <w:rPr>
                <w:sz w:val="19"/>
                <w:szCs w:val="19"/>
              </w:rPr>
              <w:t>Project objectives</w:t>
            </w:r>
          </w:p>
        </w:tc>
        <w:tc>
          <w:tcPr>
            <w:tcW w:w="7270" w:type="dxa"/>
            <w:vAlign w:val="center"/>
          </w:tcPr>
          <w:p w14:paraId="6CAF06C1" w14:textId="156A134E" w:rsidR="00731926" w:rsidRPr="00AB5946" w:rsidRDefault="00F03CD6" w:rsidP="007C6D4A">
            <w:pPr>
              <w:cnfStyle w:val="100000000000" w:firstRow="1" w:lastRow="0" w:firstColumn="0" w:lastColumn="0" w:oddVBand="0" w:evenVBand="0" w:oddHBand="0" w:evenHBand="0" w:firstRowFirstColumn="0" w:firstRowLastColumn="0" w:lastRowFirstColumn="0" w:lastRowLastColumn="0"/>
              <w:rPr>
                <w:sz w:val="19"/>
                <w:szCs w:val="19"/>
              </w:rPr>
            </w:pPr>
            <w:r w:rsidRPr="00AB5946">
              <w:rPr>
                <w:sz w:val="19"/>
                <w:szCs w:val="19"/>
              </w:rPr>
              <w:t xml:space="preserve">Associated SDGS </w:t>
            </w:r>
            <w:r w:rsidR="001E711E" w:rsidRPr="00AB5946">
              <w:rPr>
                <w:sz w:val="19"/>
                <w:szCs w:val="19"/>
              </w:rPr>
              <w:t xml:space="preserve">and </w:t>
            </w:r>
            <w:r w:rsidR="00731926" w:rsidRPr="00AB5946">
              <w:rPr>
                <w:sz w:val="19"/>
                <w:szCs w:val="19"/>
              </w:rPr>
              <w:t>targets</w:t>
            </w:r>
          </w:p>
        </w:tc>
      </w:tr>
      <w:tr w:rsidR="00C61DE4" w:rsidRPr="00041EA7" w14:paraId="2F67EB0A"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val="restart"/>
            <w:vAlign w:val="center"/>
          </w:tcPr>
          <w:p w14:paraId="76E23A93" w14:textId="77777777" w:rsidR="00C61DE4" w:rsidRPr="00AB5946" w:rsidRDefault="00F55FA1" w:rsidP="004F01F8">
            <w:pPr>
              <w:pStyle w:val="Normal-sizedTableBullets"/>
              <w:spacing w:before="0" w:after="120"/>
              <w:rPr>
                <w:sz w:val="19"/>
                <w:szCs w:val="19"/>
              </w:rPr>
            </w:pPr>
            <w:r w:rsidRPr="00AB5946">
              <w:rPr>
                <w:sz w:val="19"/>
                <w:szCs w:val="19"/>
              </w:rPr>
              <w:t xml:space="preserve">Mobilise and align financing with </w:t>
            </w:r>
            <w:r w:rsidR="00177CDA" w:rsidRPr="00AB5946">
              <w:rPr>
                <w:sz w:val="19"/>
                <w:szCs w:val="19"/>
              </w:rPr>
              <w:t>national sustainable development priorities</w:t>
            </w:r>
          </w:p>
          <w:p w14:paraId="49F2DA7F" w14:textId="686C78ED" w:rsidR="00EF0236" w:rsidRPr="00AB5946" w:rsidRDefault="00EF0236" w:rsidP="004F01F8">
            <w:pPr>
              <w:pStyle w:val="Normal-sizedTableBullets"/>
              <w:spacing w:before="0" w:after="120"/>
              <w:rPr>
                <w:sz w:val="19"/>
                <w:szCs w:val="19"/>
              </w:rPr>
            </w:pPr>
            <w:r w:rsidRPr="00AB5946">
              <w:rPr>
                <w:sz w:val="19"/>
                <w:szCs w:val="19"/>
              </w:rPr>
              <w:t>F</w:t>
            </w:r>
            <w:r w:rsidR="004F01F8" w:rsidRPr="00AB5946">
              <w:rPr>
                <w:sz w:val="19"/>
                <w:szCs w:val="19"/>
              </w:rPr>
              <w:t xml:space="preserve">oster regional and global </w:t>
            </w:r>
            <w:r w:rsidR="006321A6">
              <w:rPr>
                <w:sz w:val="19"/>
                <w:szCs w:val="19"/>
              </w:rPr>
              <w:t>knowledge-exchange</w:t>
            </w:r>
            <w:r w:rsidR="00490A81" w:rsidRPr="00AB5946">
              <w:rPr>
                <w:sz w:val="19"/>
                <w:szCs w:val="19"/>
              </w:rPr>
              <w:t xml:space="preserve"> </w:t>
            </w:r>
            <w:r w:rsidR="009D6065" w:rsidRPr="00AB5946">
              <w:rPr>
                <w:sz w:val="19"/>
                <w:szCs w:val="19"/>
              </w:rPr>
              <w:t xml:space="preserve">to better link </w:t>
            </w:r>
            <w:r w:rsidR="00B645A5" w:rsidRPr="00AB5946">
              <w:rPr>
                <w:sz w:val="19"/>
                <w:szCs w:val="19"/>
              </w:rPr>
              <w:t xml:space="preserve">global policy processes to </w:t>
            </w:r>
            <w:r w:rsidR="00515F07" w:rsidRPr="00AB5946">
              <w:rPr>
                <w:sz w:val="19"/>
                <w:szCs w:val="19"/>
              </w:rPr>
              <w:t>national and regional implementation</w:t>
            </w:r>
          </w:p>
        </w:tc>
        <w:tc>
          <w:tcPr>
            <w:tcW w:w="7270" w:type="dxa"/>
            <w:shd w:val="clear" w:color="auto" w:fill="0075A4" w:themeFill="accent1" w:themeFillShade="BF"/>
            <w:vAlign w:val="center"/>
          </w:tcPr>
          <w:p w14:paraId="04B50405" w14:textId="37F19AA2" w:rsidR="00C61DE4" w:rsidRPr="00AB5946" w:rsidRDefault="00C61DE4" w:rsidP="007C6D4A">
            <w:pPr>
              <w:cnfStyle w:val="000000000000" w:firstRow="0" w:lastRow="0" w:firstColumn="0" w:lastColumn="0" w:oddVBand="0" w:evenVBand="0" w:oddHBand="0" w:evenHBand="0" w:firstRowFirstColumn="0" w:firstRowLastColumn="0" w:lastRowFirstColumn="0" w:lastRowLastColumn="0"/>
              <w:rPr>
                <w:b/>
                <w:bCs/>
                <w:color w:val="FFFFFF" w:themeColor="background1"/>
                <w:sz w:val="19"/>
                <w:szCs w:val="19"/>
              </w:rPr>
            </w:pPr>
            <w:r w:rsidRPr="00AB5946">
              <w:rPr>
                <w:b/>
                <w:bCs/>
                <w:color w:val="FFFFFF" w:themeColor="background1"/>
                <w:sz w:val="19"/>
                <w:szCs w:val="19"/>
              </w:rPr>
              <w:t>SDG</w:t>
            </w:r>
            <w:r w:rsidR="00722822" w:rsidRPr="00AB5946">
              <w:rPr>
                <w:b/>
                <w:bCs/>
                <w:color w:val="FFFFFF" w:themeColor="background1"/>
                <w:sz w:val="19"/>
                <w:szCs w:val="19"/>
              </w:rPr>
              <w:t>17</w:t>
            </w:r>
            <w:r w:rsidRPr="00AB5946">
              <w:rPr>
                <w:b/>
                <w:bCs/>
                <w:color w:val="FFFFFF" w:themeColor="background1"/>
                <w:sz w:val="19"/>
                <w:szCs w:val="19"/>
              </w:rPr>
              <w:t xml:space="preserve">: </w:t>
            </w:r>
            <w:r w:rsidR="006148B1" w:rsidRPr="00AB5946">
              <w:rPr>
                <w:b/>
                <w:bCs/>
                <w:color w:val="FFFFFF" w:themeColor="background1"/>
                <w:sz w:val="19"/>
                <w:szCs w:val="19"/>
              </w:rPr>
              <w:t>St</w:t>
            </w:r>
            <w:r w:rsidR="001112D6" w:rsidRPr="00AB5946">
              <w:rPr>
                <w:b/>
                <w:bCs/>
                <w:color w:val="FFFFFF" w:themeColor="background1"/>
                <w:sz w:val="19"/>
                <w:szCs w:val="19"/>
              </w:rPr>
              <w:t>r</w:t>
            </w:r>
            <w:r w:rsidR="006148B1" w:rsidRPr="00AB5946">
              <w:rPr>
                <w:b/>
                <w:bCs/>
                <w:color w:val="FFFFFF" w:themeColor="background1"/>
                <w:sz w:val="19"/>
                <w:szCs w:val="19"/>
              </w:rPr>
              <w:t xml:space="preserve">engthen the means of implementation and revitalise the </w:t>
            </w:r>
            <w:r w:rsidR="00EE7D47" w:rsidRPr="00AB5946">
              <w:rPr>
                <w:b/>
                <w:bCs/>
                <w:color w:val="FFFFFF" w:themeColor="background1"/>
                <w:sz w:val="19"/>
                <w:szCs w:val="19"/>
              </w:rPr>
              <w:t>global partnership for sustainable development</w:t>
            </w:r>
          </w:p>
        </w:tc>
      </w:tr>
      <w:tr w:rsidR="00C61DE4" w:rsidRPr="00041EA7" w14:paraId="03052905"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358452D5" w14:textId="77777777" w:rsidR="00C61DE4" w:rsidRPr="00AB5946" w:rsidRDefault="00C61DE4" w:rsidP="00C61DE4">
            <w:pPr>
              <w:rPr>
                <w:b w:val="0"/>
                <w:bCs/>
                <w:sz w:val="19"/>
                <w:szCs w:val="19"/>
              </w:rPr>
            </w:pPr>
          </w:p>
        </w:tc>
        <w:tc>
          <w:tcPr>
            <w:tcW w:w="7270" w:type="dxa"/>
          </w:tcPr>
          <w:p w14:paraId="306A8F38" w14:textId="04F2BB9B"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 xml:space="preserve">Target </w:t>
            </w:r>
            <w:r w:rsidR="005952FB" w:rsidRPr="00AB5946">
              <w:rPr>
                <w:b/>
                <w:bCs/>
                <w:sz w:val="19"/>
                <w:szCs w:val="19"/>
              </w:rPr>
              <w:t>17.1</w:t>
            </w:r>
            <w:r w:rsidR="00BC68CE" w:rsidRPr="00AB5946">
              <w:rPr>
                <w:b/>
                <w:bCs/>
                <w:sz w:val="19"/>
                <w:szCs w:val="19"/>
              </w:rPr>
              <w:t xml:space="preserve"> </w:t>
            </w:r>
            <w:r w:rsidR="00BC68CE" w:rsidRPr="00AB5946">
              <w:rPr>
                <w:sz w:val="19"/>
                <w:szCs w:val="19"/>
              </w:rPr>
              <w:t>Strengthen domestic resource mobili</w:t>
            </w:r>
            <w:r w:rsidR="00034190" w:rsidRPr="00AB5946">
              <w:rPr>
                <w:sz w:val="19"/>
                <w:szCs w:val="19"/>
              </w:rPr>
              <w:t>s</w:t>
            </w:r>
            <w:r w:rsidR="00BC68CE" w:rsidRPr="00AB5946">
              <w:rPr>
                <w:sz w:val="19"/>
                <w:szCs w:val="19"/>
              </w:rPr>
              <w:t>ation, including through international support to developing countries, to improve domestic capacity for tax and other revenue collection</w:t>
            </w:r>
          </w:p>
        </w:tc>
      </w:tr>
      <w:tr w:rsidR="00C61DE4" w:rsidRPr="00041EA7" w14:paraId="1B61EC83"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10C4537B" w14:textId="77777777" w:rsidR="00C61DE4" w:rsidRPr="00AB5946" w:rsidRDefault="00C61DE4" w:rsidP="00C61DE4">
            <w:pPr>
              <w:rPr>
                <w:b w:val="0"/>
                <w:bCs/>
                <w:sz w:val="19"/>
                <w:szCs w:val="19"/>
              </w:rPr>
            </w:pPr>
          </w:p>
        </w:tc>
        <w:tc>
          <w:tcPr>
            <w:tcW w:w="7270" w:type="dxa"/>
          </w:tcPr>
          <w:p w14:paraId="56C33F58" w14:textId="697F8BE0"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 xml:space="preserve">Target </w:t>
            </w:r>
            <w:r w:rsidR="005952FB" w:rsidRPr="00AB5946">
              <w:rPr>
                <w:b/>
                <w:bCs/>
                <w:sz w:val="19"/>
                <w:szCs w:val="19"/>
              </w:rPr>
              <w:t xml:space="preserve">17.3 </w:t>
            </w:r>
            <w:r w:rsidR="00034190" w:rsidRPr="00AB5946">
              <w:rPr>
                <w:sz w:val="19"/>
                <w:szCs w:val="19"/>
              </w:rPr>
              <w:t>Mobilise additional financial resources for developing countries from multiple sources</w:t>
            </w:r>
          </w:p>
        </w:tc>
      </w:tr>
      <w:tr w:rsidR="00C61DE4" w:rsidRPr="00041EA7" w14:paraId="0569955D"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30F6AC93" w14:textId="77777777" w:rsidR="00C61DE4" w:rsidRPr="00AB5946" w:rsidRDefault="00C61DE4" w:rsidP="00C61DE4">
            <w:pPr>
              <w:rPr>
                <w:b w:val="0"/>
                <w:bCs/>
                <w:sz w:val="19"/>
                <w:szCs w:val="19"/>
              </w:rPr>
            </w:pPr>
          </w:p>
        </w:tc>
        <w:tc>
          <w:tcPr>
            <w:tcW w:w="7270" w:type="dxa"/>
          </w:tcPr>
          <w:p w14:paraId="024753E1" w14:textId="1567DCB2"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 xml:space="preserve">Target </w:t>
            </w:r>
            <w:r w:rsidR="005952FB" w:rsidRPr="00AB5946">
              <w:rPr>
                <w:b/>
                <w:bCs/>
                <w:sz w:val="19"/>
                <w:szCs w:val="19"/>
              </w:rPr>
              <w:t>17.9</w:t>
            </w:r>
            <w:r w:rsidR="00971F64" w:rsidRPr="00AB5946">
              <w:rPr>
                <w:b/>
                <w:bCs/>
                <w:sz w:val="19"/>
                <w:szCs w:val="19"/>
              </w:rPr>
              <w:t xml:space="preserve"> </w:t>
            </w:r>
            <w:r w:rsidR="00971F64" w:rsidRPr="00AB5946">
              <w:rPr>
                <w:sz w:val="19"/>
                <w:szCs w:val="19"/>
              </w:rPr>
              <w:t>Enhance international support for implementing effective and targeted capacity-building in developing countries to support national plans to implement all the SDGs, including through North-South, South-South and triangular cooperation</w:t>
            </w:r>
          </w:p>
        </w:tc>
      </w:tr>
      <w:tr w:rsidR="00C61DE4" w:rsidRPr="00041EA7" w14:paraId="120FC39C"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38FCE1AF" w14:textId="77777777" w:rsidR="00C61DE4" w:rsidRPr="00AB5946" w:rsidRDefault="00C61DE4" w:rsidP="00C61DE4">
            <w:pPr>
              <w:rPr>
                <w:b w:val="0"/>
                <w:bCs/>
                <w:sz w:val="19"/>
                <w:szCs w:val="19"/>
              </w:rPr>
            </w:pPr>
          </w:p>
        </w:tc>
        <w:tc>
          <w:tcPr>
            <w:tcW w:w="7270" w:type="dxa"/>
          </w:tcPr>
          <w:p w14:paraId="586ABE34" w14:textId="2E121512"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 xml:space="preserve">Target </w:t>
            </w:r>
            <w:r w:rsidR="00722822" w:rsidRPr="00AB5946">
              <w:rPr>
                <w:b/>
                <w:bCs/>
                <w:sz w:val="19"/>
                <w:szCs w:val="19"/>
              </w:rPr>
              <w:t>17.14</w:t>
            </w:r>
            <w:r w:rsidR="00971F64" w:rsidRPr="00AB5946">
              <w:rPr>
                <w:b/>
                <w:bCs/>
                <w:sz w:val="19"/>
                <w:szCs w:val="19"/>
              </w:rPr>
              <w:t xml:space="preserve"> </w:t>
            </w:r>
            <w:r w:rsidR="00A33624" w:rsidRPr="00AB5946">
              <w:rPr>
                <w:sz w:val="19"/>
                <w:szCs w:val="19"/>
              </w:rPr>
              <w:t>Enhance policy coherence for sustainable development</w:t>
            </w:r>
          </w:p>
        </w:tc>
      </w:tr>
      <w:tr w:rsidR="00C61DE4" w:rsidRPr="00041EA7" w14:paraId="78BFC58A"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383B525A" w14:textId="02C9F0C0" w:rsidR="00C61DE4" w:rsidRPr="00AB5946" w:rsidRDefault="00C61DE4" w:rsidP="00C61DE4">
            <w:pPr>
              <w:rPr>
                <w:sz w:val="19"/>
                <w:szCs w:val="19"/>
              </w:rPr>
            </w:pPr>
          </w:p>
        </w:tc>
        <w:tc>
          <w:tcPr>
            <w:tcW w:w="7270" w:type="dxa"/>
            <w:shd w:val="clear" w:color="auto" w:fill="0075A4" w:themeFill="accent1" w:themeFillShade="BF"/>
            <w:vAlign w:val="center"/>
          </w:tcPr>
          <w:p w14:paraId="56D306FC" w14:textId="77777777" w:rsidR="00C61DE4" w:rsidRPr="00AB5946" w:rsidRDefault="00C61DE4" w:rsidP="007C6D4A">
            <w:pPr>
              <w:cnfStyle w:val="000000000000" w:firstRow="0" w:lastRow="0" w:firstColumn="0" w:lastColumn="0" w:oddVBand="0" w:evenVBand="0" w:oddHBand="0" w:evenHBand="0" w:firstRowFirstColumn="0" w:firstRowLastColumn="0" w:lastRowFirstColumn="0" w:lastRowLastColumn="0"/>
              <w:rPr>
                <w:b/>
                <w:bCs/>
                <w:color w:val="FFFFFF" w:themeColor="background1"/>
                <w:sz w:val="19"/>
                <w:szCs w:val="19"/>
              </w:rPr>
            </w:pPr>
            <w:r w:rsidRPr="00AB5946">
              <w:rPr>
                <w:b/>
                <w:bCs/>
                <w:color w:val="FFFFFF" w:themeColor="background1"/>
                <w:sz w:val="19"/>
                <w:szCs w:val="19"/>
              </w:rPr>
              <w:t>SDG16: Promote peaceful and inclusive societies for sustainable development, provide access to justice for all and build effective, accountable and inclusive institutions at all levels</w:t>
            </w:r>
          </w:p>
        </w:tc>
      </w:tr>
      <w:tr w:rsidR="00C61DE4" w:rsidRPr="00041EA7" w14:paraId="4E2A1CCB" w14:textId="77777777" w:rsidTr="004F01F8">
        <w:trPr>
          <w:trHeight w:val="397"/>
        </w:trPr>
        <w:tc>
          <w:tcPr>
            <w:cnfStyle w:val="001000000000" w:firstRow="0" w:lastRow="0" w:firstColumn="1" w:lastColumn="0" w:oddVBand="0" w:evenVBand="0" w:oddHBand="0" w:evenHBand="0" w:firstRowFirstColumn="0" w:firstRowLastColumn="0" w:lastRowFirstColumn="0" w:lastRowLastColumn="0"/>
            <w:tcW w:w="2402" w:type="dxa"/>
            <w:vMerge/>
          </w:tcPr>
          <w:p w14:paraId="700A30B9" w14:textId="438C048A" w:rsidR="00C61DE4" w:rsidRPr="00AB5946" w:rsidRDefault="00C61DE4" w:rsidP="00C61DE4">
            <w:pPr>
              <w:rPr>
                <w:sz w:val="19"/>
                <w:szCs w:val="19"/>
              </w:rPr>
            </w:pPr>
          </w:p>
        </w:tc>
        <w:tc>
          <w:tcPr>
            <w:tcW w:w="7270" w:type="dxa"/>
          </w:tcPr>
          <w:p w14:paraId="51FC1122" w14:textId="4FEA1803" w:rsidR="00C61DE4" w:rsidRPr="00AB5946" w:rsidRDefault="00C61DE4" w:rsidP="00A33624">
            <w:pPr>
              <w:spacing w:before="0" w:after="120"/>
              <w:cnfStyle w:val="000000000000" w:firstRow="0" w:lastRow="0" w:firstColumn="0" w:lastColumn="0" w:oddVBand="0" w:evenVBand="0" w:oddHBand="0" w:evenHBand="0" w:firstRowFirstColumn="0" w:firstRowLastColumn="0" w:lastRowFirstColumn="0" w:lastRowLastColumn="0"/>
              <w:rPr>
                <w:sz w:val="19"/>
                <w:szCs w:val="19"/>
              </w:rPr>
            </w:pPr>
            <w:r w:rsidRPr="00AB5946">
              <w:rPr>
                <w:b/>
                <w:bCs/>
                <w:sz w:val="19"/>
                <w:szCs w:val="19"/>
              </w:rPr>
              <w:t>Target 16.6</w:t>
            </w:r>
            <w:r w:rsidRPr="00AB5946">
              <w:rPr>
                <w:sz w:val="19"/>
                <w:szCs w:val="19"/>
              </w:rPr>
              <w:t xml:space="preserve"> Develop effective, accountable and transparent institutions at all levels</w:t>
            </w:r>
          </w:p>
        </w:tc>
      </w:tr>
    </w:tbl>
    <w:p w14:paraId="196B0074" w14:textId="01D2F706" w:rsidR="00731926" w:rsidRDefault="00731926" w:rsidP="00F03CD6">
      <w:pPr>
        <w:pStyle w:val="DocumentSource"/>
      </w:pPr>
      <w:r>
        <w:t xml:space="preserve">Source: Informed by </w:t>
      </w:r>
      <w:r w:rsidR="000509D8">
        <w:t xml:space="preserve">Draft </w:t>
      </w:r>
      <w:r>
        <w:t xml:space="preserve">Project document and </w:t>
      </w:r>
      <w:hyperlink r:id="rId27" w:history="1">
        <w:r w:rsidRPr="00D872AA">
          <w:rPr>
            <w:rStyle w:val="Hyperlink"/>
            <w:rFonts w:asciiTheme="minorHAnsi" w:hAnsiTheme="minorHAnsi" w:cstheme="minorHAnsi"/>
            <w:szCs w:val="22"/>
          </w:rPr>
          <w:t>https://sdgs.un.org/</w:t>
        </w:r>
      </w:hyperlink>
      <w:r w:rsidR="00BF05BE">
        <w:t>.</w:t>
      </w:r>
      <w:r>
        <w:t xml:space="preserve"> </w:t>
      </w:r>
    </w:p>
    <w:p w14:paraId="0156E90F" w14:textId="77777777" w:rsidR="00EF5FD9" w:rsidRDefault="00EF5FD9" w:rsidP="00F03CD6">
      <w:pPr>
        <w:pStyle w:val="BodyText"/>
      </w:pPr>
    </w:p>
    <w:p w14:paraId="76E389CF" w14:textId="77777777" w:rsidR="0026726D" w:rsidRDefault="0026726D" w:rsidP="00F03CD6">
      <w:pPr>
        <w:pStyle w:val="BodyText"/>
        <w:sectPr w:rsidR="0026726D" w:rsidSect="00F666A1">
          <w:type w:val="continuous"/>
          <w:pgSz w:w="12240" w:h="15840" w:code="1"/>
          <w:pgMar w:top="1276" w:right="1276" w:bottom="1588" w:left="1276" w:header="720" w:footer="720" w:gutter="0"/>
          <w:cols w:space="720"/>
          <w:docGrid w:linePitch="360"/>
        </w:sectPr>
      </w:pPr>
    </w:p>
    <w:p w14:paraId="6546C918" w14:textId="77777777" w:rsidR="009241EB" w:rsidRPr="00D034FA" w:rsidRDefault="00875969" w:rsidP="003E38A2">
      <w:pPr>
        <w:pStyle w:val="Heading2"/>
        <w:sectPr w:rsidR="009241EB" w:rsidRPr="00D034FA" w:rsidSect="00F666A1">
          <w:type w:val="continuous"/>
          <w:pgSz w:w="12240" w:h="15840" w:code="1"/>
          <w:pgMar w:top="1276" w:right="1276" w:bottom="1588" w:left="1276" w:header="720" w:footer="720" w:gutter="0"/>
          <w:cols w:num="2" w:space="397"/>
          <w:docGrid w:linePitch="360"/>
        </w:sectPr>
      </w:pPr>
      <w:bookmarkStart w:id="21" w:name="_Toc210730314"/>
      <w:r w:rsidRPr="00D034FA">
        <w:lastRenderedPageBreak/>
        <w:t>Innovative elements</w:t>
      </w:r>
      <w:bookmarkEnd w:id="21"/>
    </w:p>
    <w:p w14:paraId="2FAD6D90" w14:textId="5D555F97" w:rsidR="007203B4" w:rsidRDefault="00086598" w:rsidP="003E38A2">
      <w:pPr>
        <w:pStyle w:val="BodyText"/>
      </w:pPr>
      <w:r>
        <w:t xml:space="preserve">The INFF </w:t>
      </w:r>
      <w:r w:rsidR="0030360E">
        <w:t xml:space="preserve">methodology is </w:t>
      </w:r>
      <w:r w:rsidR="00DA0509">
        <w:t>an innovative approach to development financing that was in</w:t>
      </w:r>
      <w:r w:rsidR="00F25BE6">
        <w:t xml:space="preserve">troduced to each of the 10 target countries. </w:t>
      </w:r>
      <w:r w:rsidR="00CD5A6D">
        <w:t xml:space="preserve">Its </w:t>
      </w:r>
      <w:r w:rsidR="002B7190">
        <w:t xml:space="preserve">underlying </w:t>
      </w:r>
      <w:r w:rsidR="00FB63DB">
        <w:t xml:space="preserve">concept </w:t>
      </w:r>
      <w:r w:rsidR="00DD3CAC">
        <w:t xml:space="preserve">was </w:t>
      </w:r>
      <w:r w:rsidR="00AC30E8">
        <w:t xml:space="preserve">advocated </w:t>
      </w:r>
      <w:r w:rsidR="00DD3CAC">
        <w:t>by the 2015 Addis Agenda</w:t>
      </w:r>
      <w:r w:rsidR="00590456">
        <w:t>,</w:t>
      </w:r>
      <w:r w:rsidR="007979F2">
        <w:t xml:space="preserve"> to </w:t>
      </w:r>
      <w:r w:rsidR="00A541C7">
        <w:t xml:space="preserve">facilitate the 2030 Agenda at the country level, including </w:t>
      </w:r>
      <w:r w:rsidR="007979F2">
        <w:t>national contributions towards the SDGs</w:t>
      </w:r>
      <w:r w:rsidR="00CD5A6D">
        <w:t xml:space="preserve">. </w:t>
      </w:r>
      <w:r w:rsidR="003D4D6F">
        <w:t>INFFs had not been incorporated</w:t>
      </w:r>
      <w:r w:rsidR="00EE28D0">
        <w:t>, however,</w:t>
      </w:r>
      <w:r w:rsidR="003D4D6F">
        <w:t xml:space="preserve"> into the resource mobilisation </w:t>
      </w:r>
      <w:r w:rsidR="003D4D6F">
        <w:t>landscape of the targ</w:t>
      </w:r>
      <w:r w:rsidR="00182132">
        <w:t>et countries</w:t>
      </w:r>
      <w:r w:rsidR="007979F2">
        <w:t xml:space="preserve">. </w:t>
      </w:r>
      <w:r w:rsidR="0056493B">
        <w:t xml:space="preserve">The </w:t>
      </w:r>
      <w:r w:rsidR="00996FE1">
        <w:t xml:space="preserve">results of the </w:t>
      </w:r>
      <w:r w:rsidR="0056493B">
        <w:t>country analys</w:t>
      </w:r>
      <w:r w:rsidR="00DA64E3">
        <w:t>e</w:t>
      </w:r>
      <w:r w:rsidR="0056493B">
        <w:t>s</w:t>
      </w:r>
      <w:r w:rsidR="00345CDE">
        <w:t xml:space="preserve"> (at the pre-project and country-rep</w:t>
      </w:r>
      <w:r w:rsidR="00D034FA">
        <w:t>lace</w:t>
      </w:r>
      <w:r w:rsidR="00345CDE">
        <w:t>ment stages)</w:t>
      </w:r>
      <w:r w:rsidR="0056493B">
        <w:t xml:space="preserve"> showed that </w:t>
      </w:r>
      <w:r w:rsidR="00700E84">
        <w:t>the target countries wer</w:t>
      </w:r>
      <w:r w:rsidR="0094242F">
        <w:t xml:space="preserve">e </w:t>
      </w:r>
      <w:r w:rsidR="00843CBA">
        <w:t>commi</w:t>
      </w:r>
      <w:r w:rsidR="00996FE1">
        <w:t>tted</w:t>
      </w:r>
      <w:r w:rsidR="00843CBA">
        <w:t xml:space="preserve"> to sustainable development</w:t>
      </w:r>
      <w:r w:rsidR="00D034FA">
        <w:t>,</w:t>
      </w:r>
      <w:r w:rsidR="009A3E7B">
        <w:t xml:space="preserve"> but varied in their knowledge and understanding of INFFs. </w:t>
      </w:r>
    </w:p>
    <w:p w14:paraId="5EB752E6" w14:textId="77777777" w:rsidR="007203B4" w:rsidRDefault="007203B4" w:rsidP="003E38A2">
      <w:pPr>
        <w:pStyle w:val="BodyText"/>
      </w:pPr>
    </w:p>
    <w:p w14:paraId="122ACCE1" w14:textId="7A31D860" w:rsidR="00EF5FD9" w:rsidRDefault="00EF5FD9" w:rsidP="009241EB">
      <w:pPr>
        <w:pStyle w:val="BodyText"/>
        <w:sectPr w:rsidR="00EF5FD9" w:rsidSect="00F666A1">
          <w:type w:val="continuous"/>
          <w:pgSz w:w="12240" w:h="15840" w:code="1"/>
          <w:pgMar w:top="1276" w:right="1276" w:bottom="1588" w:left="1276" w:header="720" w:footer="720" w:gutter="0"/>
          <w:cols w:num="2" w:space="397"/>
          <w:docGrid w:linePitch="360"/>
        </w:sectPr>
      </w:pPr>
    </w:p>
    <w:p w14:paraId="6D51F9E9" w14:textId="7260D138" w:rsidR="00875969" w:rsidRPr="0097617F" w:rsidRDefault="00875969" w:rsidP="00AB1A2B">
      <w:pPr>
        <w:pStyle w:val="Heading1"/>
      </w:pPr>
      <w:bookmarkStart w:id="22" w:name="_Toc210730315"/>
      <w:r w:rsidRPr="0097617F">
        <w:lastRenderedPageBreak/>
        <w:t>Evaluation objectives, scope and questions</w:t>
      </w:r>
      <w:bookmarkEnd w:id="22"/>
    </w:p>
    <w:p w14:paraId="2BEDAB70" w14:textId="77777777" w:rsidR="00C92AF5" w:rsidRPr="0097617F" w:rsidRDefault="00C92AF5" w:rsidP="00AB1A2B">
      <w:pPr>
        <w:pStyle w:val="Heading2"/>
        <w:sectPr w:rsidR="00C92AF5" w:rsidRPr="0097617F" w:rsidSect="00F666A1">
          <w:type w:val="continuous"/>
          <w:pgSz w:w="12240" w:h="15840" w:code="1"/>
          <w:pgMar w:top="1276" w:right="1276" w:bottom="1588" w:left="1276" w:header="720" w:footer="720" w:gutter="0"/>
          <w:cols w:space="720"/>
          <w:docGrid w:linePitch="360"/>
        </w:sectPr>
      </w:pPr>
    </w:p>
    <w:p w14:paraId="383E0845" w14:textId="7DF1CADF" w:rsidR="00875969" w:rsidRPr="00AB1A2B" w:rsidRDefault="00875969" w:rsidP="00C92AF5">
      <w:pPr>
        <w:pStyle w:val="Heading2"/>
        <w:spacing w:before="0"/>
      </w:pPr>
      <w:bookmarkStart w:id="23" w:name="_Toc210730316"/>
      <w:r w:rsidRPr="00AB1A2B">
        <w:t>Purpose and objectives</w:t>
      </w:r>
      <w:bookmarkEnd w:id="23"/>
    </w:p>
    <w:p w14:paraId="70F64653" w14:textId="1F50E643" w:rsidR="00EA668C" w:rsidRPr="00EA668C" w:rsidRDefault="00D0231F" w:rsidP="00A729E4">
      <w:pPr>
        <w:pStyle w:val="BodyText"/>
        <w:rPr>
          <w:szCs w:val="20"/>
        </w:rPr>
      </w:pPr>
      <w:r w:rsidRPr="000975C2">
        <w:rPr>
          <w:lang w:val="en-GB"/>
        </w:rPr>
        <w:t>The</w:t>
      </w:r>
      <w:r w:rsidR="00023370">
        <w:rPr>
          <w:lang w:val="en-GB"/>
        </w:rPr>
        <w:t xml:space="preserve"> </w:t>
      </w:r>
      <w:r w:rsidRPr="000975C2">
        <w:rPr>
          <w:lang w:val="en-GB"/>
        </w:rPr>
        <w:t>purpose of th</w:t>
      </w:r>
      <w:r>
        <w:rPr>
          <w:lang w:val="en-GB"/>
        </w:rPr>
        <w:t>e</w:t>
      </w:r>
      <w:r w:rsidRPr="000975C2">
        <w:rPr>
          <w:lang w:val="en-GB"/>
        </w:rPr>
        <w:t xml:space="preserve"> evaluation </w:t>
      </w:r>
      <w:r>
        <w:rPr>
          <w:lang w:val="en-GB"/>
        </w:rPr>
        <w:t>was</w:t>
      </w:r>
      <w:r w:rsidR="00A729E4">
        <w:rPr>
          <w:lang w:val="en-GB"/>
        </w:rPr>
        <w:t xml:space="preserve"> to</w:t>
      </w:r>
      <w:r w:rsidRPr="000975C2">
        <w:rPr>
          <w:lang w:val="en-GB"/>
        </w:rPr>
        <w:t xml:space="preserve"> </w:t>
      </w:r>
      <w:r w:rsidR="00912669">
        <w:rPr>
          <w:szCs w:val="20"/>
          <w:lang w:val="en-GB"/>
        </w:rPr>
        <w:t>‘</w:t>
      </w:r>
      <w:r w:rsidR="00EA668C" w:rsidRPr="00EA668C">
        <w:rPr>
          <w:szCs w:val="20"/>
          <w:lang w:val="en-GB"/>
        </w:rPr>
        <w:t>uphold accountability and foster organisational learning</w:t>
      </w:r>
      <w:r w:rsidR="0051266D">
        <w:rPr>
          <w:szCs w:val="20"/>
          <w:lang w:val="en-GB"/>
        </w:rPr>
        <w:t>,</w:t>
      </w:r>
      <w:r w:rsidR="00EA668C" w:rsidRPr="00EA668C">
        <w:rPr>
          <w:szCs w:val="20"/>
          <w:lang w:val="en-GB"/>
        </w:rPr>
        <w:t>’</w:t>
      </w:r>
      <w:r w:rsidR="00912669">
        <w:rPr>
          <w:szCs w:val="20"/>
          <w:lang w:val="en-GB"/>
        </w:rPr>
        <w:t xml:space="preserve"> </w:t>
      </w:r>
      <w:r w:rsidR="0036708F">
        <w:rPr>
          <w:szCs w:val="20"/>
          <w:lang w:val="en-GB"/>
        </w:rPr>
        <w:t xml:space="preserve">by </w:t>
      </w:r>
      <w:r w:rsidR="008B2448">
        <w:rPr>
          <w:szCs w:val="20"/>
          <w:lang w:val="en-GB"/>
        </w:rPr>
        <w:t>conducting a detailed assessment of the</w:t>
      </w:r>
      <w:r w:rsidR="0051266D">
        <w:rPr>
          <w:szCs w:val="20"/>
          <w:lang w:val="en-GB"/>
        </w:rPr>
        <w:t xml:space="preserve"> Towards </w:t>
      </w:r>
      <w:r w:rsidR="00EA668C" w:rsidRPr="00EA668C">
        <w:rPr>
          <w:szCs w:val="20"/>
          <w:lang w:val="en-GB"/>
        </w:rPr>
        <w:t>INFF Project</w:t>
      </w:r>
      <w:r w:rsidR="00F35E2E">
        <w:rPr>
          <w:szCs w:val="20"/>
          <w:lang w:val="en-GB"/>
        </w:rPr>
        <w:t>.</w:t>
      </w:r>
      <w:r w:rsidR="00EA668C" w:rsidRPr="00EA668C">
        <w:rPr>
          <w:rStyle w:val="FootnoteReference"/>
          <w:szCs w:val="20"/>
          <w:lang w:val="en-GB"/>
        </w:rPr>
        <w:footnoteReference w:id="44"/>
      </w:r>
      <w:r w:rsidR="00F35E2E">
        <w:rPr>
          <w:szCs w:val="20"/>
          <w:lang w:val="en-GB"/>
        </w:rPr>
        <w:t xml:space="preserve"> </w:t>
      </w:r>
      <w:r w:rsidR="00023370">
        <w:rPr>
          <w:szCs w:val="20"/>
          <w:lang w:val="en-GB"/>
        </w:rPr>
        <w:t>With a primary focus on</w:t>
      </w:r>
      <w:r w:rsidR="001B2ECB">
        <w:rPr>
          <w:szCs w:val="20"/>
          <w:lang w:val="en-GB"/>
        </w:rPr>
        <w:t xml:space="preserve"> project </w:t>
      </w:r>
      <w:r w:rsidR="00023370">
        <w:rPr>
          <w:szCs w:val="20"/>
          <w:lang w:val="en-GB"/>
        </w:rPr>
        <w:t>achievement</w:t>
      </w:r>
      <w:r w:rsidR="00244096">
        <w:rPr>
          <w:szCs w:val="20"/>
          <w:lang w:val="en-GB"/>
        </w:rPr>
        <w:t>s</w:t>
      </w:r>
      <w:r w:rsidR="00023370">
        <w:rPr>
          <w:szCs w:val="20"/>
          <w:lang w:val="en-GB"/>
        </w:rPr>
        <w:t xml:space="preserve"> </w:t>
      </w:r>
      <w:r w:rsidR="001B2ECB">
        <w:rPr>
          <w:szCs w:val="20"/>
          <w:lang w:val="en-GB"/>
        </w:rPr>
        <w:t>and methodolo</w:t>
      </w:r>
      <w:r w:rsidR="008F0C19">
        <w:rPr>
          <w:szCs w:val="20"/>
          <w:lang w:val="en-GB"/>
        </w:rPr>
        <w:t xml:space="preserve">gical design, </w:t>
      </w:r>
      <w:r w:rsidR="00023370">
        <w:rPr>
          <w:szCs w:val="20"/>
          <w:lang w:val="en-GB"/>
        </w:rPr>
        <w:t>the</w:t>
      </w:r>
      <w:r w:rsidR="008F0C19">
        <w:rPr>
          <w:szCs w:val="20"/>
          <w:lang w:val="en-GB"/>
        </w:rPr>
        <w:t xml:space="preserve"> evaluation was used to</w:t>
      </w:r>
      <w:r w:rsidR="00EA668C" w:rsidRPr="00EA668C">
        <w:rPr>
          <w:szCs w:val="20"/>
        </w:rPr>
        <w:t xml:space="preserve">: </w:t>
      </w:r>
      <w:r w:rsidR="00693A8E">
        <w:rPr>
          <w:szCs w:val="20"/>
        </w:rPr>
        <w:t>i</w:t>
      </w:r>
      <w:r w:rsidR="00EA668C" w:rsidRPr="00EA668C">
        <w:rPr>
          <w:szCs w:val="20"/>
        </w:rPr>
        <w:t>) contribute to</w:t>
      </w:r>
      <w:r w:rsidR="00693A8E">
        <w:rPr>
          <w:szCs w:val="20"/>
        </w:rPr>
        <w:t>wards</w:t>
      </w:r>
      <w:r w:rsidR="00EA668C" w:rsidRPr="00EA668C">
        <w:rPr>
          <w:szCs w:val="20"/>
        </w:rPr>
        <w:t xml:space="preserve"> the existing knowledge on implementing INFFs; and </w:t>
      </w:r>
      <w:r w:rsidR="00CF2B9A">
        <w:rPr>
          <w:szCs w:val="20"/>
        </w:rPr>
        <w:t>ii</w:t>
      </w:r>
      <w:r w:rsidR="00EA668C" w:rsidRPr="00EA668C">
        <w:rPr>
          <w:szCs w:val="20"/>
        </w:rPr>
        <w:t>) ‘generate actionable insights and identify commendable practices</w:t>
      </w:r>
      <w:r w:rsidR="000A6767">
        <w:rPr>
          <w:szCs w:val="20"/>
        </w:rPr>
        <w:t>’</w:t>
      </w:r>
      <w:r w:rsidR="00EA668C" w:rsidRPr="00EA668C">
        <w:rPr>
          <w:szCs w:val="20"/>
        </w:rPr>
        <w:t xml:space="preserve"> to optimis</w:t>
      </w:r>
      <w:r w:rsidR="00A9527A">
        <w:rPr>
          <w:szCs w:val="20"/>
        </w:rPr>
        <w:t>e</w:t>
      </w:r>
      <w:r w:rsidR="00EA668C" w:rsidRPr="00EA668C">
        <w:rPr>
          <w:szCs w:val="20"/>
        </w:rPr>
        <w:t xml:space="preserve"> strategies for enhanced development outcomes</w:t>
      </w:r>
      <w:r w:rsidR="00A9527A">
        <w:rPr>
          <w:szCs w:val="20"/>
        </w:rPr>
        <w:t xml:space="preserve"> during</w:t>
      </w:r>
      <w:r w:rsidR="00A9527A" w:rsidRPr="00EA668C">
        <w:rPr>
          <w:szCs w:val="20"/>
        </w:rPr>
        <w:t xml:space="preserve"> future similar initiatives</w:t>
      </w:r>
      <w:r w:rsidR="00EA668C" w:rsidRPr="00EA668C">
        <w:rPr>
          <w:szCs w:val="20"/>
        </w:rPr>
        <w:t>.</w:t>
      </w:r>
      <w:r w:rsidR="00EA668C" w:rsidRPr="00EA668C">
        <w:rPr>
          <w:rStyle w:val="FootnoteReference"/>
          <w:szCs w:val="20"/>
          <w:lang w:val="en-GB"/>
        </w:rPr>
        <w:t xml:space="preserve"> </w:t>
      </w:r>
      <w:r w:rsidR="00EA668C" w:rsidRPr="00EA668C">
        <w:rPr>
          <w:rStyle w:val="FootnoteReference"/>
          <w:szCs w:val="20"/>
          <w:lang w:val="en-GB"/>
        </w:rPr>
        <w:footnoteReference w:id="45"/>
      </w:r>
    </w:p>
    <w:p w14:paraId="554EF017" w14:textId="479DE746" w:rsidR="002247F6" w:rsidRPr="0028632C" w:rsidRDefault="0028632C" w:rsidP="00AB1A2B">
      <w:pPr>
        <w:pStyle w:val="BodyText"/>
        <w:rPr>
          <w:lang w:val="en-GB"/>
        </w:rPr>
      </w:pPr>
      <w:r>
        <w:rPr>
          <w:lang w:val="en-GB"/>
        </w:rPr>
        <w:t xml:space="preserve">Based on ToR specifications, the </w:t>
      </w:r>
      <w:r w:rsidR="002247F6" w:rsidRPr="00D0231F">
        <w:rPr>
          <w:rFonts w:cstheme="minorHAnsi"/>
        </w:rPr>
        <w:t>specific objectives</w:t>
      </w:r>
      <w:r>
        <w:rPr>
          <w:rFonts w:cstheme="minorHAnsi"/>
        </w:rPr>
        <w:t xml:space="preserve"> of</w:t>
      </w:r>
      <w:r w:rsidR="00D0231F" w:rsidRPr="00D0231F">
        <w:rPr>
          <w:rFonts w:cstheme="minorHAnsi"/>
        </w:rPr>
        <w:t xml:space="preserve"> t</w:t>
      </w:r>
      <w:r w:rsidR="002247F6" w:rsidRPr="00D0231F">
        <w:rPr>
          <w:rFonts w:cstheme="minorHAnsi"/>
        </w:rPr>
        <w:t>he evaluation w</w:t>
      </w:r>
      <w:r>
        <w:rPr>
          <w:rFonts w:cstheme="minorHAnsi"/>
        </w:rPr>
        <w:t>ere to</w:t>
      </w:r>
      <w:r w:rsidR="002247F6" w:rsidRPr="00D0231F">
        <w:rPr>
          <w:rFonts w:cstheme="minorHAnsi"/>
        </w:rPr>
        <w:t>:</w:t>
      </w:r>
    </w:p>
    <w:p w14:paraId="2B30E42A" w14:textId="77777777" w:rsidR="00027CEE" w:rsidRPr="00027CEE" w:rsidRDefault="00027CEE" w:rsidP="00DD2DDC">
      <w:pPr>
        <w:pStyle w:val="ListNumber"/>
        <w:numPr>
          <w:ilvl w:val="0"/>
          <w:numId w:val="115"/>
        </w:numPr>
        <w:autoSpaceDE w:val="0"/>
        <w:autoSpaceDN w:val="0"/>
        <w:adjustRightInd w:val="0"/>
        <w:spacing w:line="276" w:lineRule="auto"/>
        <w:rPr>
          <w:rFonts w:eastAsia="Times New Roman" w:cs="Calibri"/>
        </w:rPr>
      </w:pPr>
      <w:r w:rsidRPr="00027CEE">
        <w:rPr>
          <w:rFonts w:eastAsia="Times New Roman" w:cs="Calibri"/>
        </w:rPr>
        <w:t>Determine, as systematically and objectively as possible, the relevance, effectiveness, efficiency, sustainability and coherence of the project results in light of its goals and objectives;</w:t>
      </w:r>
    </w:p>
    <w:p w14:paraId="0DADF295" w14:textId="77777777" w:rsidR="00027CEE" w:rsidRPr="00027CEE" w:rsidRDefault="00027CEE" w:rsidP="00DD2DDC">
      <w:pPr>
        <w:pStyle w:val="ListNumber"/>
        <w:numPr>
          <w:ilvl w:val="0"/>
          <w:numId w:val="115"/>
        </w:numPr>
        <w:autoSpaceDE w:val="0"/>
        <w:autoSpaceDN w:val="0"/>
        <w:adjustRightInd w:val="0"/>
        <w:spacing w:line="276" w:lineRule="auto"/>
        <w:rPr>
          <w:rFonts w:eastAsia="Times New Roman" w:cs="Calibri"/>
        </w:rPr>
      </w:pPr>
      <w:r w:rsidRPr="00027CEE">
        <w:rPr>
          <w:rFonts w:eastAsia="Times New Roman" w:cs="Calibri"/>
        </w:rPr>
        <w:t>Document the results and achievements in each of the elements of the project, including synergies built across activities of implementing agencies; and</w:t>
      </w:r>
    </w:p>
    <w:p w14:paraId="653FF101" w14:textId="73D6B67C" w:rsidR="00027CEE" w:rsidRDefault="00027CEE" w:rsidP="00DD2DDC">
      <w:pPr>
        <w:pStyle w:val="ListNumber"/>
        <w:numPr>
          <w:ilvl w:val="0"/>
          <w:numId w:val="115"/>
        </w:numPr>
        <w:autoSpaceDE w:val="0"/>
        <w:autoSpaceDN w:val="0"/>
        <w:adjustRightInd w:val="0"/>
        <w:spacing w:line="276" w:lineRule="auto"/>
        <w:rPr>
          <w:rFonts w:eastAsia="Times New Roman" w:cs="Calibri"/>
        </w:rPr>
      </w:pPr>
      <w:r w:rsidRPr="00027CEE">
        <w:rPr>
          <w:rFonts w:eastAsia="Times New Roman" w:cs="Calibri"/>
        </w:rPr>
        <w:t xml:space="preserve">Identify good practices and lessons learned from the project and formulate action-oriented forward-looking recommendations addressed to the </w:t>
      </w:r>
      <w:r w:rsidR="00DE21FA">
        <w:rPr>
          <w:rFonts w:eastAsia="Times New Roman" w:cs="Calibri"/>
        </w:rPr>
        <w:t>executing entities</w:t>
      </w:r>
      <w:r w:rsidRPr="00027CEE">
        <w:rPr>
          <w:rFonts w:eastAsia="Times New Roman" w:cs="Calibri"/>
        </w:rPr>
        <w:t>, for improving future interventions</w:t>
      </w:r>
    </w:p>
    <w:p w14:paraId="3426F73E" w14:textId="3A5A892E" w:rsidR="00027CEE" w:rsidRPr="006F029A" w:rsidRDefault="00027CEE" w:rsidP="00027CEE">
      <w:pPr>
        <w:pStyle w:val="ListNumber"/>
        <w:numPr>
          <w:ilvl w:val="0"/>
          <w:numId w:val="0"/>
        </w:numPr>
        <w:autoSpaceDE w:val="0"/>
        <w:autoSpaceDN w:val="0"/>
        <w:adjustRightInd w:val="0"/>
        <w:spacing w:line="276" w:lineRule="auto"/>
        <w:ind w:left="567" w:hanging="340"/>
        <w:jc w:val="right"/>
        <w:rPr>
          <w:rFonts w:eastAsia="Times New Roman" w:cs="Calibri"/>
          <w:i/>
          <w:iCs/>
        </w:rPr>
      </w:pPr>
      <w:r w:rsidRPr="006F029A">
        <w:rPr>
          <w:rFonts w:eastAsia="Times New Roman" w:cs="Calibri"/>
          <w:i/>
          <w:iCs/>
        </w:rPr>
        <w:t xml:space="preserve">Source: ToR, </w:t>
      </w:r>
      <w:r w:rsidR="008D61E1" w:rsidRPr="006F029A">
        <w:rPr>
          <w:rFonts w:eastAsia="Times New Roman" w:cs="Calibri"/>
          <w:i/>
          <w:iCs/>
        </w:rPr>
        <w:t>sub-Section C1, p.7</w:t>
      </w:r>
    </w:p>
    <w:p w14:paraId="3169836A" w14:textId="66928134" w:rsidR="00875969" w:rsidRPr="00580F0F" w:rsidRDefault="00875969" w:rsidP="00580F0F">
      <w:pPr>
        <w:pStyle w:val="Heading2"/>
      </w:pPr>
      <w:bookmarkStart w:id="24" w:name="_Toc210730317"/>
      <w:r w:rsidRPr="00580F0F">
        <w:t>Evaluation scope, criteria and questions</w:t>
      </w:r>
      <w:bookmarkEnd w:id="24"/>
    </w:p>
    <w:p w14:paraId="4BC44FC7" w14:textId="2C100EE4" w:rsidR="00922D4E" w:rsidRDefault="00922D4E" w:rsidP="00580F0F">
      <w:pPr>
        <w:pStyle w:val="BodyText"/>
      </w:pPr>
      <w:r>
        <w:t>The scope of the evaluation covered</w:t>
      </w:r>
      <w:r w:rsidR="001E1333">
        <w:t xml:space="preserve"> three</w:t>
      </w:r>
      <w:r>
        <w:t xml:space="preserve"> areas:</w:t>
      </w:r>
    </w:p>
    <w:p w14:paraId="453575AF" w14:textId="64F5EBBB" w:rsidR="00922D4E" w:rsidRPr="005D7D3B" w:rsidRDefault="00922D4E" w:rsidP="00DD2DDC">
      <w:pPr>
        <w:pStyle w:val="ListNumber"/>
        <w:numPr>
          <w:ilvl w:val="0"/>
          <w:numId w:val="116"/>
        </w:numPr>
      </w:pPr>
      <w:r w:rsidRPr="00580F0F">
        <w:rPr>
          <w:b/>
          <w:bCs/>
        </w:rPr>
        <w:t>Project duration:</w:t>
      </w:r>
      <w:r w:rsidRPr="005D7D3B">
        <w:t xml:space="preserve"> </w:t>
      </w:r>
      <w:r w:rsidR="003F7464">
        <w:t>T</w:t>
      </w:r>
      <w:r w:rsidRPr="005D7D3B">
        <w:t xml:space="preserve">he </w:t>
      </w:r>
      <w:r w:rsidR="003F7464">
        <w:t xml:space="preserve">period of focus for the evaluation was the </w:t>
      </w:r>
      <w:r w:rsidR="00B864A3">
        <w:t>entire duration of the project</w:t>
      </w:r>
      <w:r w:rsidR="00FE65D9">
        <w:t xml:space="preserve"> (</w:t>
      </w:r>
      <w:r w:rsidR="008E3875">
        <w:t xml:space="preserve">March </w:t>
      </w:r>
      <w:r w:rsidR="004920E0">
        <w:t xml:space="preserve">1, 2021 </w:t>
      </w:r>
      <w:r w:rsidRPr="00580F0F">
        <w:rPr>
          <w:color w:val="231F16"/>
        </w:rPr>
        <w:t>–</w:t>
      </w:r>
      <w:r w:rsidRPr="00580F0F">
        <w:rPr>
          <w:color w:val="231F16"/>
          <w:spacing w:val="-6"/>
        </w:rPr>
        <w:t xml:space="preserve"> December</w:t>
      </w:r>
      <w:r w:rsidR="004920E0">
        <w:rPr>
          <w:color w:val="231F16"/>
          <w:spacing w:val="-6"/>
        </w:rPr>
        <w:t xml:space="preserve"> 31,</w:t>
      </w:r>
      <w:r w:rsidRPr="00580F0F">
        <w:rPr>
          <w:color w:val="231F16"/>
          <w:spacing w:val="-6"/>
        </w:rPr>
        <w:t xml:space="preserve"> 2024</w:t>
      </w:r>
      <w:r w:rsidR="00FE65D9">
        <w:rPr>
          <w:color w:val="231F16"/>
          <w:spacing w:val="-6"/>
        </w:rPr>
        <w:t>)</w:t>
      </w:r>
      <w:r w:rsidRPr="005D7D3B">
        <w:t>;</w:t>
      </w:r>
    </w:p>
    <w:p w14:paraId="2EF0A619" w14:textId="0BADCD99" w:rsidR="00922D4E" w:rsidRDefault="00922D4E" w:rsidP="00DD2DDC">
      <w:pPr>
        <w:pStyle w:val="ListNumber"/>
        <w:numPr>
          <w:ilvl w:val="0"/>
          <w:numId w:val="116"/>
        </w:numPr>
      </w:pPr>
      <w:r w:rsidRPr="00157A3D">
        <w:rPr>
          <w:b/>
          <w:bCs/>
        </w:rPr>
        <w:t xml:space="preserve">Geographic </w:t>
      </w:r>
      <w:r>
        <w:rPr>
          <w:b/>
          <w:bCs/>
        </w:rPr>
        <w:t>area</w:t>
      </w:r>
      <w:r w:rsidRPr="00157A3D">
        <w:rPr>
          <w:b/>
          <w:bCs/>
        </w:rPr>
        <w:t>:</w:t>
      </w:r>
      <w:r>
        <w:t xml:space="preserve"> </w:t>
      </w:r>
      <w:r w:rsidR="003F7464">
        <w:rPr>
          <w:color w:val="231F16"/>
        </w:rPr>
        <w:t>T</w:t>
      </w:r>
      <w:r>
        <w:rPr>
          <w:color w:val="231F16"/>
        </w:rPr>
        <w:t>he geographical scope o</w:t>
      </w:r>
      <w:r w:rsidR="003F7464">
        <w:rPr>
          <w:color w:val="231F16"/>
        </w:rPr>
        <w:t xml:space="preserve">f the evaluation comprised the </w:t>
      </w:r>
      <w:r w:rsidR="006A57B9">
        <w:rPr>
          <w:color w:val="231F16"/>
        </w:rPr>
        <w:t>10 target countries</w:t>
      </w:r>
      <w:r w:rsidR="003F7464">
        <w:rPr>
          <w:color w:val="231F16"/>
        </w:rPr>
        <w:t xml:space="preserve"> (</w:t>
      </w:r>
      <w:r w:rsidR="000A2EAE">
        <w:rPr>
          <w:color w:val="231F16"/>
        </w:rPr>
        <w:t xml:space="preserve">Belarus; </w:t>
      </w:r>
      <w:r w:rsidR="003F7464">
        <w:rPr>
          <w:color w:val="231F16"/>
        </w:rPr>
        <w:t>B</w:t>
      </w:r>
      <w:r w:rsidR="000A2EAE">
        <w:rPr>
          <w:color w:val="231F16"/>
        </w:rPr>
        <w:t>urkina Faso</w:t>
      </w:r>
      <w:r w:rsidR="003F7464">
        <w:rPr>
          <w:color w:val="231F16"/>
        </w:rPr>
        <w:t>;</w:t>
      </w:r>
      <w:r w:rsidR="000A2EAE">
        <w:rPr>
          <w:color w:val="231F16"/>
        </w:rPr>
        <w:t xml:space="preserve"> Costa Rica; Dominican Republic;</w:t>
      </w:r>
      <w:r w:rsidR="003F7464">
        <w:rPr>
          <w:color w:val="231F16"/>
        </w:rPr>
        <w:t xml:space="preserve"> </w:t>
      </w:r>
      <w:r w:rsidR="00C6659E">
        <w:rPr>
          <w:color w:val="231F16"/>
        </w:rPr>
        <w:t>Egypt; Jordan</w:t>
      </w:r>
      <w:r w:rsidR="0071715F">
        <w:rPr>
          <w:color w:val="231F16"/>
        </w:rPr>
        <w:t xml:space="preserve">; Kyrgyzstan; </w:t>
      </w:r>
      <w:r w:rsidR="003F7464">
        <w:rPr>
          <w:color w:val="231F16"/>
        </w:rPr>
        <w:t>P</w:t>
      </w:r>
      <w:r w:rsidR="00C6659E">
        <w:rPr>
          <w:color w:val="231F16"/>
        </w:rPr>
        <w:t>akistan</w:t>
      </w:r>
      <w:r w:rsidR="0071715F">
        <w:rPr>
          <w:color w:val="231F16"/>
        </w:rPr>
        <w:t>; Samoa;</w:t>
      </w:r>
      <w:r w:rsidR="00964654">
        <w:rPr>
          <w:color w:val="231F16"/>
        </w:rPr>
        <w:t xml:space="preserve"> and Zambia)</w:t>
      </w:r>
      <w:r w:rsidR="003F7464">
        <w:rPr>
          <w:color w:val="231F16"/>
        </w:rPr>
        <w:t>;</w:t>
      </w:r>
      <w:r>
        <w:t xml:space="preserve"> </w:t>
      </w:r>
    </w:p>
    <w:p w14:paraId="450923DD" w14:textId="280BA5F3" w:rsidR="002E7A12" w:rsidRDefault="00922D4E" w:rsidP="00DD2DDC">
      <w:pPr>
        <w:pStyle w:val="ListNumber"/>
        <w:numPr>
          <w:ilvl w:val="0"/>
          <w:numId w:val="116"/>
        </w:numPr>
      </w:pPr>
      <w:r w:rsidRPr="00157A3D">
        <w:rPr>
          <w:b/>
          <w:bCs/>
        </w:rPr>
        <w:t>Evaluation criteria:</w:t>
      </w:r>
      <w:r>
        <w:t xml:space="preserve"> </w:t>
      </w:r>
      <w:r w:rsidR="00E1129E">
        <w:t xml:space="preserve">In line with the </w:t>
      </w:r>
      <w:r w:rsidR="003F7464">
        <w:t xml:space="preserve">ToR, the evaluation examined </w:t>
      </w:r>
      <w:r>
        <w:t>six OECD-DAC</w:t>
      </w:r>
      <w:r w:rsidRPr="0028431D">
        <w:rPr>
          <w:rStyle w:val="FootnoteReference"/>
        </w:rPr>
        <w:footnoteReference w:id="46"/>
      </w:r>
      <w:r>
        <w:t xml:space="preserve"> criteria (relevance; coherence; effectiveness; efficiency; impact; and sustainability); and three cross-cutting themes (gender; human rights; and disability inclusion);</w:t>
      </w:r>
    </w:p>
    <w:p w14:paraId="2C043CF1" w14:textId="45E0A75C" w:rsidR="00805A01" w:rsidRDefault="00805A01" w:rsidP="008E3875">
      <w:pPr>
        <w:pStyle w:val="ListNumber"/>
        <w:numPr>
          <w:ilvl w:val="0"/>
          <w:numId w:val="0"/>
        </w:numPr>
      </w:pPr>
      <w:r>
        <w:t>The effectiveness criterion was used to assess overall project performance against the stated objective</w:t>
      </w:r>
      <w:r w:rsidR="0030448D">
        <w:t>s</w:t>
      </w:r>
      <w:r>
        <w:t xml:space="preserve"> and </w:t>
      </w:r>
      <w:r w:rsidR="0030448D">
        <w:t xml:space="preserve">the </w:t>
      </w:r>
      <w:r>
        <w:t xml:space="preserve">expected results of the </w:t>
      </w:r>
      <w:r w:rsidR="009336A3">
        <w:t xml:space="preserve">project </w:t>
      </w:r>
      <w:r w:rsidR="00EA526C">
        <w:t xml:space="preserve">Theory of Change/ </w:t>
      </w:r>
      <w:r>
        <w:t>Results Framework.</w:t>
      </w:r>
      <w:r w:rsidR="00EA526C">
        <w:rPr>
          <w:rStyle w:val="FootnoteReference"/>
        </w:rPr>
        <w:footnoteReference w:id="47"/>
      </w:r>
      <w:r>
        <w:t xml:space="preserve"> </w:t>
      </w:r>
      <w:r w:rsidR="00F86F6E">
        <w:t xml:space="preserve">A </w:t>
      </w:r>
      <w:r>
        <w:t>parallel study on the broader application of the project tools in non-</w:t>
      </w:r>
      <w:r w:rsidR="004762E0">
        <w:t>target</w:t>
      </w:r>
      <w:r>
        <w:t xml:space="preserve"> countries, as well as by </w:t>
      </w:r>
      <w:r w:rsidR="004762E0">
        <w:t xml:space="preserve">project partners and other </w:t>
      </w:r>
      <w:r>
        <w:t xml:space="preserve">organisations, </w:t>
      </w:r>
      <w:r w:rsidR="003C224B">
        <w:t xml:space="preserve">also informed the assessment </w:t>
      </w:r>
      <w:r>
        <w:t>of the sustainability criterion</w:t>
      </w:r>
      <w:r w:rsidR="0065039E">
        <w:t>.</w:t>
      </w:r>
      <w:r w:rsidR="0065039E">
        <w:rPr>
          <w:rStyle w:val="FootnoteReference"/>
        </w:rPr>
        <w:footnoteReference w:id="48"/>
      </w:r>
    </w:p>
    <w:p w14:paraId="2FC217F5" w14:textId="32461E24" w:rsidR="00805A01" w:rsidRDefault="00CE3126" w:rsidP="008E3875">
      <w:pPr>
        <w:pStyle w:val="ListNumber"/>
        <w:numPr>
          <w:ilvl w:val="0"/>
          <w:numId w:val="0"/>
        </w:numPr>
      </w:pPr>
      <w:r>
        <w:t xml:space="preserve">Annex 6 presents the </w:t>
      </w:r>
      <w:r w:rsidR="00AE056D">
        <w:t xml:space="preserve">detailed </w:t>
      </w:r>
      <w:r>
        <w:t xml:space="preserve">client-approved evaluation matrix, which </w:t>
      </w:r>
      <w:r w:rsidR="006A000B">
        <w:t xml:space="preserve">outlines the </w:t>
      </w:r>
      <w:r w:rsidR="006D10AF">
        <w:t>key</w:t>
      </w:r>
      <w:r w:rsidR="006A000B">
        <w:t xml:space="preserve"> questions</w:t>
      </w:r>
      <w:r w:rsidR="006D10AF">
        <w:t xml:space="preserve"> and examples of sub-questions</w:t>
      </w:r>
      <w:r w:rsidR="006A000B">
        <w:t xml:space="preserve"> </w:t>
      </w:r>
      <w:r w:rsidR="00AE056D">
        <w:t xml:space="preserve">that were </w:t>
      </w:r>
      <w:r>
        <w:t xml:space="preserve">used to </w:t>
      </w:r>
      <w:r w:rsidR="006A000B">
        <w:t>guide the evaluative</w:t>
      </w:r>
      <w:r w:rsidR="00AE056D">
        <w:t xml:space="preserve"> exercise.</w:t>
      </w:r>
      <w:r w:rsidR="006D10AF">
        <w:t xml:space="preserve"> The key questions </w:t>
      </w:r>
      <w:r w:rsidR="00B16BC8">
        <w:t>were conceptualised under the main evaluation criteria.</w:t>
      </w:r>
    </w:p>
    <w:p w14:paraId="485DF97C" w14:textId="77777777" w:rsidR="0013043D" w:rsidRDefault="0013043D" w:rsidP="0013043D">
      <w:pPr>
        <w:pStyle w:val="ListNumber"/>
        <w:numPr>
          <w:ilvl w:val="0"/>
          <w:numId w:val="0"/>
        </w:numPr>
        <w:ind w:left="567" w:hanging="340"/>
      </w:pPr>
    </w:p>
    <w:p w14:paraId="441ACB0D" w14:textId="3B87D626" w:rsidR="00922D4E" w:rsidRPr="00F3410C" w:rsidRDefault="00922D4E" w:rsidP="0097617F">
      <w:pPr>
        <w:pStyle w:val="ListBullet"/>
        <w:numPr>
          <w:ilvl w:val="0"/>
          <w:numId w:val="0"/>
        </w:numPr>
        <w:ind w:left="567" w:hanging="340"/>
      </w:pPr>
    </w:p>
    <w:p w14:paraId="57D6A654" w14:textId="77777777" w:rsidR="00C92AF5" w:rsidRDefault="00C92AF5" w:rsidP="00580F0F">
      <w:pPr>
        <w:rPr>
          <w:rFonts w:eastAsiaTheme="minorHAnsi"/>
        </w:rPr>
        <w:sectPr w:rsidR="00C92AF5" w:rsidSect="00F666A1">
          <w:type w:val="continuous"/>
          <w:pgSz w:w="12240" w:h="15840" w:code="1"/>
          <w:pgMar w:top="1276" w:right="1276" w:bottom="1588" w:left="1276" w:header="720" w:footer="720" w:gutter="0"/>
          <w:cols w:num="2" w:space="397"/>
          <w:docGrid w:linePitch="360"/>
        </w:sectPr>
      </w:pPr>
    </w:p>
    <w:p w14:paraId="18C6306F" w14:textId="251F5574" w:rsidR="00875969" w:rsidRPr="00B01B74" w:rsidRDefault="00875969" w:rsidP="006D482B">
      <w:pPr>
        <w:pStyle w:val="Heading1"/>
      </w:pPr>
      <w:bookmarkStart w:id="25" w:name="_Toc210730318"/>
      <w:r w:rsidRPr="00B01B74">
        <w:lastRenderedPageBreak/>
        <w:t>Methodology</w:t>
      </w:r>
      <w:bookmarkEnd w:id="25"/>
    </w:p>
    <w:p w14:paraId="3D4502B0" w14:textId="77777777" w:rsidR="00612F74" w:rsidRPr="00B01B74" w:rsidRDefault="00612F74" w:rsidP="006D482B">
      <w:pPr>
        <w:pStyle w:val="Heading2"/>
        <w:sectPr w:rsidR="00612F74" w:rsidRPr="00B01B74" w:rsidSect="00F666A1">
          <w:type w:val="continuous"/>
          <w:pgSz w:w="12240" w:h="15840" w:code="1"/>
          <w:pgMar w:top="1276" w:right="1276" w:bottom="1588" w:left="1276" w:header="720" w:footer="720" w:gutter="0"/>
          <w:cols w:space="720"/>
          <w:docGrid w:linePitch="360"/>
        </w:sectPr>
      </w:pPr>
    </w:p>
    <w:p w14:paraId="228D1170" w14:textId="190ADABD" w:rsidR="007272D4" w:rsidRDefault="00682858" w:rsidP="00612F74">
      <w:pPr>
        <w:pStyle w:val="Heading2"/>
        <w:spacing w:before="0"/>
      </w:pPr>
      <w:bookmarkStart w:id="26" w:name="_Toc210730319"/>
      <w:r w:rsidRPr="006D482B">
        <w:t>Technical approach</w:t>
      </w:r>
      <w:bookmarkEnd w:id="26"/>
    </w:p>
    <w:p w14:paraId="47E82EC6" w14:textId="0C802ED5" w:rsidR="007272D4" w:rsidRDefault="007272D4" w:rsidP="0013203A">
      <w:pPr>
        <w:pStyle w:val="BodyText"/>
      </w:pPr>
      <w:r w:rsidRPr="001915AD">
        <w:t>Th</w:t>
      </w:r>
      <w:r w:rsidR="00324B6E">
        <w:t xml:space="preserve">e technical approach to the </w:t>
      </w:r>
      <w:r w:rsidR="00D75F2A">
        <w:t xml:space="preserve">evaluation was </w:t>
      </w:r>
      <w:r w:rsidRPr="001915AD">
        <w:t>theory-based and w</w:t>
      </w:r>
      <w:r w:rsidR="009D1EC9">
        <w:t xml:space="preserve">as </w:t>
      </w:r>
      <w:r w:rsidRPr="001915AD">
        <w:t xml:space="preserve">guided by a client-approved evaluation matrix. </w:t>
      </w:r>
      <w:r w:rsidR="003A31EF">
        <w:t xml:space="preserve">It was also </w:t>
      </w:r>
      <w:r>
        <w:t>supported by</w:t>
      </w:r>
      <w:r w:rsidRPr="001915AD">
        <w:t xml:space="preserve"> an</w:t>
      </w:r>
      <w:r w:rsidRPr="001915AD">
        <w:rPr>
          <w:spacing w:val="1"/>
        </w:rPr>
        <w:t xml:space="preserve"> </w:t>
      </w:r>
      <w:r w:rsidRPr="001915AD">
        <w:t>inclusive</w:t>
      </w:r>
      <w:r w:rsidRPr="001915AD">
        <w:rPr>
          <w:spacing w:val="3"/>
        </w:rPr>
        <w:t xml:space="preserve"> </w:t>
      </w:r>
      <w:r w:rsidRPr="001915AD">
        <w:t>participatory</w:t>
      </w:r>
      <w:r w:rsidRPr="001915AD">
        <w:rPr>
          <w:spacing w:val="2"/>
        </w:rPr>
        <w:t xml:space="preserve"> </w:t>
      </w:r>
      <w:r w:rsidR="00A053FF">
        <w:rPr>
          <w:spacing w:val="2"/>
        </w:rPr>
        <w:t>process/</w:t>
      </w:r>
      <w:r w:rsidRPr="001915AD">
        <w:t>approach;</w:t>
      </w:r>
      <w:r w:rsidRPr="001915AD">
        <w:rPr>
          <w:spacing w:val="4"/>
        </w:rPr>
        <w:t xml:space="preserve"> </w:t>
      </w:r>
      <w:r w:rsidRPr="001915AD">
        <w:t>utilisation-focused</w:t>
      </w:r>
      <w:r w:rsidRPr="001915AD">
        <w:rPr>
          <w:spacing w:val="2"/>
        </w:rPr>
        <w:t xml:space="preserve"> </w:t>
      </w:r>
      <w:r w:rsidRPr="001915AD">
        <w:rPr>
          <w:spacing w:val="-2"/>
        </w:rPr>
        <w:t xml:space="preserve">principles; </w:t>
      </w:r>
      <w:r w:rsidRPr="001915AD">
        <w:t>mixed-methods;</w:t>
      </w:r>
      <w:r w:rsidRPr="001915AD">
        <w:rPr>
          <w:spacing w:val="28"/>
        </w:rPr>
        <w:t xml:space="preserve"> </w:t>
      </w:r>
      <w:r w:rsidRPr="001915AD">
        <w:t>and</w:t>
      </w:r>
      <w:r w:rsidRPr="001915AD">
        <w:rPr>
          <w:spacing w:val="28"/>
        </w:rPr>
        <w:t xml:space="preserve"> </w:t>
      </w:r>
      <w:r w:rsidRPr="001915AD">
        <w:t>purposive</w:t>
      </w:r>
      <w:r w:rsidRPr="001915AD">
        <w:rPr>
          <w:spacing w:val="29"/>
        </w:rPr>
        <w:t xml:space="preserve"> </w:t>
      </w:r>
      <w:r w:rsidRPr="001915AD">
        <w:t>sampling.</w:t>
      </w:r>
      <w:r w:rsidRPr="001915AD">
        <w:rPr>
          <w:spacing w:val="27"/>
        </w:rPr>
        <w:t xml:space="preserve"> </w:t>
      </w:r>
      <w:r w:rsidRPr="001915AD">
        <w:t>The</w:t>
      </w:r>
      <w:r w:rsidRPr="001915AD">
        <w:rPr>
          <w:spacing w:val="30"/>
        </w:rPr>
        <w:t xml:space="preserve"> </w:t>
      </w:r>
      <w:r w:rsidRPr="001915AD">
        <w:t>underlying</w:t>
      </w:r>
      <w:r w:rsidRPr="001915AD">
        <w:rPr>
          <w:spacing w:val="27"/>
        </w:rPr>
        <w:t xml:space="preserve"> </w:t>
      </w:r>
      <w:r w:rsidRPr="001915AD">
        <w:t>rationale</w:t>
      </w:r>
      <w:r w:rsidRPr="001915AD">
        <w:rPr>
          <w:spacing w:val="31"/>
        </w:rPr>
        <w:t xml:space="preserve"> </w:t>
      </w:r>
      <w:r w:rsidRPr="001915AD">
        <w:t>for</w:t>
      </w:r>
      <w:r w:rsidRPr="001915AD">
        <w:rPr>
          <w:spacing w:val="27"/>
        </w:rPr>
        <w:t xml:space="preserve"> </w:t>
      </w:r>
      <w:r w:rsidRPr="001915AD">
        <w:t>the</w:t>
      </w:r>
      <w:r w:rsidRPr="001915AD">
        <w:rPr>
          <w:spacing w:val="29"/>
        </w:rPr>
        <w:t xml:space="preserve"> </w:t>
      </w:r>
      <w:r w:rsidRPr="001915AD">
        <w:t>technical</w:t>
      </w:r>
      <w:r w:rsidRPr="001915AD">
        <w:rPr>
          <w:spacing w:val="29"/>
        </w:rPr>
        <w:t xml:space="preserve"> </w:t>
      </w:r>
      <w:r w:rsidRPr="001915AD">
        <w:t>approach</w:t>
      </w:r>
      <w:r w:rsidRPr="001915AD">
        <w:rPr>
          <w:spacing w:val="29"/>
        </w:rPr>
        <w:t xml:space="preserve"> </w:t>
      </w:r>
      <w:r w:rsidRPr="001915AD">
        <w:t>is described in the sub-sections that follow.</w:t>
      </w:r>
    </w:p>
    <w:p w14:paraId="00405DA1" w14:textId="52157B60" w:rsidR="00682858" w:rsidRPr="006D482B" w:rsidRDefault="00682858" w:rsidP="006D482B">
      <w:pPr>
        <w:pStyle w:val="Heading3"/>
      </w:pPr>
      <w:r w:rsidRPr="006D482B">
        <w:t>Theory-based evaluations and the Evaluation matrix</w:t>
      </w:r>
    </w:p>
    <w:p w14:paraId="353AA3BB" w14:textId="57BBB0EA" w:rsidR="00C75CB3" w:rsidRPr="00D12632" w:rsidRDefault="007272D4" w:rsidP="00C75CB3">
      <w:pPr>
        <w:pStyle w:val="BodyText"/>
      </w:pPr>
      <w:r w:rsidRPr="00D12632">
        <w:t>ToR</w:t>
      </w:r>
      <w:r w:rsidR="00897A88">
        <w:t xml:space="preserve"> </w:t>
      </w:r>
      <w:r w:rsidR="00CF0B78">
        <w:t xml:space="preserve">specifications </w:t>
      </w:r>
      <w:r w:rsidRPr="00D12632">
        <w:t>highlighted a need for the e</w:t>
      </w:r>
      <w:r w:rsidR="00CF0B78">
        <w:t>valuation</w:t>
      </w:r>
      <w:r w:rsidR="00897A88">
        <w:t xml:space="preserve"> </w:t>
      </w:r>
      <w:r w:rsidRPr="00D12632">
        <w:t xml:space="preserve">to </w:t>
      </w:r>
      <w:r w:rsidR="00C654BA">
        <w:t>‘uphold accountability and foster organisational learning</w:t>
      </w:r>
      <w:r w:rsidR="00126B52">
        <w:t>;</w:t>
      </w:r>
      <w:r w:rsidR="0049725E">
        <w:t xml:space="preserve"> … generate actionable insights</w:t>
      </w:r>
      <w:r w:rsidR="00126B52">
        <w:t>;</w:t>
      </w:r>
      <w:r w:rsidR="0049725E">
        <w:t xml:space="preserve"> and identify </w:t>
      </w:r>
      <w:r w:rsidR="00077648">
        <w:t>commendable practices … [to]</w:t>
      </w:r>
      <w:r w:rsidR="000301E1">
        <w:t xml:space="preserve"> </w:t>
      </w:r>
      <w:r w:rsidR="00077648">
        <w:t>inform</w:t>
      </w:r>
      <w:r w:rsidR="00B46190">
        <w:t xml:space="preserve"> the future direction of similar initiatives.’</w:t>
      </w:r>
      <w:r w:rsidR="00B46190">
        <w:rPr>
          <w:rStyle w:val="FootnoteReference"/>
        </w:rPr>
        <w:footnoteReference w:id="49"/>
      </w:r>
      <w:r w:rsidR="0006123F">
        <w:t xml:space="preserve"> </w:t>
      </w:r>
      <w:r w:rsidR="004345A5">
        <w:t xml:space="preserve">In response to this requirement, the </w:t>
      </w:r>
      <w:r w:rsidRPr="0066051C">
        <w:t>theory-based approach</w:t>
      </w:r>
      <w:r w:rsidR="006F50A0" w:rsidRPr="0066051C">
        <w:t xml:space="preserve"> to the evaluation was used to </w:t>
      </w:r>
      <w:r w:rsidR="001D7B07" w:rsidRPr="0066051C">
        <w:t>facilitate a logic of enquiry that was</w:t>
      </w:r>
      <w:r w:rsidR="007E0BC9" w:rsidRPr="007E0BC9">
        <w:t xml:space="preserve"> </w:t>
      </w:r>
      <w:r w:rsidR="007E0BC9" w:rsidRPr="00D12632">
        <w:t xml:space="preserve">structured around the theory of change </w:t>
      </w:r>
      <w:r w:rsidR="007E0BC9">
        <w:t>/</w:t>
      </w:r>
      <w:r w:rsidR="007E0BC9" w:rsidRPr="00D12632">
        <w:t xml:space="preserve"> results framework of the</w:t>
      </w:r>
      <w:r w:rsidR="007E0BC9">
        <w:t xml:space="preserve"> </w:t>
      </w:r>
      <w:r w:rsidR="00CD232A">
        <w:t>p</w:t>
      </w:r>
      <w:r w:rsidR="007E0BC9">
        <w:t>roject.</w:t>
      </w:r>
      <w:r w:rsidR="00564203">
        <w:t xml:space="preserve"> This </w:t>
      </w:r>
      <w:r w:rsidR="000D6D91">
        <w:t xml:space="preserve">process </w:t>
      </w:r>
      <w:r w:rsidR="00564203">
        <w:t xml:space="preserve">was </w:t>
      </w:r>
      <w:r w:rsidR="00861295">
        <w:t xml:space="preserve">used </w:t>
      </w:r>
      <w:r w:rsidR="00C75CB3" w:rsidRPr="00D12632">
        <w:t xml:space="preserve">to test the theory of change, to determine whether identified contextual factors contributed towards or impeded </w:t>
      </w:r>
      <w:r w:rsidR="00C75CB3">
        <w:t xml:space="preserve">results </w:t>
      </w:r>
      <w:r w:rsidR="00C75CB3" w:rsidRPr="00D12632">
        <w:t>achievement</w:t>
      </w:r>
      <w:r w:rsidR="00C75CB3">
        <w:t xml:space="preserve">, irrespective of whether the achieved results were </w:t>
      </w:r>
      <w:r w:rsidR="00C75CB3" w:rsidRPr="00D12632">
        <w:t>positive</w:t>
      </w:r>
      <w:r w:rsidR="00C75CB3">
        <w:t xml:space="preserve">; </w:t>
      </w:r>
      <w:r w:rsidR="00C75CB3" w:rsidRPr="00D12632">
        <w:t>negative</w:t>
      </w:r>
      <w:r w:rsidR="00C75CB3">
        <w:t>; expected; or unanticipated</w:t>
      </w:r>
      <w:r w:rsidR="00C75CB3" w:rsidRPr="00D12632">
        <w:t xml:space="preserve">. </w:t>
      </w:r>
    </w:p>
    <w:p w14:paraId="72B6D9AD" w14:textId="44DFAD52" w:rsidR="007A18A8" w:rsidRDefault="00DA4EAA" w:rsidP="00D12632">
      <w:pPr>
        <w:pStyle w:val="BodyText"/>
      </w:pPr>
      <w:r w:rsidRPr="004339D8">
        <w:t xml:space="preserve">To facilitate the theory-based approach, </w:t>
      </w:r>
      <w:r w:rsidR="00FB4E04" w:rsidRPr="004339D8">
        <w:t xml:space="preserve">a </w:t>
      </w:r>
      <w:r w:rsidR="000E7D7F" w:rsidRPr="004339D8">
        <w:t>UNDESA-FSDO</w:t>
      </w:r>
      <w:r w:rsidR="00FB4E04" w:rsidRPr="004339D8">
        <w:t>-approved evaluation matrix</w:t>
      </w:r>
      <w:r w:rsidR="000E7D7F" w:rsidRPr="004339D8">
        <w:t xml:space="preserve"> was developed </w:t>
      </w:r>
      <w:r w:rsidR="007272D4" w:rsidRPr="00D12632">
        <w:t xml:space="preserve">to conceptualise </w:t>
      </w:r>
      <w:r w:rsidR="00A40AB0">
        <w:t xml:space="preserve">the evaluation under the </w:t>
      </w:r>
      <w:r w:rsidR="004454D6">
        <w:t>six main</w:t>
      </w:r>
      <w:r w:rsidR="00D50E37" w:rsidRPr="00D12632">
        <w:t xml:space="preserve"> evaluation criteria</w:t>
      </w:r>
      <w:r w:rsidR="00E32590">
        <w:t xml:space="preserve"> (</w:t>
      </w:r>
      <w:r w:rsidR="0062293E" w:rsidRPr="00D12632">
        <w:t xml:space="preserve">relevance; coherence; effectiveness; efficiency; </w:t>
      </w:r>
      <w:r w:rsidR="008531EF">
        <w:t>i</w:t>
      </w:r>
      <w:r w:rsidR="0062293E" w:rsidRPr="00D12632">
        <w:t>mpact; and sustainability</w:t>
      </w:r>
      <w:r w:rsidR="008531EF">
        <w:t>)</w:t>
      </w:r>
      <w:r w:rsidR="0062293E">
        <w:t xml:space="preserve"> </w:t>
      </w:r>
      <w:r w:rsidR="00D50E37">
        <w:t xml:space="preserve">and </w:t>
      </w:r>
      <w:r w:rsidR="009A5864">
        <w:t xml:space="preserve">the </w:t>
      </w:r>
      <w:r w:rsidR="008531EF">
        <w:t xml:space="preserve">three </w:t>
      </w:r>
      <w:r w:rsidR="009A5864">
        <w:t xml:space="preserve">cross-cutting </w:t>
      </w:r>
      <w:r w:rsidR="00513543">
        <w:t xml:space="preserve">issues </w:t>
      </w:r>
      <w:r w:rsidR="00B25DAF">
        <w:t>of focus</w:t>
      </w:r>
      <w:r w:rsidR="00B25DAF" w:rsidRPr="00EC7B36">
        <w:t xml:space="preserve"> </w:t>
      </w:r>
      <w:r w:rsidR="009F6FEF" w:rsidRPr="00D12632">
        <w:t>(gender; human rights; and disability inclusion)</w:t>
      </w:r>
      <w:r w:rsidR="00B25DAF">
        <w:t>.</w:t>
      </w:r>
      <w:r w:rsidR="009F6FEF" w:rsidRPr="0028431D">
        <w:rPr>
          <w:rStyle w:val="FootnoteReference"/>
        </w:rPr>
        <w:footnoteReference w:id="50"/>
      </w:r>
      <w:r w:rsidR="009A5864">
        <w:t xml:space="preserve"> </w:t>
      </w:r>
      <w:r w:rsidR="00D60671">
        <w:t xml:space="preserve">The evaluation matrix </w:t>
      </w:r>
      <w:r w:rsidR="00D50E37">
        <w:t>arti</w:t>
      </w:r>
      <w:r w:rsidR="00A60864">
        <w:t>culate</w:t>
      </w:r>
      <w:r w:rsidR="00D60671">
        <w:t>d</w:t>
      </w:r>
      <w:r w:rsidR="00A60864">
        <w:t xml:space="preserve"> </w:t>
      </w:r>
      <w:r w:rsidR="00A60864" w:rsidRPr="00D12632">
        <w:t>the key evaluation questions and sub-questions</w:t>
      </w:r>
      <w:r w:rsidR="00D60671">
        <w:t xml:space="preserve"> under each evaluation criterion, a</w:t>
      </w:r>
      <w:r w:rsidR="00026F8B">
        <w:t xml:space="preserve">nd outlined </w:t>
      </w:r>
      <w:r w:rsidR="00731DB9">
        <w:t xml:space="preserve">the means </w:t>
      </w:r>
      <w:r w:rsidR="00ED748F">
        <w:t>by which</w:t>
      </w:r>
      <w:r w:rsidR="00F62D93">
        <w:t xml:space="preserve"> </w:t>
      </w:r>
      <w:r w:rsidR="004339D8">
        <w:t>the emergent</w:t>
      </w:r>
      <w:r w:rsidR="00ED748F">
        <w:t xml:space="preserve"> responses would be verified (dat</w:t>
      </w:r>
      <w:r w:rsidR="007A18A8">
        <w:t>a</w:t>
      </w:r>
      <w:r w:rsidR="00ED748F">
        <w:t xml:space="preserve"> sources; performance indic</w:t>
      </w:r>
      <w:r w:rsidR="007A18A8">
        <w:t>at</w:t>
      </w:r>
      <w:r w:rsidR="00ED748F">
        <w:t>ors;</w:t>
      </w:r>
      <w:r w:rsidR="007A18A8">
        <w:t xml:space="preserve"> and data collection tools). </w:t>
      </w:r>
      <w:r w:rsidR="00ED748F">
        <w:t xml:space="preserve"> </w:t>
      </w:r>
    </w:p>
    <w:p w14:paraId="3A03BB9C" w14:textId="46A3AD0F" w:rsidR="007272D4" w:rsidRPr="00D12632" w:rsidRDefault="007272D4" w:rsidP="00D12632">
      <w:pPr>
        <w:pStyle w:val="BodyText"/>
      </w:pPr>
      <w:r w:rsidRPr="00D12632">
        <w:t>The OECD-DAC criteria and cross-cutting themes</w:t>
      </w:r>
      <w:r w:rsidR="00A23AEF">
        <w:t xml:space="preserve"> were combined with </w:t>
      </w:r>
      <w:r w:rsidRPr="00D12632">
        <w:t>a lessons learned criterion</w:t>
      </w:r>
      <w:r w:rsidR="00A23AEF">
        <w:t xml:space="preserve"> to </w:t>
      </w:r>
      <w:r w:rsidR="00E801F7">
        <w:t>conduct</w:t>
      </w:r>
      <w:r w:rsidR="00A23AEF">
        <w:t xml:space="preserve"> </w:t>
      </w:r>
      <w:r w:rsidRPr="00D12632">
        <w:t>a summative evaluation of project performance.</w:t>
      </w:r>
      <w:r w:rsidR="00534C6D">
        <w:t xml:space="preserve"> </w:t>
      </w:r>
      <w:r w:rsidR="00967219">
        <w:t xml:space="preserve">A </w:t>
      </w:r>
      <w:r w:rsidR="00967219">
        <w:t>reco</w:t>
      </w:r>
      <w:r w:rsidR="00ED4A54">
        <w:t>mmendations crite</w:t>
      </w:r>
      <w:r w:rsidR="00E801F7">
        <w:t xml:space="preserve">rion was further used to </w:t>
      </w:r>
      <w:r w:rsidR="00267BBA">
        <w:t xml:space="preserve">facilitate </w:t>
      </w:r>
      <w:r w:rsidR="00E801F7" w:rsidRPr="00D12632">
        <w:t>a formative component</w:t>
      </w:r>
      <w:r w:rsidR="00267BBA">
        <w:t xml:space="preserve"> of the evaluation. </w:t>
      </w:r>
      <w:r w:rsidR="00B10259">
        <w:t xml:space="preserve">In combination, the summative and formative components of the evaluation responded to the need </w:t>
      </w:r>
      <w:r w:rsidR="00392A04">
        <w:t>for accountability and organisational learning</w:t>
      </w:r>
      <w:r w:rsidRPr="00D12632">
        <w:t>.</w:t>
      </w:r>
    </w:p>
    <w:p w14:paraId="0DF93209" w14:textId="19794D96" w:rsidR="00682858" w:rsidRPr="006D482B" w:rsidRDefault="00682858" w:rsidP="006D482B">
      <w:pPr>
        <w:pStyle w:val="Heading3"/>
      </w:pPr>
      <w:r w:rsidRPr="006D482B">
        <w:t xml:space="preserve">Inclusive participatory </w:t>
      </w:r>
      <w:r w:rsidR="00FB39B0">
        <w:t>process</w:t>
      </w:r>
    </w:p>
    <w:p w14:paraId="03947120" w14:textId="73148203" w:rsidR="00152299" w:rsidRDefault="00415033" w:rsidP="00D53E71">
      <w:pPr>
        <w:pStyle w:val="BodyText"/>
        <w:rPr>
          <w:szCs w:val="20"/>
        </w:rPr>
      </w:pPr>
      <w:r>
        <w:rPr>
          <w:szCs w:val="20"/>
        </w:rPr>
        <w:t xml:space="preserve">By engaging all categories of </w:t>
      </w:r>
      <w:r w:rsidRPr="00EA75FD">
        <w:rPr>
          <w:szCs w:val="20"/>
        </w:rPr>
        <w:t>relevant project stakeholders</w:t>
      </w:r>
      <w:r>
        <w:rPr>
          <w:szCs w:val="20"/>
        </w:rPr>
        <w:t xml:space="preserve"> during </w:t>
      </w:r>
      <w:r w:rsidR="00F83CA6">
        <w:rPr>
          <w:szCs w:val="20"/>
        </w:rPr>
        <w:t>stakeholder consultations</w:t>
      </w:r>
      <w:r>
        <w:rPr>
          <w:szCs w:val="20"/>
        </w:rPr>
        <w:t xml:space="preserve">, </w:t>
      </w:r>
      <w:r w:rsidR="00FB39B0">
        <w:rPr>
          <w:szCs w:val="20"/>
        </w:rPr>
        <w:t xml:space="preserve">the facilitation of </w:t>
      </w:r>
      <w:r w:rsidR="00FB39B0" w:rsidRPr="00EA75FD">
        <w:rPr>
          <w:szCs w:val="20"/>
        </w:rPr>
        <w:t>an inclusive participatory</w:t>
      </w:r>
      <w:r w:rsidR="00FB39B0">
        <w:rPr>
          <w:szCs w:val="20"/>
        </w:rPr>
        <w:t xml:space="preserve"> process </w:t>
      </w:r>
      <w:r w:rsidR="006D3416" w:rsidRPr="00EA75FD">
        <w:rPr>
          <w:szCs w:val="20"/>
        </w:rPr>
        <w:t>allow</w:t>
      </w:r>
      <w:r w:rsidR="006D3416">
        <w:rPr>
          <w:szCs w:val="20"/>
        </w:rPr>
        <w:t>ed</w:t>
      </w:r>
      <w:r w:rsidR="006D3416" w:rsidRPr="00EA75FD">
        <w:rPr>
          <w:szCs w:val="20"/>
        </w:rPr>
        <w:t xml:space="preserve"> for a pragmatic </w:t>
      </w:r>
      <w:r w:rsidR="005026D6">
        <w:rPr>
          <w:szCs w:val="20"/>
        </w:rPr>
        <w:t>evaluation.</w:t>
      </w:r>
      <w:r w:rsidR="009A58D3">
        <w:rPr>
          <w:szCs w:val="20"/>
        </w:rPr>
        <w:t xml:space="preserve"> The </w:t>
      </w:r>
      <w:r w:rsidR="009A58D3" w:rsidRPr="00EA75FD">
        <w:rPr>
          <w:szCs w:val="20"/>
        </w:rPr>
        <w:t>inclusive participatory</w:t>
      </w:r>
      <w:r w:rsidR="009A58D3">
        <w:rPr>
          <w:szCs w:val="20"/>
        </w:rPr>
        <w:t xml:space="preserve"> process was used to </w:t>
      </w:r>
      <w:r w:rsidR="000C3450">
        <w:rPr>
          <w:szCs w:val="20"/>
        </w:rPr>
        <w:t xml:space="preserve">respect and </w:t>
      </w:r>
      <w:r w:rsidR="00152299">
        <w:rPr>
          <w:szCs w:val="20"/>
        </w:rPr>
        <w:t xml:space="preserve">draw on </w:t>
      </w:r>
      <w:r w:rsidR="00D53E71" w:rsidRPr="00EA75FD">
        <w:rPr>
          <w:szCs w:val="20"/>
        </w:rPr>
        <w:t xml:space="preserve">the knowledge and experience of the project stakeholders, </w:t>
      </w:r>
      <w:r w:rsidR="00152299">
        <w:rPr>
          <w:szCs w:val="20"/>
        </w:rPr>
        <w:t>as</w:t>
      </w:r>
      <w:r w:rsidR="00D53E71" w:rsidRPr="00EA75FD">
        <w:rPr>
          <w:szCs w:val="20"/>
        </w:rPr>
        <w:t xml:space="preserve"> the key informants of the project experience</w:t>
      </w:r>
      <w:r w:rsidR="00152299">
        <w:rPr>
          <w:szCs w:val="20"/>
        </w:rPr>
        <w:t>.</w:t>
      </w:r>
      <w:r w:rsidR="00C44789">
        <w:rPr>
          <w:szCs w:val="20"/>
        </w:rPr>
        <w:t xml:space="preserve"> </w:t>
      </w:r>
      <w:r w:rsidR="00110840">
        <w:rPr>
          <w:szCs w:val="20"/>
        </w:rPr>
        <w:t xml:space="preserve">This approach was also ethical, </w:t>
      </w:r>
      <w:r w:rsidR="008B439C">
        <w:rPr>
          <w:szCs w:val="20"/>
        </w:rPr>
        <w:t>based on the recognition of the inherent right of the</w:t>
      </w:r>
      <w:r w:rsidR="008B439C" w:rsidRPr="00EA75FD">
        <w:rPr>
          <w:szCs w:val="20"/>
        </w:rPr>
        <w:t xml:space="preserve"> project stakeholders/ key informants</w:t>
      </w:r>
      <w:r w:rsidR="008B439C">
        <w:rPr>
          <w:szCs w:val="20"/>
        </w:rPr>
        <w:t xml:space="preserve"> to</w:t>
      </w:r>
      <w:r w:rsidR="00846F29">
        <w:rPr>
          <w:szCs w:val="20"/>
        </w:rPr>
        <w:t>: i)</w:t>
      </w:r>
      <w:r w:rsidR="008B439C">
        <w:rPr>
          <w:szCs w:val="20"/>
        </w:rPr>
        <w:t xml:space="preserve"> </w:t>
      </w:r>
      <w:r w:rsidR="004631C4">
        <w:rPr>
          <w:szCs w:val="20"/>
        </w:rPr>
        <w:t>share their view</w:t>
      </w:r>
      <w:r w:rsidR="00846F29">
        <w:rPr>
          <w:szCs w:val="20"/>
        </w:rPr>
        <w:t>s</w:t>
      </w:r>
      <w:r w:rsidR="004631C4">
        <w:rPr>
          <w:szCs w:val="20"/>
        </w:rPr>
        <w:t xml:space="preserve"> on </w:t>
      </w:r>
      <w:r w:rsidR="00846F29">
        <w:rPr>
          <w:szCs w:val="20"/>
        </w:rPr>
        <w:t xml:space="preserve">the activities in which they </w:t>
      </w:r>
      <w:r w:rsidR="003B672F">
        <w:rPr>
          <w:szCs w:val="20"/>
        </w:rPr>
        <w:t>had been</w:t>
      </w:r>
      <w:r w:rsidR="00846F29">
        <w:rPr>
          <w:szCs w:val="20"/>
        </w:rPr>
        <w:t xml:space="preserve"> engaged; and ii) </w:t>
      </w:r>
      <w:r w:rsidR="002A7374">
        <w:rPr>
          <w:szCs w:val="20"/>
        </w:rPr>
        <w:t xml:space="preserve">contribute towards </w:t>
      </w:r>
      <w:r w:rsidR="00846F29">
        <w:rPr>
          <w:szCs w:val="20"/>
        </w:rPr>
        <w:t xml:space="preserve">related </w:t>
      </w:r>
      <w:r w:rsidR="001F5F41">
        <w:rPr>
          <w:szCs w:val="20"/>
        </w:rPr>
        <w:t>d</w:t>
      </w:r>
      <w:r w:rsidR="002A7374">
        <w:rPr>
          <w:szCs w:val="20"/>
        </w:rPr>
        <w:t xml:space="preserve">ecision-making and programming </w:t>
      </w:r>
      <w:r w:rsidR="001F5F41">
        <w:rPr>
          <w:szCs w:val="20"/>
        </w:rPr>
        <w:t>for future similar interventions.</w:t>
      </w:r>
    </w:p>
    <w:p w14:paraId="032EB7A9" w14:textId="4455AD6A" w:rsidR="0098579E" w:rsidRDefault="00D53E71" w:rsidP="00D53E71">
      <w:pPr>
        <w:pStyle w:val="BodyText"/>
        <w:rPr>
          <w:szCs w:val="20"/>
        </w:rPr>
      </w:pPr>
      <w:r w:rsidRPr="00EA75FD">
        <w:rPr>
          <w:szCs w:val="20"/>
        </w:rPr>
        <w:t xml:space="preserve">The overall advantage of </w:t>
      </w:r>
      <w:r w:rsidR="007E78CE">
        <w:rPr>
          <w:szCs w:val="20"/>
        </w:rPr>
        <w:t xml:space="preserve">the </w:t>
      </w:r>
      <w:r w:rsidR="001F5F41" w:rsidRPr="00EA75FD">
        <w:rPr>
          <w:szCs w:val="20"/>
        </w:rPr>
        <w:t>inclusive participatory</w:t>
      </w:r>
      <w:r w:rsidR="001F5F41">
        <w:rPr>
          <w:szCs w:val="20"/>
        </w:rPr>
        <w:t xml:space="preserve"> process </w:t>
      </w:r>
      <w:r>
        <w:rPr>
          <w:szCs w:val="20"/>
        </w:rPr>
        <w:t>was</w:t>
      </w:r>
      <w:r w:rsidRPr="00EA75FD">
        <w:rPr>
          <w:szCs w:val="20"/>
        </w:rPr>
        <w:t xml:space="preserve"> the </w:t>
      </w:r>
      <w:r w:rsidR="001F5F41">
        <w:rPr>
          <w:szCs w:val="20"/>
        </w:rPr>
        <w:t xml:space="preserve">opportunity that was created </w:t>
      </w:r>
      <w:r w:rsidR="0098579E">
        <w:rPr>
          <w:szCs w:val="20"/>
        </w:rPr>
        <w:t xml:space="preserve">for </w:t>
      </w:r>
      <w:r w:rsidRPr="00EA75FD">
        <w:rPr>
          <w:szCs w:val="20"/>
        </w:rPr>
        <w:t>generat</w:t>
      </w:r>
      <w:r w:rsidR="0098579E">
        <w:rPr>
          <w:szCs w:val="20"/>
        </w:rPr>
        <w:t>ing</w:t>
      </w:r>
      <w:r w:rsidR="007E78CE">
        <w:rPr>
          <w:szCs w:val="20"/>
        </w:rPr>
        <w:t xml:space="preserve"> </w:t>
      </w:r>
      <w:r w:rsidRPr="00EA75FD">
        <w:rPr>
          <w:szCs w:val="20"/>
        </w:rPr>
        <w:t>better-quality data</w:t>
      </w:r>
      <w:r w:rsidR="0098579E">
        <w:rPr>
          <w:szCs w:val="20"/>
        </w:rPr>
        <w:t>,</w:t>
      </w:r>
      <w:r w:rsidR="007E78CE">
        <w:rPr>
          <w:szCs w:val="20"/>
        </w:rPr>
        <w:t xml:space="preserve"> to inform </w:t>
      </w:r>
      <w:r w:rsidRPr="00EA75FD">
        <w:rPr>
          <w:szCs w:val="20"/>
        </w:rPr>
        <w:t>reliable results and appropriate recommendations</w:t>
      </w:r>
      <w:r w:rsidR="0098579E">
        <w:rPr>
          <w:szCs w:val="20"/>
        </w:rPr>
        <w:t xml:space="preserve">. </w:t>
      </w:r>
      <w:r w:rsidR="00CF5C21">
        <w:rPr>
          <w:szCs w:val="20"/>
        </w:rPr>
        <w:t>There is, by extension, increased potential for the policy uptake of the evaluation results.</w:t>
      </w:r>
      <w:r w:rsidR="00CF5C21" w:rsidRPr="00CF5C21">
        <w:rPr>
          <w:rStyle w:val="FootnoteReference"/>
          <w:szCs w:val="20"/>
        </w:rPr>
        <w:t xml:space="preserve"> </w:t>
      </w:r>
      <w:r w:rsidR="00CF5C21" w:rsidRPr="00EA75FD">
        <w:rPr>
          <w:rStyle w:val="FootnoteReference"/>
          <w:szCs w:val="20"/>
        </w:rPr>
        <w:footnoteReference w:id="51"/>
      </w:r>
    </w:p>
    <w:p w14:paraId="372F58F9" w14:textId="65943907" w:rsidR="00682858" w:rsidRPr="006D482B" w:rsidRDefault="00682858" w:rsidP="006D482B">
      <w:pPr>
        <w:pStyle w:val="Heading3"/>
      </w:pPr>
      <w:r w:rsidRPr="006D482B">
        <w:t>Utilisation-focused principles</w:t>
      </w:r>
    </w:p>
    <w:p w14:paraId="226C6B92" w14:textId="77777777" w:rsidR="003D7654" w:rsidRDefault="00D633DA" w:rsidP="00EB6243">
      <w:pPr>
        <w:pStyle w:val="BodyText"/>
        <w:ind w:right="129"/>
        <w:rPr>
          <w:szCs w:val="20"/>
        </w:rPr>
      </w:pPr>
      <w:r>
        <w:rPr>
          <w:szCs w:val="20"/>
        </w:rPr>
        <w:t>Based on ToR requirements, i</w:t>
      </w:r>
      <w:r w:rsidR="007E39CD">
        <w:rPr>
          <w:szCs w:val="20"/>
        </w:rPr>
        <w:t xml:space="preserve">t was important </w:t>
      </w:r>
      <w:r w:rsidR="000C5516">
        <w:rPr>
          <w:szCs w:val="20"/>
        </w:rPr>
        <w:t>for</w:t>
      </w:r>
      <w:r w:rsidR="00D36C35">
        <w:rPr>
          <w:szCs w:val="20"/>
        </w:rPr>
        <w:t xml:space="preserve"> the evaluation</w:t>
      </w:r>
      <w:r w:rsidR="000C5516">
        <w:rPr>
          <w:szCs w:val="20"/>
        </w:rPr>
        <w:t xml:space="preserve"> </w:t>
      </w:r>
      <w:r w:rsidR="000C5516" w:rsidRPr="00EA75FD">
        <w:rPr>
          <w:szCs w:val="20"/>
        </w:rPr>
        <w:t xml:space="preserve">to meet the expressed needs of its </w:t>
      </w:r>
      <w:r w:rsidR="008A7765">
        <w:rPr>
          <w:szCs w:val="20"/>
        </w:rPr>
        <w:t>primary and secondary users.</w:t>
      </w:r>
      <w:r w:rsidR="00C7542E">
        <w:rPr>
          <w:rStyle w:val="FootnoteReference"/>
          <w:szCs w:val="20"/>
        </w:rPr>
        <w:footnoteReference w:id="52"/>
      </w:r>
      <w:r w:rsidR="008A7765">
        <w:rPr>
          <w:szCs w:val="20"/>
        </w:rPr>
        <w:t xml:space="preserve"> </w:t>
      </w:r>
      <w:r w:rsidR="00EA610D" w:rsidRPr="00EA75FD">
        <w:rPr>
          <w:szCs w:val="20"/>
        </w:rPr>
        <w:t xml:space="preserve">The ToR </w:t>
      </w:r>
      <w:r w:rsidR="00EA610D">
        <w:rPr>
          <w:szCs w:val="20"/>
        </w:rPr>
        <w:t>i</w:t>
      </w:r>
      <w:r w:rsidR="00EA610D" w:rsidRPr="00EA75FD">
        <w:rPr>
          <w:szCs w:val="20"/>
        </w:rPr>
        <w:t xml:space="preserve">ndicated that the evaluation </w:t>
      </w:r>
      <w:r w:rsidR="00F854EC">
        <w:rPr>
          <w:szCs w:val="20"/>
        </w:rPr>
        <w:t xml:space="preserve">should </w:t>
      </w:r>
      <w:r w:rsidR="00EA610D" w:rsidRPr="00EA75FD">
        <w:rPr>
          <w:szCs w:val="20"/>
        </w:rPr>
        <w:t>generate lessons learned and identify good practices to inform ‘the future direction of similar initiatives.’</w:t>
      </w:r>
      <w:r w:rsidR="00EA610D" w:rsidRPr="00EA75FD">
        <w:rPr>
          <w:rStyle w:val="FootnoteReference"/>
          <w:szCs w:val="20"/>
        </w:rPr>
        <w:footnoteReference w:id="53"/>
      </w:r>
      <w:r w:rsidR="00EA610D" w:rsidRPr="00EA75FD">
        <w:rPr>
          <w:szCs w:val="20"/>
        </w:rPr>
        <w:t xml:space="preserve"> </w:t>
      </w:r>
      <w:r w:rsidR="00FD30C0">
        <w:rPr>
          <w:szCs w:val="20"/>
        </w:rPr>
        <w:t>U</w:t>
      </w:r>
      <w:r w:rsidR="00F75977" w:rsidRPr="00EA75FD">
        <w:rPr>
          <w:szCs w:val="20"/>
        </w:rPr>
        <w:t>tilisation-focused</w:t>
      </w:r>
      <w:r w:rsidR="00F75977" w:rsidRPr="00F75977">
        <w:rPr>
          <w:szCs w:val="20"/>
        </w:rPr>
        <w:t xml:space="preserve"> </w:t>
      </w:r>
      <w:r w:rsidR="00F75977" w:rsidRPr="00EA75FD">
        <w:rPr>
          <w:szCs w:val="20"/>
        </w:rPr>
        <w:t>principles</w:t>
      </w:r>
      <w:r w:rsidR="00F75977">
        <w:rPr>
          <w:szCs w:val="20"/>
        </w:rPr>
        <w:t xml:space="preserve"> w</w:t>
      </w:r>
      <w:r w:rsidR="00FD30C0">
        <w:rPr>
          <w:szCs w:val="20"/>
        </w:rPr>
        <w:t>ere</w:t>
      </w:r>
      <w:r w:rsidR="00700AC1">
        <w:rPr>
          <w:szCs w:val="20"/>
        </w:rPr>
        <w:t xml:space="preserve"> used to ensure that the </w:t>
      </w:r>
      <w:r w:rsidR="00FD30C0">
        <w:rPr>
          <w:szCs w:val="20"/>
        </w:rPr>
        <w:t xml:space="preserve">evaluation </w:t>
      </w:r>
      <w:r w:rsidR="00700AC1">
        <w:rPr>
          <w:szCs w:val="20"/>
        </w:rPr>
        <w:t>was</w:t>
      </w:r>
      <w:r w:rsidR="00700AC1" w:rsidRPr="00EA75FD">
        <w:rPr>
          <w:szCs w:val="20"/>
        </w:rPr>
        <w:t xml:space="preserve"> conducted</w:t>
      </w:r>
      <w:r w:rsidR="00700AC1" w:rsidRPr="00EA75FD">
        <w:rPr>
          <w:spacing w:val="-1"/>
          <w:szCs w:val="20"/>
        </w:rPr>
        <w:t xml:space="preserve"> </w:t>
      </w:r>
      <w:r w:rsidR="00700AC1" w:rsidRPr="00EA75FD">
        <w:rPr>
          <w:szCs w:val="20"/>
        </w:rPr>
        <w:t>for and by its</w:t>
      </w:r>
      <w:r w:rsidR="00700AC1">
        <w:rPr>
          <w:szCs w:val="20"/>
        </w:rPr>
        <w:t xml:space="preserve"> end-users. </w:t>
      </w:r>
      <w:r w:rsidR="0009508C" w:rsidRPr="00EA75FD">
        <w:rPr>
          <w:szCs w:val="20"/>
        </w:rPr>
        <w:t>Th</w:t>
      </w:r>
      <w:r w:rsidR="006C301A">
        <w:rPr>
          <w:szCs w:val="20"/>
        </w:rPr>
        <w:t xml:space="preserve">e </w:t>
      </w:r>
      <w:r w:rsidR="000E15E8">
        <w:rPr>
          <w:szCs w:val="20"/>
        </w:rPr>
        <w:t xml:space="preserve">rationale for the approach was </w:t>
      </w:r>
      <w:r w:rsidR="005F035F">
        <w:rPr>
          <w:szCs w:val="20"/>
        </w:rPr>
        <w:t xml:space="preserve">the </w:t>
      </w:r>
      <w:r w:rsidR="003D7654">
        <w:rPr>
          <w:szCs w:val="20"/>
        </w:rPr>
        <w:t xml:space="preserve">need </w:t>
      </w:r>
      <w:r w:rsidR="000E15E8">
        <w:rPr>
          <w:szCs w:val="20"/>
        </w:rPr>
        <w:t xml:space="preserve">to </w:t>
      </w:r>
      <w:r w:rsidR="00046AFE">
        <w:rPr>
          <w:szCs w:val="20"/>
        </w:rPr>
        <w:t xml:space="preserve">facilitate an evaluation that was useful to </w:t>
      </w:r>
      <w:r w:rsidR="00984920">
        <w:rPr>
          <w:szCs w:val="20"/>
        </w:rPr>
        <w:t xml:space="preserve">its intended users. </w:t>
      </w:r>
    </w:p>
    <w:p w14:paraId="2294BB52" w14:textId="2983053B" w:rsidR="00EA610D" w:rsidRPr="00EA75FD" w:rsidRDefault="00984920" w:rsidP="00EB6243">
      <w:pPr>
        <w:pStyle w:val="BodyText"/>
        <w:ind w:right="129"/>
        <w:rPr>
          <w:szCs w:val="20"/>
        </w:rPr>
      </w:pPr>
      <w:r>
        <w:rPr>
          <w:szCs w:val="20"/>
        </w:rPr>
        <w:t xml:space="preserve">By </w:t>
      </w:r>
      <w:r w:rsidR="000E15E8">
        <w:rPr>
          <w:szCs w:val="20"/>
        </w:rPr>
        <w:t>encourag</w:t>
      </w:r>
      <w:r>
        <w:rPr>
          <w:szCs w:val="20"/>
        </w:rPr>
        <w:t>ing</w:t>
      </w:r>
      <w:r w:rsidR="000E15E8">
        <w:rPr>
          <w:szCs w:val="20"/>
        </w:rPr>
        <w:t xml:space="preserve"> the end-users </w:t>
      </w:r>
      <w:r w:rsidR="00D738EC">
        <w:rPr>
          <w:szCs w:val="20"/>
        </w:rPr>
        <w:t xml:space="preserve">of the evaluation </w:t>
      </w:r>
      <w:r w:rsidR="000E15E8">
        <w:rPr>
          <w:szCs w:val="20"/>
        </w:rPr>
        <w:t xml:space="preserve">to own </w:t>
      </w:r>
      <w:r w:rsidR="003943D7">
        <w:rPr>
          <w:szCs w:val="20"/>
        </w:rPr>
        <w:t xml:space="preserve">the </w:t>
      </w:r>
      <w:r>
        <w:rPr>
          <w:szCs w:val="20"/>
        </w:rPr>
        <w:t>evaluati</w:t>
      </w:r>
      <w:r w:rsidR="003943D7">
        <w:rPr>
          <w:szCs w:val="20"/>
        </w:rPr>
        <w:t>ve process</w:t>
      </w:r>
      <w:r w:rsidR="00FE0989">
        <w:rPr>
          <w:szCs w:val="20"/>
        </w:rPr>
        <w:t xml:space="preserve">, including the results and recommendations that are generated, </w:t>
      </w:r>
      <w:r w:rsidR="00D738EC">
        <w:rPr>
          <w:szCs w:val="20"/>
        </w:rPr>
        <w:t xml:space="preserve">there is </w:t>
      </w:r>
      <w:r w:rsidR="00EF0252">
        <w:rPr>
          <w:szCs w:val="20"/>
        </w:rPr>
        <w:lastRenderedPageBreak/>
        <w:t xml:space="preserve">increased potential for </w:t>
      </w:r>
      <w:r w:rsidR="007624F1">
        <w:rPr>
          <w:szCs w:val="20"/>
        </w:rPr>
        <w:t xml:space="preserve">policy uptake to </w:t>
      </w:r>
      <w:r w:rsidR="0009508C" w:rsidRPr="00EA75FD">
        <w:rPr>
          <w:szCs w:val="20"/>
        </w:rPr>
        <w:t>enhance future programming.</w:t>
      </w:r>
      <w:r w:rsidR="00EB6243">
        <w:rPr>
          <w:szCs w:val="20"/>
        </w:rPr>
        <w:t xml:space="preserve"> </w:t>
      </w:r>
      <w:r w:rsidR="00EA610D" w:rsidRPr="00EA75FD">
        <w:rPr>
          <w:szCs w:val="20"/>
        </w:rPr>
        <w:t>As the evaluation w</w:t>
      </w:r>
      <w:r w:rsidR="00EA610D">
        <w:rPr>
          <w:szCs w:val="20"/>
        </w:rPr>
        <w:t xml:space="preserve">as </w:t>
      </w:r>
      <w:r w:rsidR="00EA610D" w:rsidRPr="00EA75FD">
        <w:rPr>
          <w:szCs w:val="20"/>
        </w:rPr>
        <w:t xml:space="preserve">conducted by an external </w:t>
      </w:r>
      <w:r w:rsidR="002E4206">
        <w:rPr>
          <w:szCs w:val="20"/>
        </w:rPr>
        <w:t xml:space="preserve">independent </w:t>
      </w:r>
      <w:r w:rsidR="00EA610D" w:rsidRPr="00EA75FD">
        <w:rPr>
          <w:szCs w:val="20"/>
        </w:rPr>
        <w:t xml:space="preserve">evaluator, </w:t>
      </w:r>
      <w:r w:rsidR="002E4206">
        <w:rPr>
          <w:szCs w:val="20"/>
        </w:rPr>
        <w:t xml:space="preserve">however, </w:t>
      </w:r>
      <w:r w:rsidR="00EA610D" w:rsidRPr="00EA75FD">
        <w:rPr>
          <w:szCs w:val="20"/>
        </w:rPr>
        <w:t xml:space="preserve">the results </w:t>
      </w:r>
      <w:r w:rsidR="002E4206">
        <w:rPr>
          <w:szCs w:val="20"/>
        </w:rPr>
        <w:t xml:space="preserve">of the exercise have been </w:t>
      </w:r>
      <w:r w:rsidR="00EA610D" w:rsidRPr="00EA75FD">
        <w:rPr>
          <w:szCs w:val="20"/>
        </w:rPr>
        <w:t xml:space="preserve">impartial. </w:t>
      </w:r>
    </w:p>
    <w:p w14:paraId="3E317ECC" w14:textId="49A6D83A" w:rsidR="00682858" w:rsidRPr="006D482B" w:rsidRDefault="00682858" w:rsidP="006D482B">
      <w:pPr>
        <w:pStyle w:val="Heading3"/>
      </w:pPr>
      <w:r w:rsidRPr="006D482B">
        <w:t>Mixed methods</w:t>
      </w:r>
    </w:p>
    <w:p w14:paraId="0BDC8B32" w14:textId="12CC75B1" w:rsidR="00FB4FDC" w:rsidRDefault="00AB1938" w:rsidP="00AB1938">
      <w:pPr>
        <w:pStyle w:val="BodyText"/>
        <w:rPr>
          <w:szCs w:val="20"/>
        </w:rPr>
      </w:pPr>
      <w:r w:rsidRPr="00EA75FD">
        <w:rPr>
          <w:szCs w:val="20"/>
        </w:rPr>
        <w:t>Mixed methods</w:t>
      </w:r>
      <w:r w:rsidR="00FB4FDC">
        <w:rPr>
          <w:szCs w:val="20"/>
        </w:rPr>
        <w:t xml:space="preserve">, comprising qualitative and quantitative techniques, were used </w:t>
      </w:r>
      <w:r w:rsidR="004F2050">
        <w:rPr>
          <w:szCs w:val="20"/>
        </w:rPr>
        <w:t>during</w:t>
      </w:r>
      <w:r w:rsidR="00FB4FDC">
        <w:rPr>
          <w:szCs w:val="20"/>
        </w:rPr>
        <w:t xml:space="preserve"> the evaluation to </w:t>
      </w:r>
      <w:r w:rsidR="004F2050" w:rsidRPr="00EA75FD">
        <w:rPr>
          <w:szCs w:val="20"/>
        </w:rPr>
        <w:t xml:space="preserve">generate the type of data and results that </w:t>
      </w:r>
      <w:r w:rsidR="004F2050">
        <w:rPr>
          <w:szCs w:val="20"/>
        </w:rPr>
        <w:t>we</w:t>
      </w:r>
      <w:r w:rsidR="004F2050" w:rsidRPr="00EA75FD">
        <w:rPr>
          <w:szCs w:val="20"/>
        </w:rPr>
        <w:t>re required</w:t>
      </w:r>
      <w:r w:rsidR="004F2050">
        <w:rPr>
          <w:szCs w:val="20"/>
        </w:rPr>
        <w:t xml:space="preserve">. </w:t>
      </w:r>
      <w:r w:rsidR="0081792E">
        <w:rPr>
          <w:szCs w:val="20"/>
        </w:rPr>
        <w:t xml:space="preserve">The </w:t>
      </w:r>
      <w:r w:rsidR="003A0C3A">
        <w:rPr>
          <w:szCs w:val="20"/>
        </w:rPr>
        <w:t xml:space="preserve">use of a mixed-methods </w:t>
      </w:r>
      <w:r w:rsidR="0081792E">
        <w:rPr>
          <w:szCs w:val="20"/>
        </w:rPr>
        <w:t>approach was informed by the ToR, as well as the results framework of the project</w:t>
      </w:r>
      <w:r w:rsidR="001B0D0C">
        <w:rPr>
          <w:szCs w:val="20"/>
        </w:rPr>
        <w:t xml:space="preserve">, which indicated that </w:t>
      </w:r>
      <w:r w:rsidR="001B0D0C" w:rsidRPr="00EA75FD">
        <w:rPr>
          <w:szCs w:val="20"/>
        </w:rPr>
        <w:t xml:space="preserve">the evaluation </w:t>
      </w:r>
      <w:r w:rsidR="001B0D0C">
        <w:rPr>
          <w:szCs w:val="20"/>
        </w:rPr>
        <w:t xml:space="preserve">would have </w:t>
      </w:r>
      <w:r w:rsidR="001B0D0C" w:rsidRPr="00EA75FD">
        <w:rPr>
          <w:szCs w:val="20"/>
        </w:rPr>
        <w:t>generate</w:t>
      </w:r>
      <w:r w:rsidR="001B0D0C">
        <w:rPr>
          <w:szCs w:val="20"/>
        </w:rPr>
        <w:t>d</w:t>
      </w:r>
      <w:r w:rsidR="001B0D0C" w:rsidRPr="00EA75FD">
        <w:rPr>
          <w:szCs w:val="20"/>
        </w:rPr>
        <w:t xml:space="preserve"> qualitative and quantitative data</w:t>
      </w:r>
      <w:r w:rsidR="001B0D0C">
        <w:rPr>
          <w:szCs w:val="20"/>
        </w:rPr>
        <w:t>.</w:t>
      </w:r>
      <w:r w:rsidR="005077A9">
        <w:rPr>
          <w:szCs w:val="20"/>
        </w:rPr>
        <w:t xml:space="preserve"> As its main advantage, the mixed-methods approach </w:t>
      </w:r>
      <w:r w:rsidR="00010DC5">
        <w:rPr>
          <w:szCs w:val="20"/>
        </w:rPr>
        <w:t xml:space="preserve">supported data </w:t>
      </w:r>
      <w:r w:rsidR="00010DC5" w:rsidRPr="00EA75FD">
        <w:rPr>
          <w:szCs w:val="20"/>
        </w:rPr>
        <w:t>triangulation across multiple sources</w:t>
      </w:r>
      <w:r w:rsidR="0048278D">
        <w:rPr>
          <w:szCs w:val="20"/>
        </w:rPr>
        <w:t xml:space="preserve">. Data triangulation </w:t>
      </w:r>
      <w:r w:rsidR="0048278D" w:rsidRPr="00EA75FD">
        <w:rPr>
          <w:szCs w:val="20"/>
        </w:rPr>
        <w:t>increase</w:t>
      </w:r>
      <w:r w:rsidR="0048278D">
        <w:rPr>
          <w:szCs w:val="20"/>
        </w:rPr>
        <w:t>d</w:t>
      </w:r>
      <w:r w:rsidR="0048278D" w:rsidRPr="00EA75FD">
        <w:rPr>
          <w:szCs w:val="20"/>
        </w:rPr>
        <w:t xml:space="preserve"> the potential</w:t>
      </w:r>
      <w:r w:rsidR="0048278D">
        <w:rPr>
          <w:szCs w:val="20"/>
        </w:rPr>
        <w:t xml:space="preserve"> for acc</w:t>
      </w:r>
      <w:r w:rsidR="001D7269">
        <w:rPr>
          <w:szCs w:val="20"/>
        </w:rPr>
        <w:t xml:space="preserve">urate datasets to inform </w:t>
      </w:r>
      <w:r w:rsidR="001D7269" w:rsidRPr="00EA75FD">
        <w:rPr>
          <w:szCs w:val="20"/>
        </w:rPr>
        <w:t>reliable evaluation results</w:t>
      </w:r>
      <w:r w:rsidR="001D7269">
        <w:rPr>
          <w:szCs w:val="20"/>
        </w:rPr>
        <w:t>.</w:t>
      </w:r>
    </w:p>
    <w:p w14:paraId="673326C3" w14:textId="2D54D75A" w:rsidR="00682858" w:rsidRPr="006D482B" w:rsidRDefault="00682858" w:rsidP="006D482B">
      <w:pPr>
        <w:pStyle w:val="Heading3"/>
      </w:pPr>
      <w:r w:rsidRPr="006D482B">
        <w:t xml:space="preserve">Purposive sampling </w:t>
      </w:r>
    </w:p>
    <w:p w14:paraId="6673DF15" w14:textId="23107240" w:rsidR="00F620BE" w:rsidRDefault="008767DE" w:rsidP="009628F8">
      <w:pPr>
        <w:pStyle w:val="Reporttext"/>
        <w:spacing w:after="120" w:line="259" w:lineRule="auto"/>
        <w:rPr>
          <w:rFonts w:asciiTheme="minorHAnsi" w:hAnsiTheme="minorHAnsi"/>
          <w:sz w:val="20"/>
          <w:lang w:eastAsia="en-CA"/>
        </w:rPr>
      </w:pPr>
      <w:r>
        <w:rPr>
          <w:rFonts w:asciiTheme="minorHAnsi" w:hAnsiTheme="minorHAnsi"/>
          <w:sz w:val="20"/>
          <w:lang w:eastAsia="en-CA"/>
        </w:rPr>
        <w:t>P</w:t>
      </w:r>
      <w:r w:rsidR="00D47FFC">
        <w:rPr>
          <w:rFonts w:asciiTheme="minorHAnsi" w:hAnsiTheme="minorHAnsi"/>
          <w:sz w:val="20"/>
          <w:lang w:eastAsia="en-CA"/>
        </w:rPr>
        <w:t>urposive sampling</w:t>
      </w:r>
      <w:r w:rsidR="00D95A65">
        <w:rPr>
          <w:rFonts w:asciiTheme="minorHAnsi" w:hAnsiTheme="minorHAnsi"/>
          <w:sz w:val="20"/>
          <w:lang w:eastAsia="en-CA"/>
        </w:rPr>
        <w:t>, supported by a sequential approach,</w:t>
      </w:r>
      <w:r w:rsidR="00B72119">
        <w:rPr>
          <w:rFonts w:asciiTheme="minorHAnsi" w:hAnsiTheme="minorHAnsi"/>
          <w:sz w:val="20"/>
          <w:lang w:eastAsia="en-CA"/>
        </w:rPr>
        <w:t xml:space="preserve"> </w:t>
      </w:r>
      <w:r w:rsidR="00D47FFC">
        <w:rPr>
          <w:rFonts w:asciiTheme="minorHAnsi" w:hAnsiTheme="minorHAnsi"/>
          <w:sz w:val="20"/>
          <w:lang w:eastAsia="en-CA"/>
        </w:rPr>
        <w:t xml:space="preserve">was used to </w:t>
      </w:r>
      <w:r w:rsidR="001363E3">
        <w:rPr>
          <w:rFonts w:asciiTheme="minorHAnsi" w:hAnsiTheme="minorHAnsi"/>
          <w:sz w:val="20"/>
          <w:lang w:eastAsia="en-CA"/>
        </w:rPr>
        <w:t xml:space="preserve">respond to the diversity that existed across project documents and </w:t>
      </w:r>
      <w:r w:rsidR="00573679">
        <w:rPr>
          <w:rFonts w:asciiTheme="minorHAnsi" w:hAnsiTheme="minorHAnsi"/>
          <w:sz w:val="20"/>
          <w:lang w:eastAsia="en-CA"/>
        </w:rPr>
        <w:t>stakeholder categories.</w:t>
      </w:r>
      <w:r w:rsidR="00B4779B">
        <w:rPr>
          <w:rFonts w:asciiTheme="minorHAnsi" w:hAnsiTheme="minorHAnsi"/>
          <w:sz w:val="20"/>
          <w:lang w:eastAsia="en-CA"/>
        </w:rPr>
        <w:t xml:space="preserve"> </w:t>
      </w:r>
      <w:r w:rsidR="00837D4E">
        <w:rPr>
          <w:rFonts w:asciiTheme="minorHAnsi" w:hAnsiTheme="minorHAnsi"/>
          <w:sz w:val="20"/>
          <w:lang w:eastAsia="en-CA"/>
        </w:rPr>
        <w:t xml:space="preserve">As the </w:t>
      </w:r>
      <w:r>
        <w:rPr>
          <w:rFonts w:asciiTheme="minorHAnsi" w:hAnsiTheme="minorHAnsi"/>
          <w:sz w:val="20"/>
          <w:lang w:eastAsia="en-CA"/>
        </w:rPr>
        <w:t>process</w:t>
      </w:r>
      <w:r w:rsidR="00837D4E">
        <w:rPr>
          <w:rFonts w:asciiTheme="minorHAnsi" w:hAnsiTheme="minorHAnsi"/>
          <w:sz w:val="20"/>
          <w:lang w:eastAsia="en-CA"/>
        </w:rPr>
        <w:t xml:space="preserve"> is </w:t>
      </w:r>
      <w:r w:rsidR="00837D4E" w:rsidRPr="00EA75FD">
        <w:rPr>
          <w:rFonts w:asciiTheme="minorHAnsi" w:hAnsiTheme="minorHAnsi"/>
          <w:sz w:val="20"/>
          <w:lang w:eastAsia="en-CA"/>
        </w:rPr>
        <w:t>structured around the main evaluation criteria and questions</w:t>
      </w:r>
      <w:r w:rsidR="00837D4E">
        <w:rPr>
          <w:rFonts w:asciiTheme="minorHAnsi" w:hAnsiTheme="minorHAnsi"/>
          <w:sz w:val="20"/>
          <w:lang w:eastAsia="en-CA"/>
        </w:rPr>
        <w:t xml:space="preserve">, it was </w:t>
      </w:r>
      <w:r w:rsidR="00B4779B">
        <w:rPr>
          <w:rFonts w:asciiTheme="minorHAnsi" w:hAnsiTheme="minorHAnsi"/>
          <w:sz w:val="20"/>
          <w:lang w:eastAsia="en-CA"/>
        </w:rPr>
        <w:t>also used to mitigate a generic limitation of all ev</w:t>
      </w:r>
      <w:r w:rsidR="00B23ADA">
        <w:rPr>
          <w:rFonts w:asciiTheme="minorHAnsi" w:hAnsiTheme="minorHAnsi"/>
          <w:sz w:val="20"/>
          <w:lang w:eastAsia="en-CA"/>
        </w:rPr>
        <w:t xml:space="preserve">aluations, </w:t>
      </w:r>
      <w:r w:rsidR="000F7CC0">
        <w:rPr>
          <w:rFonts w:asciiTheme="minorHAnsi" w:hAnsiTheme="minorHAnsi"/>
          <w:sz w:val="20"/>
          <w:lang w:eastAsia="en-CA"/>
        </w:rPr>
        <w:t xml:space="preserve">insufficient </w:t>
      </w:r>
      <w:r w:rsidR="00B23ADA">
        <w:rPr>
          <w:rFonts w:asciiTheme="minorHAnsi" w:hAnsiTheme="minorHAnsi"/>
          <w:sz w:val="20"/>
          <w:lang w:eastAsia="en-CA"/>
        </w:rPr>
        <w:t>resource</w:t>
      </w:r>
      <w:r w:rsidR="000F7CC0">
        <w:rPr>
          <w:rFonts w:asciiTheme="minorHAnsi" w:hAnsiTheme="minorHAnsi"/>
          <w:sz w:val="20"/>
          <w:lang w:eastAsia="en-CA"/>
        </w:rPr>
        <w:t>s</w:t>
      </w:r>
      <w:r w:rsidR="00B23ADA">
        <w:rPr>
          <w:rFonts w:asciiTheme="minorHAnsi" w:hAnsiTheme="minorHAnsi"/>
          <w:sz w:val="20"/>
          <w:lang w:eastAsia="en-CA"/>
        </w:rPr>
        <w:t xml:space="preserve"> to engage all individual sources of data.</w:t>
      </w:r>
      <w:r w:rsidR="003F55FE">
        <w:rPr>
          <w:rFonts w:asciiTheme="minorHAnsi" w:hAnsiTheme="minorHAnsi"/>
          <w:sz w:val="20"/>
          <w:lang w:eastAsia="en-CA"/>
        </w:rPr>
        <w:t xml:space="preserve"> </w:t>
      </w:r>
      <w:r w:rsidR="0008225B">
        <w:rPr>
          <w:rFonts w:asciiTheme="minorHAnsi" w:hAnsiTheme="minorHAnsi"/>
          <w:sz w:val="20"/>
          <w:lang w:eastAsia="en-CA"/>
        </w:rPr>
        <w:t>Purposive sampling a</w:t>
      </w:r>
      <w:r w:rsidR="00B00B2C">
        <w:rPr>
          <w:rFonts w:asciiTheme="minorHAnsi" w:hAnsiTheme="minorHAnsi"/>
          <w:sz w:val="20"/>
          <w:lang w:eastAsia="en-CA"/>
        </w:rPr>
        <w:t xml:space="preserve">llowed for the identification and engagement of the key informants who were </w:t>
      </w:r>
      <w:r w:rsidR="00270C3F">
        <w:rPr>
          <w:rFonts w:asciiTheme="minorHAnsi" w:hAnsiTheme="minorHAnsi"/>
          <w:sz w:val="20"/>
          <w:lang w:eastAsia="en-CA"/>
        </w:rPr>
        <w:t xml:space="preserve">most suitable for </w:t>
      </w:r>
      <w:r w:rsidR="00270C3F" w:rsidRPr="00EA75FD">
        <w:rPr>
          <w:rFonts w:asciiTheme="minorHAnsi" w:hAnsiTheme="minorHAnsi"/>
          <w:sz w:val="20"/>
          <w:lang w:eastAsia="en-CA"/>
        </w:rPr>
        <w:t>provid</w:t>
      </w:r>
      <w:r w:rsidR="00270C3F">
        <w:rPr>
          <w:rFonts w:asciiTheme="minorHAnsi" w:hAnsiTheme="minorHAnsi"/>
          <w:sz w:val="20"/>
          <w:lang w:eastAsia="en-CA"/>
        </w:rPr>
        <w:t>ing</w:t>
      </w:r>
      <w:r w:rsidR="00270C3F" w:rsidRPr="00EA75FD">
        <w:rPr>
          <w:rFonts w:asciiTheme="minorHAnsi" w:hAnsiTheme="minorHAnsi"/>
          <w:sz w:val="20"/>
          <w:lang w:eastAsia="en-CA"/>
        </w:rPr>
        <w:t xml:space="preserve"> detailed responses to the evaluation questions.</w:t>
      </w:r>
      <w:r w:rsidR="00270C3F">
        <w:rPr>
          <w:rFonts w:asciiTheme="minorHAnsi" w:hAnsiTheme="minorHAnsi"/>
          <w:sz w:val="20"/>
          <w:lang w:eastAsia="en-CA"/>
        </w:rPr>
        <w:t xml:space="preserve"> The incorporation of </w:t>
      </w:r>
      <w:r w:rsidR="00270C3F" w:rsidRPr="00EA75FD">
        <w:rPr>
          <w:rFonts w:asciiTheme="minorHAnsi" w:hAnsiTheme="minorHAnsi"/>
          <w:sz w:val="20"/>
          <w:lang w:eastAsia="en-CA"/>
        </w:rPr>
        <w:t>a sequential approach</w:t>
      </w:r>
      <w:r w:rsidR="00270C3F">
        <w:rPr>
          <w:rFonts w:asciiTheme="minorHAnsi" w:hAnsiTheme="minorHAnsi"/>
          <w:sz w:val="20"/>
          <w:lang w:eastAsia="en-CA"/>
        </w:rPr>
        <w:t xml:space="preserve"> </w:t>
      </w:r>
      <w:r w:rsidR="00956AA8">
        <w:rPr>
          <w:rFonts w:asciiTheme="minorHAnsi" w:hAnsiTheme="minorHAnsi"/>
          <w:sz w:val="20"/>
          <w:lang w:eastAsia="en-CA"/>
        </w:rPr>
        <w:t xml:space="preserve">ensured that </w:t>
      </w:r>
      <w:r w:rsidR="00956AA8" w:rsidRPr="00EA75FD">
        <w:rPr>
          <w:rFonts w:asciiTheme="minorHAnsi" w:hAnsiTheme="minorHAnsi"/>
          <w:sz w:val="20"/>
          <w:lang w:eastAsia="en-CA"/>
        </w:rPr>
        <w:t>additional data generation</w:t>
      </w:r>
      <w:r w:rsidR="00956AA8">
        <w:rPr>
          <w:rFonts w:asciiTheme="minorHAnsi" w:hAnsiTheme="minorHAnsi"/>
          <w:sz w:val="20"/>
          <w:lang w:eastAsia="en-CA"/>
        </w:rPr>
        <w:t xml:space="preserve"> was conducted throughout the evaluation, </w:t>
      </w:r>
      <w:r w:rsidR="00E16A1B">
        <w:rPr>
          <w:rFonts w:asciiTheme="minorHAnsi" w:hAnsiTheme="minorHAnsi"/>
          <w:sz w:val="20"/>
          <w:lang w:eastAsia="en-CA"/>
        </w:rPr>
        <w:t>as</w:t>
      </w:r>
      <w:r w:rsidR="00956AA8">
        <w:rPr>
          <w:rFonts w:asciiTheme="minorHAnsi" w:hAnsiTheme="minorHAnsi"/>
          <w:sz w:val="20"/>
          <w:lang w:eastAsia="en-CA"/>
        </w:rPr>
        <w:t xml:space="preserve"> </w:t>
      </w:r>
      <w:r w:rsidR="00E16A1B">
        <w:rPr>
          <w:rFonts w:asciiTheme="minorHAnsi" w:hAnsiTheme="minorHAnsi"/>
          <w:sz w:val="20"/>
          <w:lang w:eastAsia="en-CA"/>
        </w:rPr>
        <w:t xml:space="preserve">required, </w:t>
      </w:r>
      <w:r w:rsidR="00E16A1B" w:rsidRPr="00EA75FD">
        <w:rPr>
          <w:rFonts w:asciiTheme="minorHAnsi" w:hAnsiTheme="minorHAnsi"/>
          <w:sz w:val="20"/>
          <w:lang w:eastAsia="en-CA"/>
        </w:rPr>
        <w:t xml:space="preserve">to support data </w:t>
      </w:r>
      <w:r w:rsidR="00E16A1B">
        <w:rPr>
          <w:rFonts w:asciiTheme="minorHAnsi" w:hAnsiTheme="minorHAnsi"/>
          <w:sz w:val="20"/>
          <w:lang w:eastAsia="en-CA"/>
        </w:rPr>
        <w:t>completeness.</w:t>
      </w:r>
    </w:p>
    <w:p w14:paraId="2DD0741F" w14:textId="601E05CE" w:rsidR="00A25BDC" w:rsidRDefault="009628F8" w:rsidP="009628F8">
      <w:pPr>
        <w:pStyle w:val="Reporttext"/>
        <w:spacing w:after="120" w:line="259" w:lineRule="auto"/>
        <w:rPr>
          <w:rFonts w:asciiTheme="minorHAnsi" w:hAnsiTheme="minorHAnsi"/>
          <w:sz w:val="20"/>
          <w:lang w:eastAsia="en-CA"/>
        </w:rPr>
      </w:pPr>
      <w:r w:rsidRPr="00C76003">
        <w:rPr>
          <w:rFonts w:asciiTheme="minorHAnsi" w:hAnsiTheme="minorHAnsi"/>
          <w:sz w:val="20"/>
          <w:lang w:eastAsia="en-CA"/>
        </w:rPr>
        <w:t xml:space="preserve">The identification of </w:t>
      </w:r>
      <w:r w:rsidR="0020078B">
        <w:rPr>
          <w:rFonts w:asciiTheme="minorHAnsi" w:hAnsiTheme="minorHAnsi"/>
          <w:sz w:val="20"/>
          <w:lang w:eastAsia="en-CA"/>
        </w:rPr>
        <w:t xml:space="preserve">relevant </w:t>
      </w:r>
      <w:r w:rsidR="00CD6ABD">
        <w:rPr>
          <w:rFonts w:asciiTheme="minorHAnsi" w:hAnsiTheme="minorHAnsi"/>
          <w:sz w:val="20"/>
          <w:lang w:eastAsia="en-CA"/>
        </w:rPr>
        <w:t>project document</w:t>
      </w:r>
      <w:r w:rsidR="00AD67BC">
        <w:rPr>
          <w:rFonts w:asciiTheme="minorHAnsi" w:hAnsiTheme="minorHAnsi"/>
          <w:sz w:val="20"/>
          <w:lang w:eastAsia="en-CA"/>
        </w:rPr>
        <w:t>s</w:t>
      </w:r>
      <w:r w:rsidR="004B088F">
        <w:rPr>
          <w:rFonts w:asciiTheme="minorHAnsi" w:hAnsiTheme="minorHAnsi"/>
          <w:sz w:val="20"/>
          <w:lang w:eastAsia="en-CA"/>
        </w:rPr>
        <w:t xml:space="preserve"> and stakeholder</w:t>
      </w:r>
      <w:r w:rsidR="0070639A">
        <w:rPr>
          <w:rFonts w:asciiTheme="minorHAnsi" w:hAnsiTheme="minorHAnsi"/>
          <w:sz w:val="20"/>
          <w:lang w:eastAsia="en-CA"/>
        </w:rPr>
        <w:t>s</w:t>
      </w:r>
      <w:r w:rsidR="0020078B">
        <w:rPr>
          <w:rFonts w:asciiTheme="minorHAnsi" w:hAnsiTheme="minorHAnsi"/>
          <w:sz w:val="20"/>
          <w:lang w:eastAsia="en-CA"/>
        </w:rPr>
        <w:t xml:space="preserve"> </w:t>
      </w:r>
      <w:r w:rsidRPr="00C76003">
        <w:rPr>
          <w:rFonts w:asciiTheme="minorHAnsi" w:hAnsiTheme="minorHAnsi"/>
          <w:sz w:val="20"/>
          <w:lang w:eastAsia="en-CA"/>
        </w:rPr>
        <w:t xml:space="preserve">was informed by </w:t>
      </w:r>
      <w:r w:rsidR="0070639A">
        <w:rPr>
          <w:rFonts w:asciiTheme="minorHAnsi" w:hAnsiTheme="minorHAnsi"/>
          <w:sz w:val="20"/>
          <w:lang w:eastAsia="en-CA"/>
        </w:rPr>
        <w:t>a</w:t>
      </w:r>
      <w:r w:rsidRPr="00C76003">
        <w:rPr>
          <w:rFonts w:asciiTheme="minorHAnsi" w:hAnsiTheme="minorHAnsi"/>
          <w:sz w:val="20"/>
          <w:lang w:eastAsia="en-CA"/>
        </w:rPr>
        <w:t xml:space="preserve"> preliminary </w:t>
      </w:r>
      <w:r w:rsidR="0070639A">
        <w:rPr>
          <w:rFonts w:asciiTheme="minorHAnsi" w:hAnsiTheme="minorHAnsi"/>
          <w:sz w:val="20"/>
          <w:lang w:eastAsia="en-CA"/>
        </w:rPr>
        <w:t xml:space="preserve">desk </w:t>
      </w:r>
      <w:r w:rsidRPr="00C76003">
        <w:rPr>
          <w:rFonts w:asciiTheme="minorHAnsi" w:hAnsiTheme="minorHAnsi"/>
          <w:sz w:val="20"/>
          <w:lang w:eastAsia="en-CA"/>
        </w:rPr>
        <w:t xml:space="preserve">review and initial stakeholder consultations </w:t>
      </w:r>
      <w:r w:rsidR="0070639A">
        <w:rPr>
          <w:rFonts w:asciiTheme="minorHAnsi" w:hAnsiTheme="minorHAnsi"/>
          <w:sz w:val="20"/>
          <w:lang w:eastAsia="en-CA"/>
        </w:rPr>
        <w:t>during the i</w:t>
      </w:r>
      <w:r w:rsidRPr="00C76003">
        <w:rPr>
          <w:rFonts w:asciiTheme="minorHAnsi" w:hAnsiTheme="minorHAnsi"/>
          <w:sz w:val="20"/>
          <w:lang w:eastAsia="en-CA"/>
        </w:rPr>
        <w:t>nception phase</w:t>
      </w:r>
      <w:r w:rsidR="0070639A">
        <w:rPr>
          <w:rFonts w:asciiTheme="minorHAnsi" w:hAnsiTheme="minorHAnsi"/>
          <w:sz w:val="20"/>
          <w:lang w:eastAsia="en-CA"/>
        </w:rPr>
        <w:t xml:space="preserve"> of the evaluation</w:t>
      </w:r>
      <w:r w:rsidRPr="00C76003">
        <w:rPr>
          <w:rFonts w:asciiTheme="minorHAnsi" w:hAnsiTheme="minorHAnsi"/>
          <w:sz w:val="20"/>
          <w:lang w:eastAsia="en-CA"/>
        </w:rPr>
        <w:t xml:space="preserve">. All documents </w:t>
      </w:r>
      <w:r w:rsidR="00EB7C96">
        <w:rPr>
          <w:rFonts w:asciiTheme="minorHAnsi" w:hAnsiTheme="minorHAnsi"/>
          <w:sz w:val="20"/>
          <w:lang w:eastAsia="en-CA"/>
        </w:rPr>
        <w:t xml:space="preserve">(and websites) </w:t>
      </w:r>
      <w:r w:rsidRPr="00C76003">
        <w:rPr>
          <w:rFonts w:asciiTheme="minorHAnsi" w:hAnsiTheme="minorHAnsi"/>
          <w:sz w:val="20"/>
          <w:lang w:eastAsia="en-CA"/>
        </w:rPr>
        <w:t xml:space="preserve">that were of relevance to the project and were </w:t>
      </w:r>
      <w:r w:rsidR="0020078B">
        <w:rPr>
          <w:rFonts w:asciiTheme="minorHAnsi" w:hAnsiTheme="minorHAnsi"/>
          <w:sz w:val="20"/>
          <w:lang w:eastAsia="en-CA"/>
        </w:rPr>
        <w:t xml:space="preserve">accessible to </w:t>
      </w:r>
      <w:r w:rsidRPr="00C76003">
        <w:rPr>
          <w:rFonts w:asciiTheme="minorHAnsi" w:hAnsiTheme="minorHAnsi"/>
          <w:sz w:val="20"/>
          <w:lang w:eastAsia="en-CA"/>
        </w:rPr>
        <w:t>the evaluati</w:t>
      </w:r>
      <w:r w:rsidR="0020078B">
        <w:rPr>
          <w:rFonts w:asciiTheme="minorHAnsi" w:hAnsiTheme="minorHAnsi"/>
          <w:sz w:val="20"/>
          <w:lang w:eastAsia="en-CA"/>
        </w:rPr>
        <w:t>on</w:t>
      </w:r>
      <w:r w:rsidR="00EB7C96">
        <w:rPr>
          <w:rFonts w:asciiTheme="minorHAnsi" w:hAnsiTheme="minorHAnsi"/>
          <w:sz w:val="20"/>
          <w:lang w:eastAsia="en-CA"/>
        </w:rPr>
        <w:t xml:space="preserve"> </w:t>
      </w:r>
      <w:r w:rsidRPr="00C76003">
        <w:rPr>
          <w:rFonts w:asciiTheme="minorHAnsi" w:hAnsiTheme="minorHAnsi"/>
          <w:sz w:val="20"/>
          <w:lang w:eastAsia="en-CA"/>
        </w:rPr>
        <w:t xml:space="preserve">were selected for in-depth review. </w:t>
      </w:r>
      <w:r w:rsidR="00A25BDC" w:rsidRPr="00C76003">
        <w:rPr>
          <w:rFonts w:asciiTheme="minorHAnsi" w:hAnsiTheme="minorHAnsi"/>
          <w:sz w:val="20"/>
          <w:lang w:eastAsia="en-CA"/>
        </w:rPr>
        <w:t xml:space="preserve">Project stakeholders who were most appropriate for providing detailed responses to the </w:t>
      </w:r>
      <w:r w:rsidR="00A25BDC" w:rsidRPr="00C76003">
        <w:rPr>
          <w:rFonts w:asciiTheme="minorHAnsi" w:hAnsiTheme="minorHAnsi"/>
          <w:sz w:val="20"/>
          <w:lang w:eastAsia="en-CA"/>
        </w:rPr>
        <w:t xml:space="preserve">evaluation questions, given their level of project engagement, were </w:t>
      </w:r>
      <w:r w:rsidR="00A25BDC">
        <w:rPr>
          <w:rFonts w:asciiTheme="minorHAnsi" w:hAnsiTheme="minorHAnsi"/>
          <w:sz w:val="20"/>
          <w:lang w:eastAsia="en-CA"/>
        </w:rPr>
        <w:t xml:space="preserve">also </w:t>
      </w:r>
      <w:r w:rsidR="00A25BDC" w:rsidRPr="00C76003">
        <w:rPr>
          <w:rFonts w:asciiTheme="minorHAnsi" w:hAnsiTheme="minorHAnsi"/>
          <w:sz w:val="20"/>
          <w:lang w:eastAsia="en-CA"/>
        </w:rPr>
        <w:t>selected for key informant consultations.</w:t>
      </w:r>
      <w:r w:rsidR="00A25BDC">
        <w:rPr>
          <w:rFonts w:asciiTheme="minorHAnsi" w:hAnsiTheme="minorHAnsi"/>
          <w:sz w:val="20"/>
          <w:lang w:eastAsia="en-CA"/>
        </w:rPr>
        <w:t xml:space="preserve"> Access to relevant project documents and </w:t>
      </w:r>
      <w:r w:rsidR="00660F29">
        <w:rPr>
          <w:rFonts w:asciiTheme="minorHAnsi" w:hAnsiTheme="minorHAnsi"/>
          <w:sz w:val="20"/>
          <w:lang w:eastAsia="en-CA"/>
        </w:rPr>
        <w:t>stakeholders was facilitated by the executing entities</w:t>
      </w:r>
      <w:r w:rsidR="00B842C9">
        <w:rPr>
          <w:rFonts w:asciiTheme="minorHAnsi" w:hAnsiTheme="minorHAnsi"/>
          <w:sz w:val="20"/>
          <w:lang w:eastAsia="en-CA"/>
        </w:rPr>
        <w:t xml:space="preserve"> through the provision of documents and the contact details of project stakeholders</w:t>
      </w:r>
      <w:r w:rsidR="00660F29">
        <w:rPr>
          <w:rFonts w:asciiTheme="minorHAnsi" w:hAnsiTheme="minorHAnsi"/>
          <w:sz w:val="20"/>
          <w:lang w:eastAsia="en-CA"/>
        </w:rPr>
        <w:t xml:space="preserve">. </w:t>
      </w:r>
    </w:p>
    <w:p w14:paraId="26660A0B" w14:textId="22C4144D" w:rsidR="009628F8" w:rsidRPr="005B481D" w:rsidRDefault="00866CDF" w:rsidP="009628F8">
      <w:pPr>
        <w:pStyle w:val="Reporttext"/>
        <w:spacing w:after="120" w:line="259" w:lineRule="auto"/>
        <w:rPr>
          <w:rFonts w:asciiTheme="minorHAnsi" w:hAnsiTheme="minorHAnsi"/>
          <w:sz w:val="20"/>
          <w:lang w:eastAsia="en-CA"/>
        </w:rPr>
      </w:pPr>
      <w:r>
        <w:rPr>
          <w:rFonts w:asciiTheme="minorHAnsi" w:hAnsiTheme="minorHAnsi"/>
          <w:sz w:val="20"/>
          <w:lang w:eastAsia="en-CA"/>
        </w:rPr>
        <w:t>P</w:t>
      </w:r>
      <w:r w:rsidR="009628F8" w:rsidRPr="00EA75FD">
        <w:rPr>
          <w:rFonts w:asciiTheme="minorHAnsi" w:hAnsiTheme="minorHAnsi"/>
          <w:sz w:val="20"/>
          <w:lang w:eastAsia="en-CA"/>
        </w:rPr>
        <w:t>urposive sampling w</w:t>
      </w:r>
      <w:r w:rsidR="009628F8">
        <w:rPr>
          <w:rFonts w:asciiTheme="minorHAnsi" w:hAnsiTheme="minorHAnsi"/>
          <w:sz w:val="20"/>
          <w:lang w:eastAsia="en-CA"/>
        </w:rPr>
        <w:t>as</w:t>
      </w:r>
      <w:r w:rsidR="009628F8" w:rsidRPr="00EA75FD">
        <w:rPr>
          <w:rFonts w:asciiTheme="minorHAnsi" w:hAnsiTheme="minorHAnsi"/>
          <w:sz w:val="20"/>
          <w:lang w:eastAsia="en-CA"/>
        </w:rPr>
        <w:t xml:space="preserve"> also used to select one country from each project region to inform five case studies.</w:t>
      </w:r>
      <w:r w:rsidR="009628F8" w:rsidRPr="00EA75FD">
        <w:rPr>
          <w:rStyle w:val="FootnoteReference"/>
          <w:rFonts w:asciiTheme="minorHAnsi" w:hAnsiTheme="minorHAnsi"/>
          <w:sz w:val="20"/>
          <w:lang w:eastAsia="en-CA"/>
        </w:rPr>
        <w:footnoteReference w:id="54"/>
      </w:r>
      <w:r w:rsidR="009628F8" w:rsidRPr="00EA75FD">
        <w:rPr>
          <w:rFonts w:asciiTheme="minorHAnsi" w:hAnsiTheme="minorHAnsi"/>
          <w:sz w:val="20"/>
          <w:lang w:eastAsia="en-CA"/>
        </w:rPr>
        <w:t xml:space="preserve"> The </w:t>
      </w:r>
      <w:r w:rsidR="00893C88">
        <w:rPr>
          <w:rFonts w:asciiTheme="minorHAnsi" w:hAnsiTheme="minorHAnsi"/>
          <w:sz w:val="20"/>
          <w:lang w:eastAsia="en-CA"/>
        </w:rPr>
        <w:t xml:space="preserve">inception phase </w:t>
      </w:r>
      <w:r w:rsidR="009628F8" w:rsidRPr="00EA75FD">
        <w:rPr>
          <w:rFonts w:asciiTheme="minorHAnsi" w:hAnsiTheme="minorHAnsi"/>
          <w:sz w:val="20"/>
          <w:lang w:eastAsia="en-CA"/>
        </w:rPr>
        <w:t>d</w:t>
      </w:r>
      <w:r w:rsidR="00893C88">
        <w:rPr>
          <w:rFonts w:asciiTheme="minorHAnsi" w:hAnsiTheme="minorHAnsi"/>
          <w:sz w:val="20"/>
          <w:lang w:eastAsia="en-CA"/>
        </w:rPr>
        <w:t xml:space="preserve">esk </w:t>
      </w:r>
      <w:r w:rsidR="009628F8" w:rsidRPr="00EA75FD">
        <w:rPr>
          <w:rFonts w:asciiTheme="minorHAnsi" w:hAnsiTheme="minorHAnsi"/>
          <w:sz w:val="20"/>
          <w:lang w:eastAsia="en-CA"/>
        </w:rPr>
        <w:t xml:space="preserve">review and stakeholder consultations </w:t>
      </w:r>
      <w:r w:rsidR="009628F8">
        <w:rPr>
          <w:rFonts w:asciiTheme="minorHAnsi" w:hAnsiTheme="minorHAnsi"/>
          <w:sz w:val="20"/>
          <w:lang w:eastAsia="en-CA"/>
        </w:rPr>
        <w:t>indicated</w:t>
      </w:r>
      <w:r w:rsidR="009628F8" w:rsidRPr="00EA75FD">
        <w:rPr>
          <w:rFonts w:asciiTheme="minorHAnsi" w:hAnsiTheme="minorHAnsi"/>
          <w:sz w:val="20"/>
          <w:lang w:eastAsia="en-CA"/>
        </w:rPr>
        <w:t xml:space="preserve"> that most </w:t>
      </w:r>
      <w:r w:rsidR="009628F8">
        <w:rPr>
          <w:rFonts w:asciiTheme="minorHAnsi" w:hAnsiTheme="minorHAnsi"/>
          <w:sz w:val="20"/>
          <w:lang w:eastAsia="en-CA"/>
        </w:rPr>
        <w:t xml:space="preserve">of the target </w:t>
      </w:r>
      <w:r w:rsidR="009628F8" w:rsidRPr="00EA75FD">
        <w:rPr>
          <w:rFonts w:asciiTheme="minorHAnsi" w:hAnsiTheme="minorHAnsi"/>
          <w:sz w:val="20"/>
          <w:lang w:eastAsia="en-CA"/>
        </w:rPr>
        <w:t xml:space="preserve">countries </w:t>
      </w:r>
      <w:r w:rsidR="009628F8">
        <w:rPr>
          <w:rFonts w:asciiTheme="minorHAnsi" w:hAnsiTheme="minorHAnsi"/>
          <w:sz w:val="20"/>
          <w:lang w:eastAsia="en-CA"/>
        </w:rPr>
        <w:t xml:space="preserve">had </w:t>
      </w:r>
      <w:r w:rsidR="009628F8" w:rsidRPr="00EA75FD">
        <w:rPr>
          <w:rFonts w:asciiTheme="minorHAnsi" w:hAnsiTheme="minorHAnsi"/>
          <w:sz w:val="20"/>
          <w:lang w:eastAsia="en-CA"/>
        </w:rPr>
        <w:t xml:space="preserve">made notable progress towards </w:t>
      </w:r>
      <w:r w:rsidR="009F0302">
        <w:rPr>
          <w:rFonts w:asciiTheme="minorHAnsi" w:hAnsiTheme="minorHAnsi"/>
          <w:sz w:val="20"/>
          <w:lang w:eastAsia="en-CA"/>
        </w:rPr>
        <w:t xml:space="preserve">the achievement of expected </w:t>
      </w:r>
      <w:r w:rsidR="009628F8" w:rsidRPr="00EA75FD">
        <w:rPr>
          <w:rFonts w:asciiTheme="minorHAnsi" w:hAnsiTheme="minorHAnsi"/>
          <w:sz w:val="20"/>
          <w:lang w:eastAsia="en-CA"/>
        </w:rPr>
        <w:t xml:space="preserve">results. There </w:t>
      </w:r>
      <w:r w:rsidR="009628F8">
        <w:rPr>
          <w:rFonts w:asciiTheme="minorHAnsi" w:hAnsiTheme="minorHAnsi"/>
          <w:sz w:val="20"/>
          <w:lang w:eastAsia="en-CA"/>
        </w:rPr>
        <w:t>was</w:t>
      </w:r>
      <w:r w:rsidR="000D3F2A">
        <w:rPr>
          <w:rFonts w:asciiTheme="minorHAnsi" w:hAnsiTheme="minorHAnsi"/>
          <w:sz w:val="20"/>
          <w:lang w:eastAsia="en-CA"/>
        </w:rPr>
        <w:t xml:space="preserve"> </w:t>
      </w:r>
      <w:r w:rsidR="009628F8" w:rsidRPr="00EA75FD">
        <w:rPr>
          <w:rFonts w:asciiTheme="minorHAnsi" w:hAnsiTheme="minorHAnsi"/>
          <w:sz w:val="20"/>
          <w:lang w:eastAsia="en-CA"/>
        </w:rPr>
        <w:t>some variation</w:t>
      </w:r>
      <w:r w:rsidR="000D3F2A" w:rsidRPr="00EA75FD">
        <w:rPr>
          <w:rFonts w:asciiTheme="minorHAnsi" w:hAnsiTheme="minorHAnsi"/>
          <w:sz w:val="20"/>
          <w:lang w:eastAsia="en-CA"/>
        </w:rPr>
        <w:t xml:space="preserve">, however, </w:t>
      </w:r>
      <w:r w:rsidR="009628F8" w:rsidRPr="00EA75FD">
        <w:rPr>
          <w:rFonts w:asciiTheme="minorHAnsi" w:hAnsiTheme="minorHAnsi"/>
          <w:sz w:val="20"/>
          <w:lang w:eastAsia="en-CA"/>
        </w:rPr>
        <w:t>in the availability of reference documents on results achievement</w:t>
      </w:r>
      <w:r w:rsidR="00342CAD">
        <w:rPr>
          <w:rFonts w:asciiTheme="minorHAnsi" w:hAnsiTheme="minorHAnsi"/>
          <w:sz w:val="20"/>
          <w:lang w:eastAsia="en-CA"/>
        </w:rPr>
        <w:t xml:space="preserve"> for each </w:t>
      </w:r>
      <w:r w:rsidR="009628F8">
        <w:rPr>
          <w:rFonts w:asciiTheme="minorHAnsi" w:hAnsiTheme="minorHAnsi"/>
          <w:sz w:val="20"/>
          <w:lang w:eastAsia="en-CA"/>
        </w:rPr>
        <w:t>target</w:t>
      </w:r>
      <w:r w:rsidR="009628F8" w:rsidRPr="00EA75FD">
        <w:rPr>
          <w:rFonts w:asciiTheme="minorHAnsi" w:hAnsiTheme="minorHAnsi"/>
          <w:sz w:val="20"/>
          <w:lang w:eastAsia="en-CA"/>
        </w:rPr>
        <w:t xml:space="preserve"> countr</w:t>
      </w:r>
      <w:r w:rsidR="00342CAD">
        <w:rPr>
          <w:rFonts w:asciiTheme="minorHAnsi" w:hAnsiTheme="minorHAnsi"/>
          <w:sz w:val="20"/>
          <w:lang w:eastAsia="en-CA"/>
        </w:rPr>
        <w:t>y</w:t>
      </w:r>
      <w:r w:rsidR="009628F8" w:rsidRPr="00EA75FD">
        <w:rPr>
          <w:rFonts w:asciiTheme="minorHAnsi" w:hAnsiTheme="minorHAnsi"/>
          <w:sz w:val="20"/>
          <w:lang w:eastAsia="en-CA"/>
        </w:rPr>
        <w:t xml:space="preserve">. </w:t>
      </w:r>
      <w:r w:rsidR="00342CAD">
        <w:rPr>
          <w:rFonts w:asciiTheme="minorHAnsi" w:hAnsiTheme="minorHAnsi"/>
          <w:sz w:val="20"/>
          <w:lang w:eastAsia="en-CA"/>
        </w:rPr>
        <w:t xml:space="preserve">As a result, the main criterion for selecting the </w:t>
      </w:r>
      <w:r w:rsidR="009628F8" w:rsidRPr="00EA75FD">
        <w:rPr>
          <w:rFonts w:asciiTheme="minorHAnsi" w:hAnsiTheme="minorHAnsi"/>
          <w:sz w:val="20"/>
          <w:lang w:eastAsia="en-CA"/>
        </w:rPr>
        <w:t>case study countries</w:t>
      </w:r>
      <w:r w:rsidR="00325239">
        <w:rPr>
          <w:rFonts w:asciiTheme="minorHAnsi" w:hAnsiTheme="minorHAnsi"/>
          <w:sz w:val="20"/>
          <w:lang w:eastAsia="en-CA"/>
        </w:rPr>
        <w:t xml:space="preserve"> </w:t>
      </w:r>
      <w:r w:rsidR="009628F8" w:rsidRPr="005B481D">
        <w:rPr>
          <w:rFonts w:asciiTheme="minorHAnsi" w:hAnsiTheme="minorHAnsi"/>
          <w:sz w:val="20"/>
          <w:lang w:eastAsia="en-CA"/>
        </w:rPr>
        <w:t xml:space="preserve">was the availability of detailed, comprehensive reporting on results achievement. </w:t>
      </w:r>
      <w:r w:rsidR="008C3C49">
        <w:rPr>
          <w:rFonts w:asciiTheme="minorHAnsi" w:hAnsiTheme="minorHAnsi"/>
          <w:sz w:val="20"/>
          <w:lang w:eastAsia="en-CA"/>
        </w:rPr>
        <w:t>P</w:t>
      </w:r>
      <w:r w:rsidR="009628F8" w:rsidRPr="005B481D">
        <w:rPr>
          <w:rFonts w:asciiTheme="minorHAnsi" w:hAnsiTheme="minorHAnsi"/>
          <w:sz w:val="20"/>
          <w:lang w:eastAsia="en-CA"/>
        </w:rPr>
        <w:t xml:space="preserve">reliminary evidence of actions taken to facilitate </w:t>
      </w:r>
      <w:r w:rsidR="00A737C4">
        <w:rPr>
          <w:rFonts w:asciiTheme="minorHAnsi" w:hAnsiTheme="minorHAnsi"/>
          <w:sz w:val="20"/>
          <w:lang w:eastAsia="en-CA"/>
        </w:rPr>
        <w:t>the</w:t>
      </w:r>
      <w:r w:rsidR="009628F8" w:rsidRPr="005B481D">
        <w:rPr>
          <w:rFonts w:asciiTheme="minorHAnsi" w:hAnsiTheme="minorHAnsi"/>
          <w:sz w:val="20"/>
          <w:lang w:eastAsia="en-CA"/>
        </w:rPr>
        <w:t xml:space="preserve"> INFF </w:t>
      </w:r>
      <w:r w:rsidR="00A737C4">
        <w:rPr>
          <w:rFonts w:asciiTheme="minorHAnsi" w:hAnsiTheme="minorHAnsi"/>
          <w:sz w:val="20"/>
          <w:lang w:eastAsia="en-CA"/>
        </w:rPr>
        <w:t xml:space="preserve">methodology </w:t>
      </w:r>
      <w:r w:rsidR="009628F8" w:rsidRPr="005B481D">
        <w:rPr>
          <w:rFonts w:asciiTheme="minorHAnsi" w:hAnsiTheme="minorHAnsi"/>
          <w:sz w:val="20"/>
          <w:lang w:eastAsia="en-CA"/>
        </w:rPr>
        <w:t>at the country level</w:t>
      </w:r>
      <w:r w:rsidR="008C3C49">
        <w:rPr>
          <w:rFonts w:asciiTheme="minorHAnsi" w:hAnsiTheme="minorHAnsi"/>
          <w:sz w:val="20"/>
          <w:lang w:eastAsia="en-CA"/>
        </w:rPr>
        <w:t xml:space="preserve"> was used as a </w:t>
      </w:r>
      <w:r w:rsidR="008C3C49" w:rsidRPr="005B481D">
        <w:rPr>
          <w:rFonts w:asciiTheme="minorHAnsi" w:hAnsiTheme="minorHAnsi"/>
          <w:sz w:val="20"/>
          <w:lang w:eastAsia="en-CA"/>
        </w:rPr>
        <w:t>secondary criterion</w:t>
      </w:r>
      <w:r w:rsidR="008C3C49">
        <w:rPr>
          <w:rFonts w:asciiTheme="minorHAnsi" w:hAnsiTheme="minorHAnsi"/>
          <w:sz w:val="20"/>
          <w:lang w:eastAsia="en-CA"/>
        </w:rPr>
        <w:t xml:space="preserve"> for</w:t>
      </w:r>
      <w:r w:rsidR="008C3C49" w:rsidRPr="005B481D">
        <w:rPr>
          <w:rFonts w:asciiTheme="minorHAnsi" w:hAnsiTheme="minorHAnsi"/>
          <w:sz w:val="20"/>
          <w:lang w:eastAsia="en-CA"/>
        </w:rPr>
        <w:t xml:space="preserve"> country selection</w:t>
      </w:r>
      <w:r w:rsidR="009628F8" w:rsidRPr="005B481D">
        <w:rPr>
          <w:rFonts w:asciiTheme="minorHAnsi" w:hAnsiTheme="minorHAnsi"/>
          <w:sz w:val="20"/>
          <w:lang w:eastAsia="en-CA"/>
        </w:rPr>
        <w:t>.</w:t>
      </w:r>
      <w:r w:rsidR="00C17ABF">
        <w:rPr>
          <w:rFonts w:asciiTheme="minorHAnsi" w:hAnsiTheme="minorHAnsi"/>
          <w:sz w:val="20"/>
          <w:lang w:eastAsia="en-CA"/>
        </w:rPr>
        <w:t xml:space="preserve"> This latter criterion also </w:t>
      </w:r>
      <w:r w:rsidR="00707C15">
        <w:rPr>
          <w:rFonts w:asciiTheme="minorHAnsi" w:hAnsiTheme="minorHAnsi"/>
          <w:sz w:val="20"/>
          <w:lang w:eastAsia="en-CA"/>
        </w:rPr>
        <w:t>considered challenges to the process.</w:t>
      </w:r>
    </w:p>
    <w:p w14:paraId="339C060A" w14:textId="77777777" w:rsidR="009628F8" w:rsidRPr="00EA75FD" w:rsidRDefault="009628F8" w:rsidP="009628F8">
      <w:pPr>
        <w:pStyle w:val="Reporttext"/>
        <w:spacing w:after="120" w:line="259" w:lineRule="auto"/>
        <w:rPr>
          <w:rFonts w:asciiTheme="minorHAnsi" w:hAnsiTheme="minorHAnsi"/>
          <w:sz w:val="20"/>
          <w:lang w:eastAsia="en-CA"/>
        </w:rPr>
      </w:pPr>
      <w:r w:rsidRPr="00EA75FD">
        <w:rPr>
          <w:rFonts w:asciiTheme="minorHAnsi" w:hAnsiTheme="minorHAnsi"/>
          <w:sz w:val="20"/>
          <w:lang w:eastAsia="en-CA"/>
        </w:rPr>
        <w:t xml:space="preserve">Based on this approach, the case study countries, by region, </w:t>
      </w:r>
      <w:r>
        <w:rPr>
          <w:rFonts w:asciiTheme="minorHAnsi" w:hAnsiTheme="minorHAnsi"/>
          <w:sz w:val="20"/>
          <w:lang w:eastAsia="en-CA"/>
        </w:rPr>
        <w:t>are:</w:t>
      </w:r>
      <w:r w:rsidRPr="00EA75FD">
        <w:rPr>
          <w:rFonts w:asciiTheme="minorHAnsi" w:hAnsiTheme="minorHAnsi"/>
          <w:sz w:val="20"/>
          <w:lang w:eastAsia="en-CA"/>
        </w:rPr>
        <w:t xml:space="preserve"> </w:t>
      </w:r>
    </w:p>
    <w:p w14:paraId="03A07066" w14:textId="77777777"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Africa:</w:t>
      </w:r>
      <w:r w:rsidRPr="00EA75FD">
        <w:rPr>
          <w:rFonts w:asciiTheme="minorHAnsi" w:hAnsiTheme="minorHAnsi"/>
          <w:sz w:val="20"/>
          <w:lang w:eastAsia="en-CA"/>
        </w:rPr>
        <w:t xml:space="preserve"> Zambia;</w:t>
      </w:r>
    </w:p>
    <w:p w14:paraId="3D04A676" w14:textId="5001B67C"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Asia and the Pacific:</w:t>
      </w:r>
      <w:r w:rsidRPr="00EA75FD">
        <w:rPr>
          <w:rFonts w:asciiTheme="minorHAnsi" w:hAnsiTheme="minorHAnsi"/>
          <w:sz w:val="20"/>
          <w:lang w:eastAsia="en-CA"/>
        </w:rPr>
        <w:t xml:space="preserve"> Pakistan;</w:t>
      </w:r>
    </w:p>
    <w:p w14:paraId="7672D98D" w14:textId="77777777"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Europe:</w:t>
      </w:r>
      <w:r w:rsidRPr="00EA75FD">
        <w:rPr>
          <w:rFonts w:asciiTheme="minorHAnsi" w:hAnsiTheme="minorHAnsi"/>
          <w:sz w:val="20"/>
          <w:lang w:eastAsia="en-CA"/>
        </w:rPr>
        <w:t xml:space="preserve"> Kyrgyzstan;</w:t>
      </w:r>
    </w:p>
    <w:p w14:paraId="2F10EA83" w14:textId="77777777"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Latin America and the Caribbean:</w:t>
      </w:r>
      <w:r w:rsidRPr="00EA75FD">
        <w:rPr>
          <w:rFonts w:asciiTheme="minorHAnsi" w:hAnsiTheme="minorHAnsi"/>
          <w:sz w:val="20"/>
          <w:lang w:eastAsia="en-CA"/>
        </w:rPr>
        <w:t xml:space="preserve"> Dominican Republic; and</w:t>
      </w:r>
    </w:p>
    <w:p w14:paraId="370179D5" w14:textId="58470123" w:rsidR="009628F8" w:rsidRPr="00EA75FD" w:rsidRDefault="009628F8" w:rsidP="003B672F">
      <w:pPr>
        <w:pStyle w:val="Reporttext"/>
        <w:numPr>
          <w:ilvl w:val="0"/>
          <w:numId w:val="80"/>
        </w:numPr>
        <w:spacing w:after="120" w:line="259" w:lineRule="auto"/>
        <w:rPr>
          <w:rFonts w:asciiTheme="minorHAnsi" w:hAnsiTheme="minorHAnsi"/>
          <w:sz w:val="20"/>
          <w:lang w:eastAsia="en-CA"/>
        </w:rPr>
      </w:pPr>
      <w:r w:rsidRPr="00EA75FD">
        <w:rPr>
          <w:rFonts w:asciiTheme="minorHAnsi" w:hAnsiTheme="minorHAnsi"/>
          <w:b/>
          <w:bCs/>
          <w:sz w:val="20"/>
          <w:lang w:eastAsia="en-CA"/>
        </w:rPr>
        <w:t>Western Asia:</w:t>
      </w:r>
      <w:r w:rsidRPr="00EA75FD">
        <w:rPr>
          <w:rFonts w:asciiTheme="minorHAnsi" w:hAnsiTheme="minorHAnsi"/>
          <w:sz w:val="20"/>
          <w:lang w:eastAsia="en-CA"/>
        </w:rPr>
        <w:t xml:space="preserve"> Egypt.</w:t>
      </w:r>
    </w:p>
    <w:p w14:paraId="1BF94C51" w14:textId="2A7D0CDA" w:rsidR="001C2E80" w:rsidRPr="00612F74" w:rsidRDefault="008C347B" w:rsidP="00612F74">
      <w:pPr>
        <w:pStyle w:val="Heading3"/>
      </w:pPr>
      <w:r>
        <w:t>Integration of cross-cutting issues: g</w:t>
      </w:r>
      <w:r w:rsidR="0003023A">
        <w:t>e</w:t>
      </w:r>
      <w:r w:rsidR="001C2E80" w:rsidRPr="00612F74">
        <w:t>nder</w:t>
      </w:r>
      <w:r w:rsidR="005B1BD2" w:rsidRPr="00612F74">
        <w:t>,</w:t>
      </w:r>
      <w:r w:rsidR="001C2E80" w:rsidRPr="00612F74">
        <w:t xml:space="preserve"> human rights</w:t>
      </w:r>
      <w:r w:rsidR="005B1BD2" w:rsidRPr="00612F74">
        <w:t xml:space="preserve"> and disability inclusion</w:t>
      </w:r>
      <w:r w:rsidR="001C2E80" w:rsidRPr="00612F74">
        <w:t xml:space="preserve"> </w:t>
      </w:r>
    </w:p>
    <w:p w14:paraId="5B09CC05" w14:textId="253E2085" w:rsidR="00873D32" w:rsidRDefault="00CD0C5E" w:rsidP="00CD0C5E">
      <w:pPr>
        <w:pStyle w:val="Reporttext"/>
        <w:spacing w:after="120" w:line="259" w:lineRule="auto"/>
        <w:rPr>
          <w:rFonts w:asciiTheme="minorHAnsi" w:hAnsiTheme="minorHAnsi"/>
          <w:sz w:val="20"/>
          <w:lang w:val="en-GB"/>
        </w:rPr>
      </w:pPr>
      <w:r w:rsidRPr="00EA75FD">
        <w:rPr>
          <w:rFonts w:asciiTheme="minorHAnsi" w:hAnsiTheme="minorHAnsi"/>
          <w:sz w:val="20"/>
          <w:lang w:val="en-GB"/>
        </w:rPr>
        <w:t>In</w:t>
      </w:r>
      <w:r w:rsidR="00873D32">
        <w:rPr>
          <w:rFonts w:asciiTheme="minorHAnsi" w:hAnsiTheme="minorHAnsi"/>
          <w:sz w:val="20"/>
          <w:lang w:val="en-GB"/>
        </w:rPr>
        <w:t xml:space="preserve"> line with </w:t>
      </w:r>
      <w:r w:rsidRPr="00EA75FD">
        <w:rPr>
          <w:rFonts w:asciiTheme="minorHAnsi" w:hAnsiTheme="minorHAnsi"/>
          <w:sz w:val="20"/>
          <w:lang w:val="en-GB"/>
        </w:rPr>
        <w:t>ToR</w:t>
      </w:r>
      <w:r w:rsidR="00873D32">
        <w:rPr>
          <w:rFonts w:asciiTheme="minorHAnsi" w:hAnsiTheme="minorHAnsi"/>
          <w:sz w:val="20"/>
          <w:lang w:val="en-GB"/>
        </w:rPr>
        <w:t xml:space="preserve"> requirements, the </w:t>
      </w:r>
      <w:r w:rsidR="00873D32" w:rsidRPr="00EA75FD">
        <w:rPr>
          <w:rFonts w:asciiTheme="minorHAnsi" w:hAnsiTheme="minorHAnsi"/>
          <w:sz w:val="20"/>
          <w:lang w:val="en-GB"/>
        </w:rPr>
        <w:t>evaluation assess</w:t>
      </w:r>
      <w:r w:rsidR="00873D32">
        <w:rPr>
          <w:rFonts w:asciiTheme="minorHAnsi" w:hAnsiTheme="minorHAnsi"/>
          <w:sz w:val="20"/>
          <w:lang w:val="en-GB"/>
        </w:rPr>
        <w:t>ed</w:t>
      </w:r>
      <w:r w:rsidR="00873D32" w:rsidRPr="00EA75FD">
        <w:rPr>
          <w:rFonts w:asciiTheme="minorHAnsi" w:hAnsiTheme="minorHAnsi"/>
          <w:sz w:val="20"/>
          <w:lang w:val="en-GB"/>
        </w:rPr>
        <w:t xml:space="preserve"> three cross-cutting issues that are of relevance to </w:t>
      </w:r>
      <w:r w:rsidR="00873D32">
        <w:rPr>
          <w:rFonts w:asciiTheme="minorHAnsi" w:hAnsiTheme="minorHAnsi"/>
          <w:sz w:val="20"/>
          <w:lang w:val="en-GB"/>
        </w:rPr>
        <w:t xml:space="preserve">UNDESA-FSDO: </w:t>
      </w:r>
      <w:r w:rsidR="00873D32" w:rsidRPr="00EA75FD">
        <w:rPr>
          <w:rFonts w:asciiTheme="minorHAnsi" w:hAnsiTheme="minorHAnsi"/>
          <w:sz w:val="20"/>
          <w:lang w:val="en-GB"/>
        </w:rPr>
        <w:t>gender equality; human rights; and disability inclusion.</w:t>
      </w:r>
      <w:r w:rsidR="007652DD">
        <w:rPr>
          <w:rFonts w:asciiTheme="minorHAnsi" w:hAnsiTheme="minorHAnsi"/>
          <w:sz w:val="20"/>
          <w:lang w:val="en-GB"/>
        </w:rPr>
        <w:t xml:space="preserve"> </w:t>
      </w:r>
      <w:r w:rsidR="00A90E50">
        <w:rPr>
          <w:rFonts w:asciiTheme="minorHAnsi" w:hAnsiTheme="minorHAnsi"/>
          <w:sz w:val="20"/>
          <w:lang w:val="en-GB"/>
        </w:rPr>
        <w:t xml:space="preserve">The </w:t>
      </w:r>
      <w:r w:rsidR="003523A5">
        <w:rPr>
          <w:rFonts w:asciiTheme="minorHAnsi" w:hAnsiTheme="minorHAnsi"/>
          <w:sz w:val="20"/>
          <w:lang w:val="en-GB"/>
        </w:rPr>
        <w:t xml:space="preserve">assessment focused on the </w:t>
      </w:r>
      <w:r w:rsidR="00A90E50" w:rsidRPr="00EA75FD">
        <w:rPr>
          <w:rFonts w:asciiTheme="minorHAnsi" w:hAnsiTheme="minorHAnsi"/>
          <w:sz w:val="20"/>
          <w:lang w:val="en-GB"/>
        </w:rPr>
        <w:t xml:space="preserve">extent to which considerations for each cross-cutting issue were integrated into the project at all levels, </w:t>
      </w:r>
      <w:r w:rsidR="003523A5">
        <w:rPr>
          <w:rFonts w:asciiTheme="minorHAnsi" w:hAnsiTheme="minorHAnsi"/>
          <w:sz w:val="20"/>
          <w:lang w:val="en-GB"/>
        </w:rPr>
        <w:t xml:space="preserve">including project </w:t>
      </w:r>
      <w:r w:rsidR="00A90E50" w:rsidRPr="00EA75FD">
        <w:rPr>
          <w:rFonts w:asciiTheme="minorHAnsi" w:hAnsiTheme="minorHAnsi"/>
          <w:sz w:val="20"/>
          <w:lang w:val="en-GB"/>
        </w:rPr>
        <w:t xml:space="preserve">design; </w:t>
      </w:r>
      <w:r w:rsidR="003523A5">
        <w:rPr>
          <w:rFonts w:asciiTheme="minorHAnsi" w:hAnsiTheme="minorHAnsi"/>
          <w:sz w:val="20"/>
          <w:lang w:val="en-GB"/>
        </w:rPr>
        <w:t xml:space="preserve">activity </w:t>
      </w:r>
      <w:r w:rsidR="00A90E50" w:rsidRPr="00EA75FD">
        <w:rPr>
          <w:rFonts w:asciiTheme="minorHAnsi" w:hAnsiTheme="minorHAnsi"/>
          <w:sz w:val="20"/>
          <w:lang w:val="en-GB"/>
        </w:rPr>
        <w:t>implementation; and results monitoring</w:t>
      </w:r>
      <w:r w:rsidR="00A062E2">
        <w:rPr>
          <w:rFonts w:asciiTheme="minorHAnsi" w:hAnsiTheme="minorHAnsi"/>
          <w:sz w:val="20"/>
          <w:lang w:val="en-GB"/>
        </w:rPr>
        <w:t xml:space="preserve">, in relation to </w:t>
      </w:r>
      <w:r w:rsidR="00E46F98">
        <w:rPr>
          <w:rFonts w:asciiTheme="minorHAnsi" w:hAnsiTheme="minorHAnsi"/>
          <w:sz w:val="20"/>
          <w:lang w:val="en-GB"/>
        </w:rPr>
        <w:t xml:space="preserve">each evaluation </w:t>
      </w:r>
      <w:r w:rsidR="00E46F98">
        <w:rPr>
          <w:rFonts w:asciiTheme="minorHAnsi" w:hAnsiTheme="minorHAnsi"/>
          <w:sz w:val="20"/>
          <w:lang w:val="en-GB"/>
        </w:rPr>
        <w:lastRenderedPageBreak/>
        <w:t>criterion. This approach was</w:t>
      </w:r>
      <w:r w:rsidR="00E46F98" w:rsidRPr="00EA75FD">
        <w:rPr>
          <w:rFonts w:asciiTheme="minorHAnsi" w:hAnsiTheme="minorHAnsi"/>
          <w:sz w:val="20"/>
          <w:lang w:val="en-GB"/>
        </w:rPr>
        <w:t xml:space="preserve"> supported by the disaggregation of data by sex, where available.</w:t>
      </w:r>
    </w:p>
    <w:p w14:paraId="31E6C50E" w14:textId="172906F4" w:rsidR="00682858" w:rsidRPr="00E22876" w:rsidRDefault="00682858" w:rsidP="00D12632">
      <w:pPr>
        <w:pStyle w:val="Heading2"/>
      </w:pPr>
      <w:bookmarkStart w:id="27" w:name="_Toc210730320"/>
      <w:r w:rsidRPr="00E22876">
        <w:t>Methods</w:t>
      </w:r>
      <w:bookmarkEnd w:id="27"/>
    </w:p>
    <w:p w14:paraId="4BCF11FD" w14:textId="71C3348E" w:rsidR="002F353C" w:rsidRPr="00EA75FD" w:rsidRDefault="009647D6" w:rsidP="00AC0325">
      <w:pPr>
        <w:pStyle w:val="BodyText"/>
        <w:rPr>
          <w:lang w:val="en-GB"/>
        </w:rPr>
      </w:pPr>
      <w:r w:rsidRPr="00D12632">
        <w:t xml:space="preserve">The evaluation was conducted </w:t>
      </w:r>
      <w:r w:rsidR="002F353C" w:rsidRPr="00EA75FD">
        <w:rPr>
          <w:lang w:val="en-GB"/>
        </w:rPr>
        <w:t xml:space="preserve">across four phases: </w:t>
      </w:r>
      <w:r w:rsidR="00A72203">
        <w:rPr>
          <w:lang w:val="en-GB"/>
        </w:rPr>
        <w:t xml:space="preserve">Phase </w:t>
      </w:r>
      <w:r w:rsidR="002F353C" w:rsidRPr="00EA75FD">
        <w:rPr>
          <w:lang w:val="en-GB"/>
        </w:rPr>
        <w:t>1</w:t>
      </w:r>
      <w:r w:rsidR="00A72203">
        <w:rPr>
          <w:lang w:val="en-GB"/>
        </w:rPr>
        <w:t>: I</w:t>
      </w:r>
      <w:r w:rsidR="002F353C" w:rsidRPr="00EA75FD">
        <w:rPr>
          <w:lang w:val="en-GB"/>
        </w:rPr>
        <w:t xml:space="preserve">nception; </w:t>
      </w:r>
      <w:r w:rsidR="00A72203">
        <w:rPr>
          <w:lang w:val="en-GB"/>
        </w:rPr>
        <w:t xml:space="preserve">Phase </w:t>
      </w:r>
      <w:r w:rsidR="002F353C" w:rsidRPr="00EA75FD">
        <w:rPr>
          <w:lang w:val="en-GB"/>
        </w:rPr>
        <w:t>2</w:t>
      </w:r>
      <w:r w:rsidR="00A72203">
        <w:rPr>
          <w:lang w:val="en-GB"/>
        </w:rPr>
        <w:t>: D</w:t>
      </w:r>
      <w:r w:rsidR="002F353C" w:rsidRPr="00EA75FD">
        <w:rPr>
          <w:lang w:val="en-GB"/>
        </w:rPr>
        <w:t xml:space="preserve">ata generation; </w:t>
      </w:r>
      <w:r w:rsidR="00A72203">
        <w:rPr>
          <w:lang w:val="en-GB"/>
        </w:rPr>
        <w:t xml:space="preserve">Phase 3: </w:t>
      </w:r>
      <w:r w:rsidR="00B86D30">
        <w:rPr>
          <w:lang w:val="en-GB"/>
        </w:rPr>
        <w:t>D</w:t>
      </w:r>
      <w:r w:rsidR="002F353C" w:rsidRPr="00EA75FD">
        <w:rPr>
          <w:lang w:val="en-GB"/>
        </w:rPr>
        <w:t xml:space="preserve">ata analysis and results synthesis; and </w:t>
      </w:r>
      <w:r w:rsidR="00B86D30">
        <w:rPr>
          <w:lang w:val="en-GB"/>
        </w:rPr>
        <w:t>Phase 4: R</w:t>
      </w:r>
      <w:r w:rsidR="002F353C" w:rsidRPr="00EA75FD">
        <w:rPr>
          <w:lang w:val="en-GB"/>
        </w:rPr>
        <w:t>eporting. An overview of each phase of activity is presented in the sub-Sections that follow.</w:t>
      </w:r>
    </w:p>
    <w:p w14:paraId="293A8500" w14:textId="6E812DE2" w:rsidR="00682858" w:rsidRPr="00D12632" w:rsidRDefault="00682858" w:rsidP="00D12632">
      <w:pPr>
        <w:pStyle w:val="Heading3"/>
      </w:pPr>
      <w:r w:rsidRPr="00D12632">
        <w:t>Inception</w:t>
      </w:r>
    </w:p>
    <w:p w14:paraId="7DAC0E30" w14:textId="77777777" w:rsidR="00C31B76" w:rsidRDefault="003E0DD0" w:rsidP="003E0DD0">
      <w:pPr>
        <w:pStyle w:val="BodyText"/>
        <w:rPr>
          <w:bCs/>
          <w:szCs w:val="20"/>
        </w:rPr>
      </w:pPr>
      <w:r w:rsidRPr="00EA75FD">
        <w:rPr>
          <w:bCs/>
          <w:szCs w:val="20"/>
        </w:rPr>
        <w:t xml:space="preserve">The Inception Phase of the evaluation </w:t>
      </w:r>
      <w:r w:rsidR="00134EF2">
        <w:rPr>
          <w:bCs/>
          <w:szCs w:val="20"/>
        </w:rPr>
        <w:t xml:space="preserve">was an interface for clarifying the </w:t>
      </w:r>
      <w:r w:rsidR="00D26BA8">
        <w:rPr>
          <w:bCs/>
          <w:szCs w:val="20"/>
        </w:rPr>
        <w:t xml:space="preserve">elements of the evaluation ToR and </w:t>
      </w:r>
      <w:r w:rsidR="00A31F78">
        <w:rPr>
          <w:bCs/>
          <w:szCs w:val="20"/>
        </w:rPr>
        <w:t xml:space="preserve">methodology, as required. It commenced with </w:t>
      </w:r>
      <w:r w:rsidR="00A31F78" w:rsidRPr="00EA75FD">
        <w:rPr>
          <w:bCs/>
          <w:szCs w:val="20"/>
        </w:rPr>
        <w:t xml:space="preserve">a start-up discussion and planning meeting between </w:t>
      </w:r>
      <w:r w:rsidR="00F543C7">
        <w:rPr>
          <w:bCs/>
          <w:szCs w:val="20"/>
        </w:rPr>
        <w:t>UNDESA-FSDO and the external</w:t>
      </w:r>
      <w:r w:rsidR="00A31F78" w:rsidRPr="00EA75FD">
        <w:rPr>
          <w:bCs/>
          <w:szCs w:val="20"/>
        </w:rPr>
        <w:t xml:space="preserve"> evaluato</w:t>
      </w:r>
      <w:r w:rsidR="00F543C7">
        <w:rPr>
          <w:bCs/>
          <w:szCs w:val="20"/>
        </w:rPr>
        <w:t xml:space="preserve">r. </w:t>
      </w:r>
    </w:p>
    <w:p w14:paraId="3D9DF16A" w14:textId="6254943E" w:rsidR="00315E28" w:rsidRDefault="00F543C7" w:rsidP="003E0DD0">
      <w:pPr>
        <w:pStyle w:val="BodyText"/>
        <w:rPr>
          <w:bCs/>
          <w:szCs w:val="20"/>
        </w:rPr>
      </w:pPr>
      <w:r w:rsidRPr="00EA75FD">
        <w:rPr>
          <w:bCs/>
          <w:szCs w:val="20"/>
        </w:rPr>
        <w:t>UNDESA</w:t>
      </w:r>
      <w:r>
        <w:rPr>
          <w:bCs/>
          <w:szCs w:val="20"/>
        </w:rPr>
        <w:t>-</w:t>
      </w:r>
      <w:r w:rsidRPr="00EA75FD">
        <w:rPr>
          <w:bCs/>
          <w:szCs w:val="20"/>
        </w:rPr>
        <w:t xml:space="preserve">FSDO facilitated evaluator access to key </w:t>
      </w:r>
      <w:r>
        <w:rPr>
          <w:bCs/>
          <w:szCs w:val="20"/>
        </w:rPr>
        <w:t xml:space="preserve">project </w:t>
      </w:r>
      <w:r w:rsidRPr="00EA75FD">
        <w:rPr>
          <w:bCs/>
          <w:szCs w:val="20"/>
        </w:rPr>
        <w:t>documents for preliminary review</w:t>
      </w:r>
      <w:r w:rsidR="009E6B88">
        <w:rPr>
          <w:bCs/>
          <w:szCs w:val="20"/>
        </w:rPr>
        <w:t>, a</w:t>
      </w:r>
      <w:r w:rsidR="007C76D5">
        <w:rPr>
          <w:bCs/>
          <w:szCs w:val="20"/>
        </w:rPr>
        <w:t>s well as the project focal points within the executing entities.</w:t>
      </w:r>
      <w:r w:rsidR="00C31B76">
        <w:rPr>
          <w:bCs/>
          <w:szCs w:val="20"/>
        </w:rPr>
        <w:t xml:space="preserve"> </w:t>
      </w:r>
      <w:r w:rsidR="00DB21E1">
        <w:rPr>
          <w:bCs/>
          <w:szCs w:val="20"/>
        </w:rPr>
        <w:t>V</w:t>
      </w:r>
      <w:r w:rsidR="00BB4237">
        <w:rPr>
          <w:bCs/>
          <w:szCs w:val="20"/>
        </w:rPr>
        <w:t>irtual consultations</w:t>
      </w:r>
      <w:r w:rsidR="00DB21E1">
        <w:rPr>
          <w:bCs/>
          <w:szCs w:val="20"/>
        </w:rPr>
        <w:t xml:space="preserve"> between the evaluator and the project focal points</w:t>
      </w:r>
      <w:r w:rsidR="0098033D">
        <w:rPr>
          <w:bCs/>
          <w:szCs w:val="20"/>
        </w:rPr>
        <w:t xml:space="preserve">, supported by the preliminary desk review, </w:t>
      </w:r>
      <w:r w:rsidR="00315E28" w:rsidRPr="00EA75FD">
        <w:rPr>
          <w:rFonts w:cs="Arial"/>
          <w:szCs w:val="20"/>
        </w:rPr>
        <w:t>provided contextual information</w:t>
      </w:r>
      <w:r w:rsidR="00315E28">
        <w:rPr>
          <w:rFonts w:cs="Arial"/>
          <w:szCs w:val="20"/>
        </w:rPr>
        <w:t xml:space="preserve"> on the project</w:t>
      </w:r>
      <w:r w:rsidR="00C953E2">
        <w:rPr>
          <w:rFonts w:cs="Arial"/>
          <w:szCs w:val="20"/>
        </w:rPr>
        <w:t xml:space="preserve"> that was used to inform the draft inception report.</w:t>
      </w:r>
      <w:r w:rsidR="00FE37B0">
        <w:rPr>
          <w:rFonts w:cs="Arial"/>
          <w:szCs w:val="20"/>
        </w:rPr>
        <w:t xml:space="preserve"> This document was submitted to UNDESA-FSDO for internal dissemination and review</w:t>
      </w:r>
      <w:r w:rsidR="0040019F">
        <w:rPr>
          <w:rFonts w:cs="Arial"/>
          <w:szCs w:val="20"/>
        </w:rPr>
        <w:t xml:space="preserve"> by the Evaluation Refe</w:t>
      </w:r>
      <w:r w:rsidR="001B5CAD">
        <w:rPr>
          <w:rFonts w:cs="Arial"/>
          <w:szCs w:val="20"/>
        </w:rPr>
        <w:t>re</w:t>
      </w:r>
      <w:r w:rsidR="0040019F">
        <w:rPr>
          <w:rFonts w:cs="Arial"/>
          <w:szCs w:val="20"/>
        </w:rPr>
        <w:t xml:space="preserve">nce Group (ERG). </w:t>
      </w:r>
      <w:r w:rsidR="001B5CAD">
        <w:rPr>
          <w:rFonts w:cs="Arial"/>
          <w:szCs w:val="20"/>
        </w:rPr>
        <w:t xml:space="preserve">ERG feedback was used to </w:t>
      </w:r>
      <w:r w:rsidR="002F4A7D">
        <w:rPr>
          <w:rFonts w:cs="Arial"/>
          <w:szCs w:val="20"/>
        </w:rPr>
        <w:t>finalise the inception report, for use as the client-approved guide for the evaluation.</w:t>
      </w:r>
    </w:p>
    <w:p w14:paraId="7FCF34FE" w14:textId="0163D6A3" w:rsidR="00682858" w:rsidRPr="00D12632" w:rsidRDefault="005A6436" w:rsidP="00D12632">
      <w:pPr>
        <w:pStyle w:val="Heading3"/>
      </w:pPr>
      <w:r w:rsidRPr="00D12632">
        <w:t>Data generation</w:t>
      </w:r>
    </w:p>
    <w:p w14:paraId="5A97FC92" w14:textId="0BB089BD" w:rsidR="00ED207A" w:rsidRDefault="00ED207A" w:rsidP="00D12632">
      <w:pPr>
        <w:pStyle w:val="BodyText"/>
      </w:pPr>
      <w:r w:rsidRPr="000019CA">
        <w:t>Data generation w</w:t>
      </w:r>
      <w:r w:rsidR="000019CA" w:rsidRPr="000019CA">
        <w:t xml:space="preserve">as based on </w:t>
      </w:r>
      <w:r w:rsidRPr="000019CA">
        <w:t>three methods:</w:t>
      </w:r>
      <w:r w:rsidRPr="000019CA">
        <w:rPr>
          <w:spacing w:val="1"/>
        </w:rPr>
        <w:t xml:space="preserve"> </w:t>
      </w:r>
      <w:r w:rsidRPr="000019CA">
        <w:t>i)</w:t>
      </w:r>
      <w:r w:rsidRPr="000019CA">
        <w:rPr>
          <w:spacing w:val="2"/>
        </w:rPr>
        <w:t xml:space="preserve"> </w:t>
      </w:r>
      <w:r w:rsidRPr="000019CA">
        <w:t>an in-depth</w:t>
      </w:r>
      <w:r w:rsidRPr="000019CA">
        <w:rPr>
          <w:spacing w:val="1"/>
        </w:rPr>
        <w:t xml:space="preserve"> </w:t>
      </w:r>
      <w:r w:rsidRPr="000019CA">
        <w:t>desk review</w:t>
      </w:r>
      <w:r w:rsidRPr="000019CA">
        <w:rPr>
          <w:spacing w:val="1"/>
        </w:rPr>
        <w:t xml:space="preserve"> </w:t>
      </w:r>
      <w:r w:rsidRPr="000019CA">
        <w:t>of</w:t>
      </w:r>
      <w:r w:rsidRPr="000019CA">
        <w:rPr>
          <w:spacing w:val="-2"/>
        </w:rPr>
        <w:t xml:space="preserve"> </w:t>
      </w:r>
      <w:r w:rsidRPr="000019CA">
        <w:t>relevant</w:t>
      </w:r>
      <w:r w:rsidRPr="000019CA">
        <w:rPr>
          <w:spacing w:val="2"/>
        </w:rPr>
        <w:t xml:space="preserve"> </w:t>
      </w:r>
      <w:r w:rsidRPr="000019CA">
        <w:t>documents and</w:t>
      </w:r>
      <w:r w:rsidRPr="000019CA">
        <w:rPr>
          <w:spacing w:val="-2"/>
        </w:rPr>
        <w:t xml:space="preserve"> </w:t>
      </w:r>
      <w:r w:rsidRPr="000019CA">
        <w:t>the</w:t>
      </w:r>
      <w:r w:rsidRPr="000019CA">
        <w:rPr>
          <w:spacing w:val="-2"/>
        </w:rPr>
        <w:t xml:space="preserve"> </w:t>
      </w:r>
      <w:r w:rsidRPr="000019CA">
        <w:t xml:space="preserve">literature; ii) </w:t>
      </w:r>
      <w:r w:rsidR="008E4D78" w:rsidRPr="000019CA">
        <w:t>key informant consultations</w:t>
      </w:r>
      <w:r w:rsidR="008E4D78">
        <w:t>; and iii)</w:t>
      </w:r>
      <w:r w:rsidR="008E4D78" w:rsidRPr="000019CA">
        <w:t xml:space="preserve"> </w:t>
      </w:r>
      <w:r w:rsidR="0045466B" w:rsidRPr="000019CA">
        <w:t>an electronic survey</w:t>
      </w:r>
      <w:r w:rsidR="0045466B">
        <w:t>.</w:t>
      </w:r>
      <w:r w:rsidR="0045466B" w:rsidRPr="000019CA">
        <w:t xml:space="preserve"> </w:t>
      </w:r>
      <w:r w:rsidR="000019CA" w:rsidRPr="000019CA">
        <w:t xml:space="preserve">Purposive sampling based on a sequential approach was used to select </w:t>
      </w:r>
      <w:r w:rsidRPr="000019CA">
        <w:t xml:space="preserve">potential sources of data, </w:t>
      </w:r>
      <w:r w:rsidR="000019CA" w:rsidRPr="000019CA">
        <w:t xml:space="preserve">including </w:t>
      </w:r>
      <w:r w:rsidRPr="000019CA">
        <w:t>key informants and documents</w:t>
      </w:r>
      <w:r w:rsidR="003331DD">
        <w:t xml:space="preserve"> </w:t>
      </w:r>
      <w:r w:rsidR="00F63B63">
        <w:t xml:space="preserve">(see Exhibit </w:t>
      </w:r>
      <w:r w:rsidR="00C62C97">
        <w:t>8</w:t>
      </w:r>
      <w:r w:rsidR="00F63B63">
        <w:t>)</w:t>
      </w:r>
      <w:r w:rsidRPr="000019CA">
        <w:t xml:space="preserve">. </w:t>
      </w:r>
      <w:r w:rsidR="000019CA" w:rsidRPr="000019CA">
        <w:t>Th</w:t>
      </w:r>
      <w:r w:rsidR="008D7A2B">
        <w:t xml:space="preserve">e </w:t>
      </w:r>
      <w:r w:rsidR="000019CA" w:rsidRPr="000019CA">
        <w:t xml:space="preserve">approach </w:t>
      </w:r>
      <w:r w:rsidR="00712A25">
        <w:t xml:space="preserve">facilitated </w:t>
      </w:r>
      <w:r w:rsidRPr="000019CA">
        <w:t>follow-up data generation from additional sources throughout the evaluation, as required. Each method of data generation w</w:t>
      </w:r>
      <w:r w:rsidR="000019CA" w:rsidRPr="000019CA">
        <w:t xml:space="preserve">as also </w:t>
      </w:r>
      <w:r w:rsidRPr="000019CA">
        <w:t>informed by the client-approved evaluation matrix.</w:t>
      </w:r>
    </w:p>
    <w:p w14:paraId="633D3398" w14:textId="70D8AD4F" w:rsidR="00BD0E1C" w:rsidRPr="00D12632" w:rsidRDefault="00BD0E1C" w:rsidP="00BD0E1C">
      <w:pPr>
        <w:pStyle w:val="Caption"/>
        <w:spacing w:before="120"/>
      </w:pPr>
      <w:bookmarkStart w:id="28" w:name="_Toc210730341"/>
      <w:r w:rsidRPr="00D12632">
        <w:t xml:space="preserve">Exhibit </w:t>
      </w:r>
      <w:r w:rsidRPr="00D12632">
        <w:fldChar w:fldCharType="begin"/>
      </w:r>
      <w:r w:rsidRPr="00D12632">
        <w:instrText xml:space="preserve"> SEQ Table \* ARABIC </w:instrText>
      </w:r>
      <w:r w:rsidRPr="00D12632">
        <w:fldChar w:fldCharType="separate"/>
      </w:r>
      <w:r w:rsidR="00C62C97">
        <w:rPr>
          <w:noProof/>
        </w:rPr>
        <w:t>8</w:t>
      </w:r>
      <w:r w:rsidRPr="00D12632">
        <w:fldChar w:fldCharType="end"/>
      </w:r>
      <w:r w:rsidRPr="00D12632">
        <w:t xml:space="preserve"> Key sources of primary and secondary data</w:t>
      </w:r>
      <w:bookmarkEnd w:id="28"/>
    </w:p>
    <w:tbl>
      <w:tblPr>
        <w:tblStyle w:val="BlueTable"/>
        <w:tblW w:w="5000" w:type="pct"/>
        <w:jc w:val="center"/>
        <w:tblLook w:val="04A0" w:firstRow="1" w:lastRow="0" w:firstColumn="1" w:lastColumn="0" w:noHBand="0" w:noVBand="1"/>
      </w:tblPr>
      <w:tblGrid>
        <w:gridCol w:w="1455"/>
        <w:gridCol w:w="3174"/>
      </w:tblGrid>
      <w:tr w:rsidR="00BD0E1C" w:rsidRPr="00041EA7" w14:paraId="34234A3F" w14:textId="77777777" w:rsidTr="00C6335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2260" w:type="dxa"/>
          </w:tcPr>
          <w:p w14:paraId="3DF145CE" w14:textId="77777777" w:rsidR="00BD0E1C" w:rsidRPr="00D12632" w:rsidRDefault="00BD0E1C" w:rsidP="00225175">
            <w:r w:rsidRPr="00D12632">
              <w:t>Data source</w:t>
            </w:r>
          </w:p>
        </w:tc>
        <w:tc>
          <w:tcPr>
            <w:tcW w:w="7412" w:type="dxa"/>
          </w:tcPr>
          <w:p w14:paraId="6C0FC5C7" w14:textId="77777777" w:rsidR="00BD0E1C" w:rsidRPr="00D12632" w:rsidRDefault="00BD0E1C" w:rsidP="00225175">
            <w:pPr>
              <w:cnfStyle w:val="100000000000" w:firstRow="1" w:lastRow="0" w:firstColumn="0" w:lastColumn="0" w:oddVBand="0" w:evenVBand="0" w:oddHBand="0" w:evenHBand="0" w:firstRowFirstColumn="0" w:firstRowLastColumn="0" w:lastRowFirstColumn="0" w:lastRowLastColumn="0"/>
            </w:pPr>
            <w:r w:rsidRPr="00D12632">
              <w:t>Description</w:t>
            </w:r>
          </w:p>
        </w:tc>
      </w:tr>
      <w:tr w:rsidR="00BD0E1C" w:rsidRPr="00041EA7" w14:paraId="1A287ED9" w14:textId="77777777" w:rsidTr="00C6335D">
        <w:trPr>
          <w:jc w:val="center"/>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48E41C8A" w14:textId="77777777" w:rsidR="00BD0E1C" w:rsidRPr="00D12632" w:rsidRDefault="00BD0E1C" w:rsidP="00225175">
            <w:r w:rsidRPr="00D12632">
              <w:t>Primary sources</w:t>
            </w:r>
          </w:p>
        </w:tc>
        <w:tc>
          <w:tcPr>
            <w:tcW w:w="7412" w:type="dxa"/>
          </w:tcPr>
          <w:p w14:paraId="7227C92C" w14:textId="77777777" w:rsidR="00BD0E1C" w:rsidRPr="00D12632" w:rsidRDefault="00BD0E1C" w:rsidP="001D413E">
            <w:pPr>
              <w:spacing w:before="60" w:after="60"/>
              <w:cnfStyle w:val="000000000000" w:firstRow="0" w:lastRow="0" w:firstColumn="0" w:lastColumn="0" w:oddVBand="0" w:evenVBand="0" w:oddHBand="0" w:evenHBand="0" w:firstRowFirstColumn="0" w:firstRowLastColumn="0" w:lastRowFirstColumn="0" w:lastRowLastColumn="0"/>
            </w:pPr>
            <w:r w:rsidRPr="00D12632">
              <w:t>Relevant project stakeholders from:</w:t>
            </w:r>
          </w:p>
          <w:p w14:paraId="7B5DA487" w14:textId="77777777" w:rsidR="00BD0E1C" w:rsidRPr="009554FE"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rsidRPr="009554FE">
              <w:t>UNDESA (FSDO and other relevant offices/ units)</w:t>
            </w:r>
          </w:p>
          <w:p w14:paraId="527DBF82" w14:textId="77777777" w:rsidR="00BD0E1C" w:rsidRPr="009554FE"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rsidRPr="009554FE">
              <w:t>The 10 target countries, with emphasis on all agencies that engaged in project activities</w:t>
            </w:r>
          </w:p>
          <w:p w14:paraId="3D28D0CB" w14:textId="09B83A18" w:rsidR="00BD0E1C" w:rsidRPr="009554FE"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t>The Executing en</w:t>
            </w:r>
            <w:r w:rsidRPr="009554FE">
              <w:t xml:space="preserve">tities </w:t>
            </w:r>
          </w:p>
          <w:p w14:paraId="61DECB2B" w14:textId="48EFD11B" w:rsidR="00BD0E1C" w:rsidRPr="009554FE"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rsidRPr="009554FE">
              <w:t xml:space="preserve">Co-operating entities from within the UN Secretariat and </w:t>
            </w:r>
            <w:r w:rsidR="001D413E">
              <w:t>S</w:t>
            </w:r>
            <w:r w:rsidRPr="009554FE">
              <w:t>ystem</w:t>
            </w:r>
          </w:p>
          <w:p w14:paraId="3B251F24" w14:textId="77777777" w:rsidR="00BD0E1C" w:rsidRPr="00884EEC" w:rsidRDefault="00BD0E1C" w:rsidP="001D413E">
            <w:pPr>
              <w:pStyle w:val="Normal-sizedTableBullets"/>
              <w:spacing w:before="60" w:after="60"/>
              <w:ind w:left="416" w:hanging="284"/>
              <w:cnfStyle w:val="000000000000" w:firstRow="0" w:lastRow="0" w:firstColumn="0" w:lastColumn="0" w:oddVBand="0" w:evenVBand="0" w:oddHBand="0" w:evenHBand="0" w:firstRowFirstColumn="0" w:firstRowLastColumn="0" w:lastRowFirstColumn="0" w:lastRowLastColumn="0"/>
            </w:pPr>
            <w:r w:rsidRPr="009554FE">
              <w:t>Other relevant project partners</w:t>
            </w:r>
          </w:p>
        </w:tc>
      </w:tr>
      <w:tr w:rsidR="00BD0E1C" w:rsidRPr="00041EA7" w14:paraId="1E7ADD23" w14:textId="77777777" w:rsidTr="00C6335D">
        <w:trPr>
          <w:jc w:val="center"/>
        </w:trPr>
        <w:tc>
          <w:tcPr>
            <w:cnfStyle w:val="001000000000" w:firstRow="0" w:lastRow="0" w:firstColumn="1" w:lastColumn="0" w:oddVBand="0" w:evenVBand="0" w:oddHBand="0" w:evenHBand="0" w:firstRowFirstColumn="0" w:firstRowLastColumn="0" w:lastRowFirstColumn="0" w:lastRowLastColumn="0"/>
            <w:tcW w:w="2260" w:type="dxa"/>
            <w:vAlign w:val="center"/>
          </w:tcPr>
          <w:p w14:paraId="1E970B59" w14:textId="77777777" w:rsidR="00BD0E1C" w:rsidRPr="00D12632" w:rsidRDefault="00BD0E1C" w:rsidP="00225175">
            <w:r w:rsidRPr="00D12632">
              <w:t>Secondary sources</w:t>
            </w:r>
          </w:p>
        </w:tc>
        <w:tc>
          <w:tcPr>
            <w:tcW w:w="7412" w:type="dxa"/>
          </w:tcPr>
          <w:p w14:paraId="239B17DF" w14:textId="77777777" w:rsidR="00BD0E1C" w:rsidRPr="00D12632" w:rsidRDefault="00BD0E1C" w:rsidP="00C6335D">
            <w:pPr>
              <w:spacing w:before="60" w:after="60"/>
              <w:cnfStyle w:val="000000000000" w:firstRow="0" w:lastRow="0" w:firstColumn="0" w:lastColumn="0" w:oddVBand="0" w:evenVBand="0" w:oddHBand="0" w:evenHBand="0" w:firstRowFirstColumn="0" w:firstRowLastColumn="0" w:lastRowFirstColumn="0" w:lastRowLastColumn="0"/>
            </w:pPr>
            <w:r w:rsidRPr="00D12632">
              <w:t>Relevant project documents and literature:</w:t>
            </w:r>
          </w:p>
          <w:p w14:paraId="0FEF84E1"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Conceptual project documents (project document; results framework; etc)</w:t>
            </w:r>
          </w:p>
          <w:p w14:paraId="72C96E6C"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Strategic documents at country level (national plans; strategies; etc.)</w:t>
            </w:r>
          </w:p>
          <w:p w14:paraId="349E1866"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Project management reports (progress/ results monitoring reports; financial reports; meeting minutes; etc.)</w:t>
            </w:r>
          </w:p>
          <w:p w14:paraId="301AE1F0"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Project implementation documents (workshop agenda; presentations; proceedings; etc.)</w:t>
            </w:r>
          </w:p>
          <w:p w14:paraId="125A88B6" w14:textId="77777777" w:rsidR="00BD0E1C" w:rsidRPr="009554FE"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Assessment reports (Financing for development study report; etc.)</w:t>
            </w:r>
          </w:p>
          <w:p w14:paraId="363B5D66" w14:textId="77777777" w:rsidR="00BD0E1C" w:rsidRPr="00041EA7" w:rsidRDefault="00BD0E1C" w:rsidP="00C6335D">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9554FE">
              <w:t>Other relevant documents, as applicable</w:t>
            </w:r>
          </w:p>
        </w:tc>
      </w:tr>
    </w:tbl>
    <w:p w14:paraId="41081797" w14:textId="77777777" w:rsidR="003331DD" w:rsidRDefault="003331DD" w:rsidP="003331DD"/>
    <w:p w14:paraId="204F6CCC" w14:textId="507E09EF" w:rsidR="00741AA3" w:rsidRDefault="00741AA3">
      <w:r>
        <w:br w:type="page"/>
      </w:r>
    </w:p>
    <w:p w14:paraId="13C14FCC" w14:textId="236576DF" w:rsidR="00ED207A" w:rsidRPr="00D12632" w:rsidRDefault="00ED207A" w:rsidP="007C6D4A">
      <w:pPr>
        <w:pStyle w:val="Heading4"/>
        <w:spacing w:before="0"/>
      </w:pPr>
      <w:r w:rsidRPr="00D12632">
        <w:lastRenderedPageBreak/>
        <w:t>D</w:t>
      </w:r>
      <w:r w:rsidR="004934F0">
        <w:t xml:space="preserve">esk </w:t>
      </w:r>
      <w:r w:rsidRPr="00D12632">
        <w:t>review</w:t>
      </w:r>
    </w:p>
    <w:p w14:paraId="4C567375" w14:textId="7BE37011" w:rsidR="00016725" w:rsidRDefault="00A66274" w:rsidP="00A66274">
      <w:pPr>
        <w:pStyle w:val="Reporttext"/>
        <w:spacing w:after="120" w:line="259" w:lineRule="auto"/>
        <w:rPr>
          <w:rFonts w:asciiTheme="minorHAnsi" w:hAnsiTheme="minorHAnsi"/>
          <w:sz w:val="20"/>
        </w:rPr>
      </w:pPr>
      <w:r w:rsidRPr="00EA75FD">
        <w:rPr>
          <w:rFonts w:asciiTheme="minorHAnsi" w:hAnsiTheme="minorHAnsi"/>
          <w:sz w:val="20"/>
        </w:rPr>
        <w:t>An in-depth review of secondary data, comprising relevant project documents and the literature, w</w:t>
      </w:r>
      <w:r>
        <w:rPr>
          <w:rFonts w:asciiTheme="minorHAnsi" w:hAnsiTheme="minorHAnsi"/>
          <w:sz w:val="20"/>
        </w:rPr>
        <w:t>as</w:t>
      </w:r>
      <w:r w:rsidRPr="00EA75FD">
        <w:rPr>
          <w:rFonts w:asciiTheme="minorHAnsi" w:hAnsiTheme="minorHAnsi"/>
          <w:sz w:val="20"/>
        </w:rPr>
        <w:t xml:space="preserve"> guided by the key questions and sub-questions of the client-approved evaluation matrix. All available reference documents tha</w:t>
      </w:r>
      <w:r>
        <w:rPr>
          <w:rFonts w:asciiTheme="minorHAnsi" w:hAnsiTheme="minorHAnsi"/>
          <w:sz w:val="20"/>
        </w:rPr>
        <w:t>t we</w:t>
      </w:r>
      <w:r w:rsidRPr="00EA75FD">
        <w:rPr>
          <w:rFonts w:asciiTheme="minorHAnsi" w:hAnsiTheme="minorHAnsi"/>
          <w:sz w:val="20"/>
        </w:rPr>
        <w:t>re relevant to the evaluation w</w:t>
      </w:r>
      <w:r>
        <w:rPr>
          <w:rFonts w:asciiTheme="minorHAnsi" w:hAnsiTheme="minorHAnsi"/>
          <w:sz w:val="20"/>
        </w:rPr>
        <w:t>ere</w:t>
      </w:r>
      <w:r w:rsidRPr="00EA75FD">
        <w:rPr>
          <w:rFonts w:asciiTheme="minorHAnsi" w:hAnsiTheme="minorHAnsi"/>
          <w:sz w:val="20"/>
        </w:rPr>
        <w:t xml:space="preserve"> included in the desk review sample. The relevant documents include</w:t>
      </w:r>
      <w:r>
        <w:rPr>
          <w:rFonts w:asciiTheme="minorHAnsi" w:hAnsiTheme="minorHAnsi"/>
          <w:sz w:val="20"/>
        </w:rPr>
        <w:t>d</w:t>
      </w:r>
      <w:r w:rsidRPr="00EA75FD">
        <w:rPr>
          <w:rFonts w:asciiTheme="minorHAnsi" w:hAnsiTheme="minorHAnsi"/>
          <w:sz w:val="20"/>
        </w:rPr>
        <w:t>, but w</w:t>
      </w:r>
      <w:r>
        <w:rPr>
          <w:rFonts w:asciiTheme="minorHAnsi" w:hAnsiTheme="minorHAnsi"/>
          <w:sz w:val="20"/>
        </w:rPr>
        <w:t>ere</w:t>
      </w:r>
      <w:r w:rsidRPr="00EA75FD">
        <w:rPr>
          <w:rFonts w:asciiTheme="minorHAnsi" w:hAnsiTheme="minorHAnsi"/>
          <w:sz w:val="20"/>
        </w:rPr>
        <w:t xml:space="preserve"> not limited to, the project document; the project results framework; the project work plan;</w:t>
      </w:r>
      <w:r w:rsidRPr="00EA75FD">
        <w:rPr>
          <w:rFonts w:asciiTheme="minorHAnsi" w:hAnsiTheme="minorHAnsi"/>
          <w:spacing w:val="-3"/>
          <w:sz w:val="20"/>
        </w:rPr>
        <w:t xml:space="preserve"> </w:t>
      </w:r>
      <w:r w:rsidRPr="00EA75FD">
        <w:rPr>
          <w:rFonts w:asciiTheme="minorHAnsi" w:hAnsiTheme="minorHAnsi"/>
          <w:sz w:val="20"/>
        </w:rPr>
        <w:t>progress</w:t>
      </w:r>
      <w:r w:rsidRPr="00EA75FD">
        <w:rPr>
          <w:rFonts w:asciiTheme="minorHAnsi" w:hAnsiTheme="minorHAnsi"/>
          <w:spacing w:val="-6"/>
          <w:sz w:val="20"/>
        </w:rPr>
        <w:t xml:space="preserve"> </w:t>
      </w:r>
      <w:r w:rsidRPr="00EA75FD">
        <w:rPr>
          <w:rFonts w:asciiTheme="minorHAnsi" w:hAnsiTheme="minorHAnsi"/>
          <w:sz w:val="20"/>
        </w:rPr>
        <w:t>reports;</w:t>
      </w:r>
      <w:r w:rsidRPr="00EA75FD">
        <w:rPr>
          <w:rFonts w:asciiTheme="minorHAnsi" w:hAnsiTheme="minorHAnsi"/>
          <w:spacing w:val="-3"/>
          <w:sz w:val="20"/>
        </w:rPr>
        <w:t xml:space="preserve"> the Financing for Development study report; </w:t>
      </w:r>
      <w:r w:rsidRPr="00EA75FD">
        <w:rPr>
          <w:rFonts w:asciiTheme="minorHAnsi" w:hAnsiTheme="minorHAnsi"/>
          <w:sz w:val="20"/>
        </w:rPr>
        <w:t>and</w:t>
      </w:r>
      <w:r w:rsidRPr="00EA75FD">
        <w:rPr>
          <w:rFonts w:asciiTheme="minorHAnsi" w:hAnsiTheme="minorHAnsi"/>
          <w:spacing w:val="-5"/>
          <w:sz w:val="20"/>
        </w:rPr>
        <w:t xml:space="preserve"> </w:t>
      </w:r>
      <w:r w:rsidRPr="00EA75FD">
        <w:rPr>
          <w:rFonts w:asciiTheme="minorHAnsi" w:hAnsiTheme="minorHAnsi"/>
          <w:sz w:val="20"/>
        </w:rPr>
        <w:t>other</w:t>
      </w:r>
      <w:r w:rsidRPr="00EA75FD">
        <w:rPr>
          <w:rFonts w:asciiTheme="minorHAnsi" w:hAnsiTheme="minorHAnsi"/>
          <w:spacing w:val="-3"/>
          <w:sz w:val="20"/>
        </w:rPr>
        <w:t xml:space="preserve"> </w:t>
      </w:r>
      <w:r w:rsidRPr="00EA75FD">
        <w:rPr>
          <w:rFonts w:asciiTheme="minorHAnsi" w:hAnsiTheme="minorHAnsi"/>
          <w:sz w:val="20"/>
        </w:rPr>
        <w:t>relevant</w:t>
      </w:r>
      <w:r w:rsidRPr="00EA75FD">
        <w:rPr>
          <w:rFonts w:asciiTheme="minorHAnsi" w:hAnsiTheme="minorHAnsi"/>
          <w:spacing w:val="-3"/>
          <w:sz w:val="20"/>
        </w:rPr>
        <w:t xml:space="preserve"> </w:t>
      </w:r>
      <w:r w:rsidRPr="00EA75FD">
        <w:rPr>
          <w:rFonts w:asciiTheme="minorHAnsi" w:hAnsiTheme="minorHAnsi"/>
          <w:sz w:val="20"/>
        </w:rPr>
        <w:t>data/</w:t>
      </w:r>
      <w:r w:rsidRPr="00EA75FD">
        <w:rPr>
          <w:rFonts w:asciiTheme="minorHAnsi" w:hAnsiTheme="minorHAnsi"/>
          <w:spacing w:val="-4"/>
          <w:sz w:val="20"/>
        </w:rPr>
        <w:t xml:space="preserve"> </w:t>
      </w:r>
      <w:r w:rsidRPr="00EA75FD">
        <w:rPr>
          <w:rFonts w:asciiTheme="minorHAnsi" w:hAnsiTheme="minorHAnsi"/>
          <w:sz w:val="20"/>
        </w:rPr>
        <w:t>information.</w:t>
      </w:r>
      <w:r w:rsidR="005716BE">
        <w:rPr>
          <w:rStyle w:val="FootnoteReference"/>
          <w:rFonts w:asciiTheme="minorHAnsi" w:hAnsiTheme="minorHAnsi"/>
          <w:sz w:val="20"/>
        </w:rPr>
        <w:footnoteReference w:id="55"/>
      </w:r>
      <w:r w:rsidRPr="00EA75FD">
        <w:rPr>
          <w:rFonts w:asciiTheme="minorHAnsi" w:hAnsiTheme="minorHAnsi"/>
          <w:sz w:val="20"/>
        </w:rPr>
        <w:t xml:space="preserve"> A</w:t>
      </w:r>
      <w:r w:rsidR="00016725">
        <w:rPr>
          <w:rFonts w:asciiTheme="minorHAnsi" w:hAnsiTheme="minorHAnsi"/>
          <w:sz w:val="20"/>
        </w:rPr>
        <w:t xml:space="preserve">dditional documents were sourced for </w:t>
      </w:r>
      <w:r w:rsidR="00016725" w:rsidRPr="00EA75FD">
        <w:rPr>
          <w:rFonts w:asciiTheme="minorHAnsi" w:hAnsiTheme="minorHAnsi"/>
          <w:sz w:val="20"/>
        </w:rPr>
        <w:t xml:space="preserve">in-depth review </w:t>
      </w:r>
      <w:r w:rsidR="00016725">
        <w:rPr>
          <w:rFonts w:asciiTheme="minorHAnsi" w:hAnsiTheme="minorHAnsi"/>
          <w:sz w:val="20"/>
        </w:rPr>
        <w:t>throughout the evaluation, as required.</w:t>
      </w:r>
    </w:p>
    <w:p w14:paraId="61E076C7" w14:textId="77777777" w:rsidR="004934F0" w:rsidRPr="001915AD" w:rsidRDefault="004934F0" w:rsidP="004934F0">
      <w:pPr>
        <w:pStyle w:val="Heading4"/>
      </w:pPr>
      <w:r w:rsidRPr="001915AD">
        <w:t>Key informant consultations</w:t>
      </w:r>
    </w:p>
    <w:p w14:paraId="1F5D5F80" w14:textId="58B6CB66" w:rsidR="0014205C" w:rsidRDefault="001D5DDE" w:rsidP="001D5DDE">
      <w:pPr>
        <w:pStyle w:val="Reporttext"/>
        <w:spacing w:after="120" w:line="259" w:lineRule="auto"/>
        <w:rPr>
          <w:rFonts w:asciiTheme="minorHAnsi" w:hAnsiTheme="minorHAnsi"/>
          <w:sz w:val="20"/>
        </w:rPr>
      </w:pPr>
      <w:r w:rsidRPr="00687531">
        <w:rPr>
          <w:rFonts w:asciiTheme="minorHAnsi" w:hAnsiTheme="minorHAnsi"/>
          <w:sz w:val="20"/>
        </w:rPr>
        <w:t>Key informant consultations</w:t>
      </w:r>
      <w:r w:rsidR="007F6C70" w:rsidRPr="00687531">
        <w:rPr>
          <w:rFonts w:asciiTheme="minorHAnsi" w:hAnsiTheme="minorHAnsi"/>
          <w:sz w:val="20"/>
        </w:rPr>
        <w:t xml:space="preserve"> were conducted with individual</w:t>
      </w:r>
      <w:r w:rsidR="00125C2C">
        <w:rPr>
          <w:rFonts w:asciiTheme="minorHAnsi" w:hAnsiTheme="minorHAnsi"/>
          <w:sz w:val="20"/>
        </w:rPr>
        <w:t>s</w:t>
      </w:r>
      <w:r w:rsidR="007F6C70" w:rsidRPr="00687531">
        <w:rPr>
          <w:rFonts w:asciiTheme="minorHAnsi" w:hAnsiTheme="minorHAnsi"/>
          <w:sz w:val="20"/>
        </w:rPr>
        <w:t xml:space="preserve"> or small groups of stakeholders </w:t>
      </w:r>
      <w:r w:rsidR="0014205C" w:rsidRPr="00687531">
        <w:rPr>
          <w:rFonts w:asciiTheme="minorHAnsi" w:hAnsiTheme="minorHAnsi"/>
          <w:sz w:val="20"/>
        </w:rPr>
        <w:t>as virtual semi-structured interviews.</w:t>
      </w:r>
      <w:r w:rsidR="0014205C" w:rsidRPr="00687531">
        <w:rPr>
          <w:rStyle w:val="FootnoteReference"/>
          <w:rFonts w:asciiTheme="minorHAnsi" w:hAnsiTheme="minorHAnsi"/>
          <w:sz w:val="20"/>
        </w:rPr>
        <w:footnoteReference w:id="56"/>
      </w:r>
      <w:r w:rsidRPr="00687531">
        <w:rPr>
          <w:rFonts w:asciiTheme="minorHAnsi" w:hAnsiTheme="minorHAnsi"/>
          <w:sz w:val="20"/>
        </w:rPr>
        <w:t xml:space="preserve"> </w:t>
      </w:r>
      <w:r w:rsidR="00162AE3" w:rsidRPr="00687531">
        <w:rPr>
          <w:rFonts w:asciiTheme="minorHAnsi" w:hAnsiTheme="minorHAnsi"/>
          <w:sz w:val="20"/>
        </w:rPr>
        <w:t xml:space="preserve">All consultations were guided by data generation protocols that were tailored to each category of key informants. </w:t>
      </w:r>
      <w:r w:rsidRPr="00687531">
        <w:rPr>
          <w:rFonts w:asciiTheme="minorHAnsi" w:hAnsiTheme="minorHAnsi"/>
          <w:sz w:val="20"/>
        </w:rPr>
        <w:t>The</w:t>
      </w:r>
      <w:r w:rsidR="008C0F75" w:rsidRPr="00687531">
        <w:rPr>
          <w:rFonts w:asciiTheme="minorHAnsi" w:hAnsiTheme="minorHAnsi"/>
          <w:sz w:val="20"/>
        </w:rPr>
        <w:t xml:space="preserve"> </w:t>
      </w:r>
      <w:r w:rsidRPr="00687531">
        <w:rPr>
          <w:rFonts w:asciiTheme="minorHAnsi" w:hAnsiTheme="minorHAnsi"/>
          <w:sz w:val="20"/>
        </w:rPr>
        <w:t xml:space="preserve">consultations </w:t>
      </w:r>
      <w:r w:rsidR="008C0F75" w:rsidRPr="00687531">
        <w:rPr>
          <w:rFonts w:asciiTheme="minorHAnsi" w:hAnsiTheme="minorHAnsi"/>
          <w:sz w:val="20"/>
        </w:rPr>
        <w:t xml:space="preserve">were used </w:t>
      </w:r>
      <w:r w:rsidRPr="00687531">
        <w:rPr>
          <w:rFonts w:asciiTheme="minorHAnsi" w:hAnsiTheme="minorHAnsi"/>
          <w:sz w:val="20"/>
        </w:rPr>
        <w:t xml:space="preserve">to </w:t>
      </w:r>
      <w:r w:rsidR="0014205C" w:rsidRPr="00687531">
        <w:rPr>
          <w:rFonts w:asciiTheme="minorHAnsi" w:hAnsiTheme="minorHAnsi"/>
          <w:sz w:val="20"/>
        </w:rPr>
        <w:t xml:space="preserve">explore the project experience of each key informant, as well as delve deeper into </w:t>
      </w:r>
      <w:r w:rsidR="009B089B" w:rsidRPr="00687531">
        <w:rPr>
          <w:rFonts w:asciiTheme="minorHAnsi" w:hAnsiTheme="minorHAnsi"/>
          <w:sz w:val="20"/>
        </w:rPr>
        <w:t xml:space="preserve">the </w:t>
      </w:r>
      <w:r w:rsidR="006040DA" w:rsidRPr="00687531">
        <w:rPr>
          <w:rFonts w:asciiTheme="minorHAnsi" w:hAnsiTheme="minorHAnsi"/>
          <w:sz w:val="20"/>
        </w:rPr>
        <w:t xml:space="preserve">emergent </w:t>
      </w:r>
      <w:r w:rsidR="009B089B" w:rsidRPr="00687531">
        <w:rPr>
          <w:rFonts w:asciiTheme="minorHAnsi" w:hAnsiTheme="minorHAnsi"/>
          <w:sz w:val="20"/>
        </w:rPr>
        <w:t xml:space="preserve">issues and themes </w:t>
      </w:r>
      <w:r w:rsidR="006040DA" w:rsidRPr="00687531">
        <w:rPr>
          <w:rFonts w:asciiTheme="minorHAnsi" w:hAnsiTheme="minorHAnsi"/>
          <w:sz w:val="20"/>
        </w:rPr>
        <w:t>of</w:t>
      </w:r>
      <w:r w:rsidR="009B089B" w:rsidRPr="00687531">
        <w:rPr>
          <w:rFonts w:asciiTheme="minorHAnsi" w:hAnsiTheme="minorHAnsi"/>
          <w:sz w:val="20"/>
        </w:rPr>
        <w:t xml:space="preserve"> the desk review.</w:t>
      </w:r>
    </w:p>
    <w:p w14:paraId="5A4599F6" w14:textId="462E558C" w:rsidR="0033787D" w:rsidRDefault="007E27FC" w:rsidP="003D7479">
      <w:pPr>
        <w:pStyle w:val="Reporttext"/>
        <w:spacing w:after="120" w:line="259" w:lineRule="auto"/>
      </w:pPr>
      <w:r>
        <w:rPr>
          <w:rFonts w:asciiTheme="minorHAnsi" w:hAnsiTheme="minorHAnsi"/>
          <w:sz w:val="20"/>
        </w:rPr>
        <w:t>C</w:t>
      </w:r>
      <w:r w:rsidR="00EB2379">
        <w:rPr>
          <w:rFonts w:asciiTheme="minorHAnsi" w:hAnsiTheme="minorHAnsi"/>
          <w:sz w:val="20"/>
        </w:rPr>
        <w:t xml:space="preserve">onsultations were </w:t>
      </w:r>
      <w:r w:rsidR="00C55BC9">
        <w:rPr>
          <w:rFonts w:asciiTheme="minorHAnsi" w:hAnsiTheme="minorHAnsi"/>
          <w:sz w:val="20"/>
        </w:rPr>
        <w:t xml:space="preserve">held with </w:t>
      </w:r>
      <w:r w:rsidR="006923E4">
        <w:rPr>
          <w:rFonts w:asciiTheme="minorHAnsi" w:hAnsiTheme="minorHAnsi"/>
          <w:sz w:val="20"/>
        </w:rPr>
        <w:t>40 stakeholders, comprising 18 women and 22 me</w:t>
      </w:r>
      <w:r w:rsidR="003F5C41">
        <w:rPr>
          <w:rFonts w:asciiTheme="minorHAnsi" w:hAnsiTheme="minorHAnsi"/>
          <w:sz w:val="20"/>
        </w:rPr>
        <w:t>n</w:t>
      </w:r>
      <w:r w:rsidR="00E005E2">
        <w:rPr>
          <w:rFonts w:asciiTheme="minorHAnsi" w:hAnsiTheme="minorHAnsi"/>
          <w:sz w:val="20"/>
        </w:rPr>
        <w:t xml:space="preserve">. Exhibit </w:t>
      </w:r>
      <w:r w:rsidR="00C62C97">
        <w:rPr>
          <w:rFonts w:asciiTheme="minorHAnsi" w:hAnsiTheme="minorHAnsi"/>
          <w:sz w:val="20"/>
        </w:rPr>
        <w:t>9</w:t>
      </w:r>
      <w:r w:rsidR="00311408">
        <w:rPr>
          <w:rFonts w:asciiTheme="minorHAnsi" w:hAnsiTheme="minorHAnsi"/>
          <w:sz w:val="20"/>
        </w:rPr>
        <w:t xml:space="preserve"> provides an overview of </w:t>
      </w:r>
      <w:r w:rsidR="00E2592E">
        <w:rPr>
          <w:rFonts w:asciiTheme="minorHAnsi" w:hAnsiTheme="minorHAnsi"/>
          <w:sz w:val="20"/>
        </w:rPr>
        <w:t xml:space="preserve">the </w:t>
      </w:r>
      <w:r w:rsidR="00311408">
        <w:rPr>
          <w:rFonts w:asciiTheme="minorHAnsi" w:hAnsiTheme="minorHAnsi"/>
          <w:sz w:val="20"/>
        </w:rPr>
        <w:t>st</w:t>
      </w:r>
      <w:r w:rsidR="00FE0371">
        <w:rPr>
          <w:rFonts w:asciiTheme="minorHAnsi" w:hAnsiTheme="minorHAnsi"/>
          <w:sz w:val="20"/>
        </w:rPr>
        <w:t>a</w:t>
      </w:r>
      <w:r w:rsidR="00311408">
        <w:rPr>
          <w:rFonts w:asciiTheme="minorHAnsi" w:hAnsiTheme="minorHAnsi"/>
          <w:sz w:val="20"/>
        </w:rPr>
        <w:t>keholder</w:t>
      </w:r>
      <w:r w:rsidR="00E2592E">
        <w:rPr>
          <w:rFonts w:asciiTheme="minorHAnsi" w:hAnsiTheme="minorHAnsi"/>
          <w:sz w:val="20"/>
        </w:rPr>
        <w:t xml:space="preserve">s who were </w:t>
      </w:r>
      <w:r w:rsidR="00D5644B">
        <w:rPr>
          <w:rFonts w:asciiTheme="minorHAnsi" w:hAnsiTheme="minorHAnsi"/>
          <w:sz w:val="20"/>
        </w:rPr>
        <w:t>engaged during key informant consultations</w:t>
      </w:r>
      <w:r w:rsidR="007D438E">
        <w:rPr>
          <w:rFonts w:asciiTheme="minorHAnsi" w:hAnsiTheme="minorHAnsi"/>
          <w:sz w:val="20"/>
        </w:rPr>
        <w:t>.</w:t>
      </w:r>
      <w:r w:rsidR="005C556D">
        <w:rPr>
          <w:rFonts w:asciiTheme="minorHAnsi" w:hAnsiTheme="minorHAnsi"/>
          <w:sz w:val="20"/>
        </w:rPr>
        <w:t xml:space="preserve"> The</w:t>
      </w:r>
      <w:r w:rsidR="0051640A">
        <w:rPr>
          <w:rFonts w:asciiTheme="minorHAnsi" w:hAnsiTheme="minorHAnsi"/>
          <w:sz w:val="20"/>
        </w:rPr>
        <w:t xml:space="preserve"> names and designations of these stakeholders are provided in Annex</w:t>
      </w:r>
      <w:r w:rsidR="00687531">
        <w:rPr>
          <w:rFonts w:asciiTheme="minorHAnsi" w:hAnsiTheme="minorHAnsi"/>
          <w:sz w:val="20"/>
        </w:rPr>
        <w:t xml:space="preserve"> 7.</w:t>
      </w:r>
      <w:r w:rsidR="0033787D">
        <w:rPr>
          <w:rFonts w:asciiTheme="minorHAnsi" w:hAnsiTheme="minorHAnsi"/>
          <w:sz w:val="20"/>
        </w:rPr>
        <w:t xml:space="preserve"> </w:t>
      </w:r>
    </w:p>
    <w:p w14:paraId="125D28C9" w14:textId="183900C3" w:rsidR="0033787D" w:rsidRPr="00D12632" w:rsidRDefault="0033787D" w:rsidP="0033787D">
      <w:pPr>
        <w:pStyle w:val="Caption"/>
        <w:spacing w:before="120"/>
      </w:pPr>
      <w:bookmarkStart w:id="29" w:name="_Toc210730342"/>
      <w:r w:rsidRPr="00D12632">
        <w:t xml:space="preserve">Exhibit </w:t>
      </w:r>
      <w:r w:rsidRPr="00D12632">
        <w:fldChar w:fldCharType="begin"/>
      </w:r>
      <w:r w:rsidRPr="00D12632">
        <w:instrText xml:space="preserve"> SEQ Table \* ARABIC </w:instrText>
      </w:r>
      <w:r w:rsidRPr="00D12632">
        <w:fldChar w:fldCharType="separate"/>
      </w:r>
      <w:r w:rsidR="00C62C97">
        <w:rPr>
          <w:noProof/>
        </w:rPr>
        <w:t>9</w:t>
      </w:r>
      <w:r w:rsidRPr="00D12632">
        <w:fldChar w:fldCharType="end"/>
      </w:r>
      <w:r w:rsidRPr="00D12632">
        <w:t xml:space="preserve"> </w:t>
      </w:r>
      <w:r>
        <w:t>Overview of stakeholder engagement</w:t>
      </w:r>
      <w:bookmarkEnd w:id="29"/>
    </w:p>
    <w:tbl>
      <w:tblPr>
        <w:tblStyle w:val="BlueTable"/>
        <w:tblW w:w="5006" w:type="pct"/>
        <w:jc w:val="center"/>
        <w:tblLook w:val="04A0" w:firstRow="1" w:lastRow="0" w:firstColumn="1" w:lastColumn="0" w:noHBand="0" w:noVBand="1"/>
      </w:tblPr>
      <w:tblGrid>
        <w:gridCol w:w="1366"/>
        <w:gridCol w:w="1589"/>
        <w:gridCol w:w="1680"/>
      </w:tblGrid>
      <w:tr w:rsidR="00A461BA" w:rsidRPr="00041EA7" w14:paraId="7432361D" w14:textId="77777777" w:rsidTr="0033787D">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366" w:type="dxa"/>
          </w:tcPr>
          <w:p w14:paraId="1BF93897" w14:textId="3286839B" w:rsidR="00A461BA" w:rsidRPr="00D12632" w:rsidRDefault="00F454BA" w:rsidP="000910D6">
            <w:r>
              <w:t>Affili</w:t>
            </w:r>
            <w:r w:rsidR="00782DB6">
              <w:t>ation</w:t>
            </w:r>
          </w:p>
        </w:tc>
        <w:tc>
          <w:tcPr>
            <w:tcW w:w="1589" w:type="dxa"/>
          </w:tcPr>
          <w:p w14:paraId="0CF0388B" w14:textId="17CE381E" w:rsidR="00A461BA" w:rsidRPr="00D12632" w:rsidRDefault="00782DB6" w:rsidP="00322552">
            <w:pPr>
              <w:jc w:val="center"/>
              <w:cnfStyle w:val="100000000000" w:firstRow="1" w:lastRow="0" w:firstColumn="0" w:lastColumn="0" w:oddVBand="0" w:evenVBand="0" w:oddHBand="0" w:evenHBand="0" w:firstRowFirstColumn="0" w:firstRowLastColumn="0" w:lastRowFirstColumn="0" w:lastRowLastColumn="0"/>
            </w:pPr>
            <w:r>
              <w:t>No. of stakeholders</w:t>
            </w:r>
          </w:p>
        </w:tc>
        <w:tc>
          <w:tcPr>
            <w:tcW w:w="1680" w:type="dxa"/>
          </w:tcPr>
          <w:p w14:paraId="42FCB82C" w14:textId="22A08565" w:rsidR="00A461BA" w:rsidRPr="00D12632" w:rsidRDefault="00782DB6" w:rsidP="00322552">
            <w:pPr>
              <w:jc w:val="center"/>
              <w:cnfStyle w:val="100000000000" w:firstRow="1" w:lastRow="0" w:firstColumn="0" w:lastColumn="0" w:oddVBand="0" w:evenVBand="0" w:oddHBand="0" w:evenHBand="0" w:firstRowFirstColumn="0" w:firstRowLastColumn="0" w:lastRowFirstColumn="0" w:lastRowLastColumn="0"/>
            </w:pPr>
            <w:r>
              <w:t>Sex</w:t>
            </w:r>
          </w:p>
        </w:tc>
      </w:tr>
      <w:tr w:rsidR="00322552" w:rsidRPr="00041EA7" w14:paraId="39E6A17D"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2B2B5EF5" w14:textId="35D70CD8" w:rsidR="00322552" w:rsidRPr="00884EEC" w:rsidRDefault="00322552" w:rsidP="00322552">
            <w:pPr>
              <w:pStyle w:val="Normal-sizedTableBullets"/>
              <w:numPr>
                <w:ilvl w:val="0"/>
                <w:numId w:val="0"/>
              </w:numPr>
              <w:spacing w:before="60" w:after="60"/>
              <w:ind w:left="132"/>
              <w:jc w:val="center"/>
            </w:pPr>
            <w:r>
              <w:t>Target beneficiaries</w:t>
            </w:r>
            <w:r w:rsidR="000C7658">
              <w:t xml:space="preserve"> </w:t>
            </w:r>
            <w:r w:rsidR="00CB579B">
              <w:t xml:space="preserve">14; </w:t>
            </w:r>
            <w:r w:rsidR="0008330F">
              <w:t>7 females, 7 males)</w:t>
            </w:r>
          </w:p>
        </w:tc>
      </w:tr>
      <w:tr w:rsidR="00322552" w:rsidRPr="00041EA7" w14:paraId="685B808F"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6B4F9D89" w14:textId="0E2B5117" w:rsidR="00322552" w:rsidRPr="00884EEC" w:rsidRDefault="00322552" w:rsidP="00322552">
            <w:pPr>
              <w:pStyle w:val="Normal-sizedTableBullets"/>
              <w:numPr>
                <w:ilvl w:val="0"/>
                <w:numId w:val="0"/>
              </w:numPr>
              <w:spacing w:before="60" w:after="60"/>
            </w:pPr>
            <w:r>
              <w:t>Africa:</w:t>
            </w:r>
          </w:p>
        </w:tc>
      </w:tr>
      <w:tr w:rsidR="00A461BA" w:rsidRPr="00041EA7" w14:paraId="0CE25585"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4E4D9287" w14:textId="4CC460D7" w:rsidR="00A461BA" w:rsidRPr="006C2152" w:rsidRDefault="00A461BA" w:rsidP="000910D6">
            <w:pPr>
              <w:rPr>
                <w:b w:val="0"/>
                <w:bCs/>
              </w:rPr>
            </w:pPr>
            <w:r w:rsidRPr="006C2152">
              <w:rPr>
                <w:b w:val="0"/>
                <w:bCs/>
              </w:rPr>
              <w:t>Burkina Faso</w:t>
            </w:r>
          </w:p>
        </w:tc>
        <w:tc>
          <w:tcPr>
            <w:tcW w:w="1589" w:type="dxa"/>
          </w:tcPr>
          <w:p w14:paraId="0731BA35" w14:textId="165C9CE8" w:rsidR="00A461BA" w:rsidRDefault="00A461BA"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10FB1F09" w14:textId="737AA8E9" w:rsidR="00A461BA" w:rsidRPr="00884EEC" w:rsidRDefault="00E048C6"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192BCC">
              <w:t>ale</w:t>
            </w:r>
          </w:p>
        </w:tc>
      </w:tr>
      <w:tr w:rsidR="00A461BA" w:rsidRPr="00041EA7" w14:paraId="77070C7E"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114721F2" w14:textId="20BF57AF" w:rsidR="00A461BA" w:rsidRPr="006C2152" w:rsidRDefault="00A461BA" w:rsidP="000910D6">
            <w:pPr>
              <w:rPr>
                <w:b w:val="0"/>
                <w:bCs/>
              </w:rPr>
            </w:pPr>
            <w:r w:rsidRPr="006C2152">
              <w:rPr>
                <w:b w:val="0"/>
                <w:bCs/>
              </w:rPr>
              <w:t>Zambia</w:t>
            </w:r>
          </w:p>
        </w:tc>
        <w:tc>
          <w:tcPr>
            <w:tcW w:w="1589" w:type="dxa"/>
          </w:tcPr>
          <w:p w14:paraId="4C11F718" w14:textId="4DA4242B" w:rsidR="00A461BA" w:rsidRDefault="00A461BA"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70EE0A1E" w14:textId="26E70057" w:rsidR="00A461BA" w:rsidRPr="00884EEC" w:rsidRDefault="00E048C6"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9044C1">
              <w:t>ale</w:t>
            </w:r>
          </w:p>
        </w:tc>
      </w:tr>
      <w:tr w:rsidR="00322552" w:rsidRPr="00041EA7" w14:paraId="439C548B"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746E3962" w14:textId="45601B74" w:rsidR="00322552" w:rsidRPr="00884EEC" w:rsidRDefault="00322552" w:rsidP="00322552">
            <w:pPr>
              <w:pStyle w:val="Normal-sizedTableBullets"/>
              <w:numPr>
                <w:ilvl w:val="0"/>
                <w:numId w:val="0"/>
              </w:numPr>
              <w:spacing w:before="60" w:after="60"/>
            </w:pPr>
            <w:r>
              <w:t>Asia and the Pacific:</w:t>
            </w:r>
          </w:p>
        </w:tc>
      </w:tr>
      <w:tr w:rsidR="00A461BA" w:rsidRPr="00041EA7" w14:paraId="387FE5C3"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1451DC80" w14:textId="3458924F" w:rsidR="00A461BA" w:rsidRPr="00937AB7" w:rsidRDefault="009044C1" w:rsidP="000910D6">
            <w:pPr>
              <w:rPr>
                <w:b w:val="0"/>
                <w:bCs/>
              </w:rPr>
            </w:pPr>
            <w:r w:rsidRPr="00937AB7">
              <w:rPr>
                <w:b w:val="0"/>
                <w:bCs/>
              </w:rPr>
              <w:t>Pakistan</w:t>
            </w:r>
          </w:p>
        </w:tc>
        <w:tc>
          <w:tcPr>
            <w:tcW w:w="1589" w:type="dxa"/>
          </w:tcPr>
          <w:p w14:paraId="783BE14B" w14:textId="2E888E70" w:rsidR="00A461BA" w:rsidRPr="00884EEC" w:rsidRDefault="009044C1"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2384CB81" w14:textId="6C8BCA8F" w:rsidR="00A461BA" w:rsidRPr="00884EEC" w:rsidRDefault="009044C1" w:rsidP="00156FD8">
            <w:pPr>
              <w:pStyle w:val="Normal-sizedTableBullets"/>
              <w:numPr>
                <w:ilvl w:val="0"/>
                <w:numId w:val="0"/>
              </w:numPr>
              <w:spacing w:before="60" w:after="60"/>
              <w:jc w:val="center"/>
              <w:cnfStyle w:val="000000000000" w:firstRow="0" w:lastRow="0" w:firstColumn="0" w:lastColumn="0" w:oddVBand="0" w:evenVBand="0" w:oddHBand="0" w:evenHBand="0" w:firstRowFirstColumn="0" w:firstRowLastColumn="0" w:lastRowFirstColumn="0" w:lastRowLastColumn="0"/>
            </w:pPr>
            <w:r>
              <w:t xml:space="preserve">1 </w:t>
            </w:r>
            <w:r w:rsidR="00E048C6">
              <w:t>f</w:t>
            </w:r>
            <w:r w:rsidR="00E54BD1">
              <w:t>em</w:t>
            </w:r>
            <w:r>
              <w:t>ale</w:t>
            </w:r>
            <w:r w:rsidR="00156FD8">
              <w:t xml:space="preserve">/ </w:t>
            </w:r>
            <w:r>
              <w:t xml:space="preserve">1 </w:t>
            </w:r>
            <w:r w:rsidR="00E048C6">
              <w:t>m</w:t>
            </w:r>
            <w:r>
              <w:t>ale</w:t>
            </w:r>
          </w:p>
        </w:tc>
      </w:tr>
      <w:tr w:rsidR="009044C1" w:rsidRPr="00041EA7" w14:paraId="01D0BD6C"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56E7D27F" w14:textId="2424B034" w:rsidR="009044C1" w:rsidRPr="00937AB7" w:rsidRDefault="009044C1" w:rsidP="000910D6">
            <w:pPr>
              <w:rPr>
                <w:b w:val="0"/>
                <w:bCs/>
              </w:rPr>
            </w:pPr>
            <w:r w:rsidRPr="00937AB7">
              <w:rPr>
                <w:b w:val="0"/>
                <w:bCs/>
              </w:rPr>
              <w:t>Samoa</w:t>
            </w:r>
          </w:p>
        </w:tc>
        <w:tc>
          <w:tcPr>
            <w:tcW w:w="1589" w:type="dxa"/>
          </w:tcPr>
          <w:p w14:paraId="168331F9" w14:textId="05C5CAA7" w:rsidR="009044C1" w:rsidRPr="00884EEC" w:rsidRDefault="00937AB7"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4220DD25" w14:textId="31E41282" w:rsidR="009044C1" w:rsidRPr="00884EEC" w:rsidRDefault="00E048C6" w:rsidP="008C4092">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937AB7">
              <w:t>ale</w:t>
            </w:r>
          </w:p>
        </w:tc>
      </w:tr>
      <w:tr w:rsidR="00156FD8" w:rsidRPr="00041EA7" w14:paraId="3F1A49EF"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651A5ACD" w14:textId="1A53F4D9" w:rsidR="00156FD8" w:rsidRPr="00884EEC" w:rsidRDefault="00156FD8" w:rsidP="00156FD8">
            <w:pPr>
              <w:pStyle w:val="Normal-sizedTableBullets"/>
              <w:numPr>
                <w:ilvl w:val="0"/>
                <w:numId w:val="0"/>
              </w:numPr>
              <w:spacing w:before="60" w:after="60"/>
            </w:pPr>
            <w:r>
              <w:t>Europe:</w:t>
            </w:r>
          </w:p>
        </w:tc>
      </w:tr>
      <w:tr w:rsidR="00937AB7" w:rsidRPr="00041EA7" w14:paraId="607BCCF7"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1AB88E1E" w14:textId="10D012E5" w:rsidR="00937AB7" w:rsidRPr="00C524BA" w:rsidRDefault="00937AB7" w:rsidP="000910D6">
            <w:pPr>
              <w:rPr>
                <w:b w:val="0"/>
                <w:bCs/>
              </w:rPr>
            </w:pPr>
            <w:r w:rsidRPr="00C524BA">
              <w:rPr>
                <w:b w:val="0"/>
                <w:bCs/>
              </w:rPr>
              <w:t>Bel</w:t>
            </w:r>
            <w:r w:rsidR="00156FD8">
              <w:rPr>
                <w:b w:val="0"/>
                <w:bCs/>
              </w:rPr>
              <w:t>arus</w:t>
            </w:r>
          </w:p>
        </w:tc>
        <w:tc>
          <w:tcPr>
            <w:tcW w:w="1589" w:type="dxa"/>
          </w:tcPr>
          <w:p w14:paraId="3530E1ED" w14:textId="2B54577D" w:rsidR="00937AB7" w:rsidRPr="00884EEC" w:rsidRDefault="00C524BA" w:rsidP="00156FD8">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2F581073" w14:textId="39BAAF89" w:rsidR="00937AB7" w:rsidRPr="00884EEC" w:rsidRDefault="00E048C6" w:rsidP="00156FD8">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f</w:t>
            </w:r>
            <w:r w:rsidR="00C524BA">
              <w:t>emale</w:t>
            </w:r>
          </w:p>
        </w:tc>
      </w:tr>
      <w:tr w:rsidR="00937AB7" w:rsidRPr="00041EA7" w14:paraId="025D5D74"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0CE88E4B" w14:textId="548FCA65" w:rsidR="00937AB7" w:rsidRPr="00C524BA" w:rsidRDefault="00C524BA" w:rsidP="000910D6">
            <w:pPr>
              <w:rPr>
                <w:b w:val="0"/>
                <w:bCs/>
              </w:rPr>
            </w:pPr>
            <w:r w:rsidRPr="00C524BA">
              <w:rPr>
                <w:b w:val="0"/>
                <w:bCs/>
              </w:rPr>
              <w:t>Kyrgyzstan</w:t>
            </w:r>
          </w:p>
        </w:tc>
        <w:tc>
          <w:tcPr>
            <w:tcW w:w="1589" w:type="dxa"/>
          </w:tcPr>
          <w:p w14:paraId="50A79435" w14:textId="5DAD253C" w:rsidR="00937AB7" w:rsidRPr="00884EEC" w:rsidRDefault="00C524BA" w:rsidP="00156FD8">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47EDA19A" w14:textId="211AC5BC" w:rsidR="00937AB7" w:rsidRPr="00884EEC" w:rsidRDefault="00E048C6" w:rsidP="00156FD8">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C524BA">
              <w:t>ale</w:t>
            </w:r>
          </w:p>
        </w:tc>
      </w:tr>
      <w:tr w:rsidR="00156FD8" w:rsidRPr="00041EA7" w14:paraId="33D71475"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4F16AC26" w14:textId="212E5910" w:rsidR="00156FD8" w:rsidRPr="00884EEC" w:rsidRDefault="00156FD8" w:rsidP="00156FD8">
            <w:pPr>
              <w:pStyle w:val="Normal-sizedTableBullets"/>
              <w:numPr>
                <w:ilvl w:val="0"/>
                <w:numId w:val="0"/>
              </w:numPr>
              <w:spacing w:before="60" w:after="60"/>
            </w:pPr>
            <w:r>
              <w:t>Latin America and the Caribbean:</w:t>
            </w:r>
          </w:p>
        </w:tc>
      </w:tr>
      <w:tr w:rsidR="00C524BA" w:rsidRPr="00041EA7" w14:paraId="69794380"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2282E2F3" w14:textId="061F222F" w:rsidR="00C524BA" w:rsidRPr="00C67EF3" w:rsidRDefault="00C67EF3" w:rsidP="000910D6">
            <w:pPr>
              <w:rPr>
                <w:b w:val="0"/>
                <w:bCs/>
              </w:rPr>
            </w:pPr>
            <w:r w:rsidRPr="00C67EF3">
              <w:rPr>
                <w:b w:val="0"/>
                <w:bCs/>
              </w:rPr>
              <w:t>Costa Rica</w:t>
            </w:r>
          </w:p>
        </w:tc>
        <w:tc>
          <w:tcPr>
            <w:tcW w:w="1589" w:type="dxa"/>
          </w:tcPr>
          <w:p w14:paraId="124957E7" w14:textId="4DAD1698" w:rsidR="00C524BA" w:rsidRPr="00884EEC" w:rsidRDefault="00FC3790" w:rsidP="00FC3790">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22BDE14E" w14:textId="4B029A84" w:rsidR="00C524BA" w:rsidRPr="00884EEC" w:rsidRDefault="00E048C6" w:rsidP="00FC3790">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FC3790">
              <w:t>ale</w:t>
            </w:r>
          </w:p>
        </w:tc>
      </w:tr>
      <w:tr w:rsidR="00A461BA" w:rsidRPr="00041EA7" w14:paraId="60D29476"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574A1A3E" w14:textId="39533B0D" w:rsidR="00A461BA" w:rsidRPr="00C67EF3" w:rsidRDefault="00C67EF3" w:rsidP="000910D6">
            <w:pPr>
              <w:rPr>
                <w:b w:val="0"/>
                <w:bCs/>
              </w:rPr>
            </w:pPr>
            <w:r w:rsidRPr="00C67EF3">
              <w:rPr>
                <w:b w:val="0"/>
                <w:bCs/>
              </w:rPr>
              <w:t>Dominican Republic</w:t>
            </w:r>
          </w:p>
        </w:tc>
        <w:tc>
          <w:tcPr>
            <w:tcW w:w="1589" w:type="dxa"/>
          </w:tcPr>
          <w:p w14:paraId="5C188DC4" w14:textId="748E8BA4" w:rsidR="00A461BA" w:rsidRPr="00884EEC" w:rsidRDefault="00FC3790" w:rsidP="00FC3790">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50DD9CBB" w14:textId="07DBDF90" w:rsidR="00A461BA" w:rsidRPr="00884EEC" w:rsidRDefault="00E048C6" w:rsidP="00FC3790">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f</w:t>
            </w:r>
            <w:r w:rsidR="00FC3790">
              <w:t>emale</w:t>
            </w:r>
          </w:p>
        </w:tc>
      </w:tr>
      <w:tr w:rsidR="00DD4E9D" w:rsidRPr="00041EA7" w14:paraId="4128EAC3"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279CB06C" w14:textId="329ABA89" w:rsidR="00DD4E9D" w:rsidRPr="00884EEC" w:rsidRDefault="00DD4E9D" w:rsidP="00DD4E9D">
            <w:pPr>
              <w:pStyle w:val="Normal-sizedTableBullets"/>
              <w:numPr>
                <w:ilvl w:val="0"/>
                <w:numId w:val="0"/>
              </w:numPr>
              <w:spacing w:before="60" w:after="60"/>
              <w:ind w:left="170" w:hanging="170"/>
            </w:pPr>
            <w:r>
              <w:t>Western Asia:</w:t>
            </w:r>
          </w:p>
        </w:tc>
      </w:tr>
      <w:tr w:rsidR="00A461BA" w:rsidRPr="00041EA7" w14:paraId="1EEE3376"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177CFA5C" w14:textId="30771A96" w:rsidR="00A461BA" w:rsidRPr="00792F4E" w:rsidRDefault="00FC3790" w:rsidP="000910D6">
            <w:pPr>
              <w:rPr>
                <w:b w:val="0"/>
                <w:bCs/>
              </w:rPr>
            </w:pPr>
            <w:r w:rsidRPr="00792F4E">
              <w:rPr>
                <w:b w:val="0"/>
                <w:bCs/>
              </w:rPr>
              <w:t>E</w:t>
            </w:r>
            <w:r w:rsidR="00DD4E9D" w:rsidRPr="00792F4E">
              <w:rPr>
                <w:b w:val="0"/>
                <w:bCs/>
              </w:rPr>
              <w:t>gypt</w:t>
            </w:r>
          </w:p>
        </w:tc>
        <w:tc>
          <w:tcPr>
            <w:tcW w:w="1589" w:type="dxa"/>
          </w:tcPr>
          <w:p w14:paraId="41243AC6" w14:textId="6443C56E" w:rsidR="00A461BA" w:rsidRPr="00884EEC" w:rsidRDefault="00DD4E9D" w:rsidP="00DD4E9D">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4</w:t>
            </w:r>
          </w:p>
        </w:tc>
        <w:tc>
          <w:tcPr>
            <w:tcW w:w="1680" w:type="dxa"/>
          </w:tcPr>
          <w:p w14:paraId="309D55B8" w14:textId="38B0799B" w:rsidR="00A461BA" w:rsidRPr="00884EEC" w:rsidRDefault="00FF7F0C" w:rsidP="00DD4E9D">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f</w:t>
            </w:r>
            <w:r w:rsidR="00DD4E9D">
              <w:t>emale</w:t>
            </w:r>
          </w:p>
        </w:tc>
      </w:tr>
      <w:tr w:rsidR="00A87C3B" w:rsidRPr="00041EA7" w14:paraId="646E5B4A"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529CCCEC" w14:textId="1D78942E" w:rsidR="00A87C3B" w:rsidRPr="00884EEC" w:rsidRDefault="00A87C3B" w:rsidP="00E54BD1">
            <w:pPr>
              <w:pStyle w:val="Normal-sizedTableBullets"/>
              <w:numPr>
                <w:ilvl w:val="0"/>
                <w:numId w:val="0"/>
              </w:numPr>
              <w:spacing w:before="60" w:after="60"/>
              <w:ind w:left="170" w:hanging="170"/>
              <w:jc w:val="center"/>
            </w:pPr>
            <w:r>
              <w:t>Executing Entities</w:t>
            </w:r>
            <w:r w:rsidR="00D36676">
              <w:t xml:space="preserve"> (</w:t>
            </w:r>
            <w:r w:rsidR="00E863CB">
              <w:t xml:space="preserve">24; </w:t>
            </w:r>
            <w:r w:rsidR="000F45CC">
              <w:t>1</w:t>
            </w:r>
            <w:r w:rsidR="00C1364F">
              <w:t>0</w:t>
            </w:r>
            <w:r w:rsidR="00D36676">
              <w:t xml:space="preserve"> females/ 1</w:t>
            </w:r>
            <w:r w:rsidR="000F45CC">
              <w:t>4</w:t>
            </w:r>
            <w:r w:rsidR="00D36676">
              <w:t xml:space="preserve"> Males)</w:t>
            </w:r>
          </w:p>
        </w:tc>
      </w:tr>
      <w:tr w:rsidR="00965A19" w:rsidRPr="00041EA7" w14:paraId="0357E226"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49411E35" w14:textId="4FFB2CB4" w:rsidR="00965A19" w:rsidRPr="00A87C3B" w:rsidRDefault="00965A19" w:rsidP="000910D6">
            <w:pPr>
              <w:rPr>
                <w:b w:val="0"/>
                <w:bCs/>
              </w:rPr>
            </w:pPr>
            <w:r>
              <w:rPr>
                <w:b w:val="0"/>
                <w:bCs/>
              </w:rPr>
              <w:t>UNDESA</w:t>
            </w:r>
          </w:p>
        </w:tc>
        <w:tc>
          <w:tcPr>
            <w:tcW w:w="1589" w:type="dxa"/>
          </w:tcPr>
          <w:p w14:paraId="6230B9B5" w14:textId="0E5126B8" w:rsidR="00965A19" w:rsidRDefault="00E048C6"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7</w:t>
            </w:r>
          </w:p>
        </w:tc>
        <w:tc>
          <w:tcPr>
            <w:tcW w:w="1680" w:type="dxa"/>
          </w:tcPr>
          <w:p w14:paraId="02514886" w14:textId="2BB1EF2B" w:rsidR="00965A19" w:rsidRDefault="00E048C6"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 xml:space="preserve">4 </w:t>
            </w:r>
            <w:r w:rsidR="00FF7F0C">
              <w:t>f</w:t>
            </w:r>
            <w:r>
              <w:t xml:space="preserve">emales/ 3 </w:t>
            </w:r>
            <w:r w:rsidR="00FF7F0C">
              <w:t>m</w:t>
            </w:r>
            <w:r>
              <w:t>ales</w:t>
            </w:r>
          </w:p>
        </w:tc>
      </w:tr>
      <w:tr w:rsidR="00A461BA" w:rsidRPr="00041EA7" w14:paraId="6CA3F2E7"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40190456" w14:textId="375582A7" w:rsidR="00A461BA" w:rsidRPr="00A87C3B" w:rsidRDefault="006502B9" w:rsidP="000910D6">
            <w:pPr>
              <w:rPr>
                <w:b w:val="0"/>
                <w:bCs/>
              </w:rPr>
            </w:pPr>
            <w:r w:rsidRPr="00A87C3B">
              <w:rPr>
                <w:b w:val="0"/>
                <w:bCs/>
              </w:rPr>
              <w:t>UNECA</w:t>
            </w:r>
          </w:p>
        </w:tc>
        <w:tc>
          <w:tcPr>
            <w:tcW w:w="1589" w:type="dxa"/>
          </w:tcPr>
          <w:p w14:paraId="2A20667F" w14:textId="7FC8C170" w:rsidR="00A461BA" w:rsidRPr="00041EA7" w:rsidRDefault="000E2ED3"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4</w:t>
            </w:r>
          </w:p>
        </w:tc>
        <w:tc>
          <w:tcPr>
            <w:tcW w:w="1680" w:type="dxa"/>
          </w:tcPr>
          <w:p w14:paraId="4DEF33D3" w14:textId="00752786" w:rsidR="00A461BA" w:rsidRPr="00041EA7" w:rsidRDefault="00FE33C7"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 xml:space="preserve">2 </w:t>
            </w:r>
            <w:r w:rsidR="00FF7F0C">
              <w:t>f</w:t>
            </w:r>
            <w:r w:rsidR="000C2AE6">
              <w:t>ema</w:t>
            </w:r>
            <w:r>
              <w:t xml:space="preserve">les/ </w:t>
            </w:r>
            <w:r w:rsidR="00F714F4">
              <w:t xml:space="preserve">2 </w:t>
            </w:r>
            <w:r w:rsidR="00FF7F0C">
              <w:t>m</w:t>
            </w:r>
            <w:r w:rsidR="00F714F4">
              <w:t>ales</w:t>
            </w:r>
          </w:p>
        </w:tc>
      </w:tr>
      <w:tr w:rsidR="006502B9" w:rsidRPr="00041EA7" w14:paraId="1E6BE3EA"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2B687CA8" w14:textId="71A9CA63" w:rsidR="006502B9" w:rsidRPr="00A87C3B" w:rsidRDefault="006502B9" w:rsidP="000910D6">
            <w:pPr>
              <w:rPr>
                <w:b w:val="0"/>
                <w:bCs/>
              </w:rPr>
            </w:pPr>
            <w:r w:rsidRPr="00A87C3B">
              <w:rPr>
                <w:b w:val="0"/>
                <w:bCs/>
              </w:rPr>
              <w:t>UNECE</w:t>
            </w:r>
          </w:p>
        </w:tc>
        <w:tc>
          <w:tcPr>
            <w:tcW w:w="1589" w:type="dxa"/>
          </w:tcPr>
          <w:p w14:paraId="62830741" w14:textId="13F4ACC8" w:rsidR="006502B9" w:rsidRPr="00041EA7" w:rsidRDefault="00FE33C7"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57BA3ABA" w14:textId="437B3959" w:rsidR="006502B9" w:rsidRPr="00041EA7" w:rsidRDefault="00FF7F0C"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FE33C7">
              <w:t>ale</w:t>
            </w:r>
          </w:p>
        </w:tc>
      </w:tr>
      <w:tr w:rsidR="006502B9" w:rsidRPr="00041EA7" w14:paraId="74A5DFF7"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463FB828" w14:textId="27AB9DC9" w:rsidR="006502B9" w:rsidRPr="00A87C3B" w:rsidRDefault="00A87C3B" w:rsidP="000910D6">
            <w:pPr>
              <w:rPr>
                <w:b w:val="0"/>
                <w:bCs/>
              </w:rPr>
            </w:pPr>
            <w:r w:rsidRPr="00A87C3B">
              <w:rPr>
                <w:b w:val="0"/>
                <w:bCs/>
              </w:rPr>
              <w:t>UNECLAC</w:t>
            </w:r>
          </w:p>
        </w:tc>
        <w:tc>
          <w:tcPr>
            <w:tcW w:w="1589" w:type="dxa"/>
          </w:tcPr>
          <w:p w14:paraId="1588B791" w14:textId="2E3D226A" w:rsidR="006502B9" w:rsidRPr="00041EA7" w:rsidRDefault="00FE33C7"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3</w:t>
            </w:r>
          </w:p>
        </w:tc>
        <w:tc>
          <w:tcPr>
            <w:tcW w:w="1680" w:type="dxa"/>
          </w:tcPr>
          <w:p w14:paraId="38F6F1C5" w14:textId="5084C209" w:rsidR="006502B9" w:rsidRPr="00041EA7" w:rsidRDefault="00FF7F0C"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FE33C7">
              <w:t>ale</w:t>
            </w:r>
          </w:p>
        </w:tc>
      </w:tr>
      <w:tr w:rsidR="006502B9" w:rsidRPr="00041EA7" w14:paraId="4F5688B4"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529C805A" w14:textId="22E3F98F" w:rsidR="006502B9" w:rsidRPr="00A87C3B" w:rsidRDefault="00A87C3B" w:rsidP="000910D6">
            <w:pPr>
              <w:rPr>
                <w:b w:val="0"/>
                <w:bCs/>
              </w:rPr>
            </w:pPr>
            <w:r w:rsidRPr="00A87C3B">
              <w:rPr>
                <w:b w:val="0"/>
                <w:bCs/>
              </w:rPr>
              <w:t>UNESCAP</w:t>
            </w:r>
          </w:p>
        </w:tc>
        <w:tc>
          <w:tcPr>
            <w:tcW w:w="1589" w:type="dxa"/>
          </w:tcPr>
          <w:p w14:paraId="58F4CED1" w14:textId="740AC60C" w:rsidR="006502B9" w:rsidRPr="00041EA7" w:rsidRDefault="00FE33C7"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p>
        </w:tc>
        <w:tc>
          <w:tcPr>
            <w:tcW w:w="1680" w:type="dxa"/>
          </w:tcPr>
          <w:p w14:paraId="42AF04C3" w14:textId="06F3BDCF" w:rsidR="006502B9" w:rsidRPr="00041EA7" w:rsidRDefault="00FF7F0C"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m</w:t>
            </w:r>
            <w:r w:rsidR="00FE33C7">
              <w:t>ale</w:t>
            </w:r>
          </w:p>
        </w:tc>
      </w:tr>
      <w:tr w:rsidR="006502B9" w:rsidRPr="00041EA7" w14:paraId="0BCCFC63"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65DEFBB7" w14:textId="5BCE2628" w:rsidR="006502B9" w:rsidRPr="00A87C3B" w:rsidRDefault="00A87C3B" w:rsidP="000910D6">
            <w:pPr>
              <w:rPr>
                <w:b w:val="0"/>
                <w:bCs/>
              </w:rPr>
            </w:pPr>
            <w:r w:rsidRPr="00A87C3B">
              <w:rPr>
                <w:b w:val="0"/>
                <w:bCs/>
              </w:rPr>
              <w:t>UNESCWA</w:t>
            </w:r>
          </w:p>
        </w:tc>
        <w:tc>
          <w:tcPr>
            <w:tcW w:w="1589" w:type="dxa"/>
          </w:tcPr>
          <w:p w14:paraId="366B7AB7" w14:textId="5C5C9E89" w:rsidR="006502B9" w:rsidRPr="00041EA7" w:rsidRDefault="00FE33C7"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544F9326" w14:textId="75C0223F" w:rsidR="006502B9" w:rsidRPr="00041EA7" w:rsidRDefault="00FE33C7"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w:t>
            </w:r>
            <w:r w:rsidR="00F714F4">
              <w:t xml:space="preserve"> </w:t>
            </w:r>
            <w:r w:rsidR="00FF7F0C">
              <w:t>f</w:t>
            </w:r>
            <w:r w:rsidR="00F714F4">
              <w:t>em</w:t>
            </w:r>
            <w:r>
              <w:t xml:space="preserve">ale/ 1 </w:t>
            </w:r>
            <w:r w:rsidR="00FF7F0C">
              <w:t>m</w:t>
            </w:r>
            <w:r>
              <w:t>ale</w:t>
            </w:r>
          </w:p>
        </w:tc>
      </w:tr>
      <w:tr w:rsidR="006502B9" w:rsidRPr="00041EA7" w14:paraId="6E16CFF1"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35142860" w14:textId="5C99415D" w:rsidR="006502B9" w:rsidRPr="00A87C3B" w:rsidRDefault="00A87C3B" w:rsidP="000910D6">
            <w:pPr>
              <w:rPr>
                <w:b w:val="0"/>
                <w:bCs/>
              </w:rPr>
            </w:pPr>
            <w:r w:rsidRPr="00A87C3B">
              <w:rPr>
                <w:b w:val="0"/>
                <w:bCs/>
              </w:rPr>
              <w:t>UNCTAD</w:t>
            </w:r>
          </w:p>
        </w:tc>
        <w:tc>
          <w:tcPr>
            <w:tcW w:w="1589" w:type="dxa"/>
          </w:tcPr>
          <w:p w14:paraId="615DBD98" w14:textId="60FF9E2A" w:rsidR="006502B9" w:rsidRPr="00041EA7" w:rsidRDefault="00EA7D1C" w:rsidP="00EA7D1C">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5</w:t>
            </w:r>
          </w:p>
        </w:tc>
        <w:tc>
          <w:tcPr>
            <w:tcW w:w="1680" w:type="dxa"/>
          </w:tcPr>
          <w:p w14:paraId="643F5E70" w14:textId="13F5D296" w:rsidR="006502B9" w:rsidRPr="00041EA7" w:rsidRDefault="00F714F4" w:rsidP="00FE33C7">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 xml:space="preserve">3 </w:t>
            </w:r>
            <w:r w:rsidR="00FF7F0C">
              <w:t>f</w:t>
            </w:r>
            <w:r>
              <w:t>emales</w:t>
            </w:r>
            <w:r w:rsidR="00E67F7C">
              <w:t xml:space="preserve">/ </w:t>
            </w:r>
            <w:r>
              <w:t xml:space="preserve">2 </w:t>
            </w:r>
            <w:r w:rsidR="00FF7F0C">
              <w:t>m</w:t>
            </w:r>
            <w:r>
              <w:t>a</w:t>
            </w:r>
            <w:r w:rsidR="00E67F7C">
              <w:t>le</w:t>
            </w:r>
            <w:r>
              <w:t>s</w:t>
            </w:r>
          </w:p>
        </w:tc>
      </w:tr>
      <w:tr w:rsidR="001C7594" w:rsidRPr="00041EA7" w14:paraId="25939359"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4635" w:type="dxa"/>
            <w:gridSpan w:val="3"/>
            <w:vAlign w:val="center"/>
          </w:tcPr>
          <w:p w14:paraId="42572E2F" w14:textId="547A121D" w:rsidR="001C7594" w:rsidRPr="00041EA7" w:rsidRDefault="001C7594" w:rsidP="001C7594">
            <w:pPr>
              <w:pStyle w:val="Normal-sizedTableBullets"/>
              <w:numPr>
                <w:ilvl w:val="0"/>
                <w:numId w:val="0"/>
              </w:numPr>
              <w:spacing w:before="60" w:after="60"/>
              <w:ind w:left="360"/>
              <w:jc w:val="center"/>
            </w:pPr>
            <w:r>
              <w:t>Cooperating Entities (</w:t>
            </w:r>
            <w:r w:rsidR="00FB30A9">
              <w:t xml:space="preserve">2; </w:t>
            </w:r>
            <w:r>
              <w:t>1 Female/ 1 Male)</w:t>
            </w:r>
          </w:p>
        </w:tc>
      </w:tr>
      <w:tr w:rsidR="006502B9" w:rsidRPr="00041EA7" w14:paraId="50F72F92" w14:textId="77777777" w:rsidTr="0033787D">
        <w:trPr>
          <w:jc w:val="center"/>
        </w:trPr>
        <w:tc>
          <w:tcPr>
            <w:cnfStyle w:val="001000000000" w:firstRow="0" w:lastRow="0" w:firstColumn="1" w:lastColumn="0" w:oddVBand="0" w:evenVBand="0" w:oddHBand="0" w:evenHBand="0" w:firstRowFirstColumn="0" w:firstRowLastColumn="0" w:lastRowFirstColumn="0" w:lastRowLastColumn="0"/>
            <w:tcW w:w="1366" w:type="dxa"/>
            <w:vAlign w:val="center"/>
          </w:tcPr>
          <w:p w14:paraId="55F4F58B" w14:textId="60943A88" w:rsidR="006502B9" w:rsidRPr="001C7594" w:rsidRDefault="001C7594" w:rsidP="000910D6">
            <w:pPr>
              <w:rPr>
                <w:b w:val="0"/>
                <w:bCs/>
              </w:rPr>
            </w:pPr>
            <w:r w:rsidRPr="001C7594">
              <w:rPr>
                <w:b w:val="0"/>
                <w:bCs/>
              </w:rPr>
              <w:t>UNDP</w:t>
            </w:r>
          </w:p>
        </w:tc>
        <w:tc>
          <w:tcPr>
            <w:tcW w:w="1589" w:type="dxa"/>
          </w:tcPr>
          <w:p w14:paraId="317CB1F5" w14:textId="31965198" w:rsidR="006502B9" w:rsidRPr="00041EA7" w:rsidRDefault="001C7594" w:rsidP="001C7594">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2</w:t>
            </w:r>
          </w:p>
        </w:tc>
        <w:tc>
          <w:tcPr>
            <w:tcW w:w="1680" w:type="dxa"/>
          </w:tcPr>
          <w:p w14:paraId="17C3E364" w14:textId="18AD21AB" w:rsidR="006502B9" w:rsidRPr="00041EA7" w:rsidRDefault="001C7594" w:rsidP="001C7594">
            <w:pPr>
              <w:pStyle w:val="Normal-sizedTableBullets"/>
              <w:numPr>
                <w:ilvl w:val="0"/>
                <w:numId w:val="0"/>
              </w:numPr>
              <w:spacing w:before="60" w:after="60"/>
              <w:ind w:left="360"/>
              <w:jc w:val="center"/>
              <w:cnfStyle w:val="000000000000" w:firstRow="0" w:lastRow="0" w:firstColumn="0" w:lastColumn="0" w:oddVBand="0" w:evenVBand="0" w:oddHBand="0" w:evenHBand="0" w:firstRowFirstColumn="0" w:firstRowLastColumn="0" w:lastRowFirstColumn="0" w:lastRowLastColumn="0"/>
            </w:pPr>
            <w:r>
              <w:t>1 Female/ 1 Male</w:t>
            </w:r>
          </w:p>
        </w:tc>
      </w:tr>
    </w:tbl>
    <w:p w14:paraId="13A13770" w14:textId="77777777" w:rsidR="008F3D9E" w:rsidRDefault="008F3D9E" w:rsidP="00205BCB">
      <w:pPr>
        <w:pStyle w:val="Reporttext"/>
        <w:spacing w:after="120" w:line="259" w:lineRule="auto"/>
        <w:rPr>
          <w:rFonts w:asciiTheme="minorHAnsi" w:hAnsiTheme="minorHAnsi"/>
          <w:sz w:val="20"/>
        </w:rPr>
      </w:pPr>
    </w:p>
    <w:p w14:paraId="6EF47EE1" w14:textId="77777777" w:rsidR="008F3D9E" w:rsidRPr="00D12632" w:rsidRDefault="008F3D9E" w:rsidP="008F3D9E">
      <w:pPr>
        <w:pStyle w:val="Heading4"/>
      </w:pPr>
      <w:r w:rsidRPr="00D12632">
        <w:t>Electronic survey</w:t>
      </w:r>
    </w:p>
    <w:p w14:paraId="55F6BC11" w14:textId="48E85211" w:rsidR="00205BCB" w:rsidRPr="009506CE" w:rsidRDefault="00205BCB" w:rsidP="00205BCB">
      <w:pPr>
        <w:pStyle w:val="Reporttext"/>
        <w:spacing w:after="120" w:line="259" w:lineRule="auto"/>
        <w:rPr>
          <w:rFonts w:asciiTheme="minorHAnsi" w:hAnsiTheme="minorHAnsi"/>
          <w:spacing w:val="-2"/>
          <w:sz w:val="20"/>
        </w:rPr>
      </w:pPr>
      <w:r w:rsidRPr="00EA75FD">
        <w:rPr>
          <w:rFonts w:asciiTheme="minorHAnsi" w:hAnsiTheme="minorHAnsi"/>
          <w:sz w:val="20"/>
        </w:rPr>
        <w:t>A</w:t>
      </w:r>
      <w:r>
        <w:rPr>
          <w:rFonts w:asciiTheme="minorHAnsi" w:hAnsiTheme="minorHAnsi"/>
          <w:sz w:val="20"/>
        </w:rPr>
        <w:t xml:space="preserve">n electronic survey was administered through the Survey Monkey platform to extend the reach of the evaluation. </w:t>
      </w:r>
      <w:r w:rsidR="00F07CCB">
        <w:rPr>
          <w:rFonts w:asciiTheme="minorHAnsi" w:hAnsiTheme="minorHAnsi"/>
          <w:sz w:val="20"/>
        </w:rPr>
        <w:t>Th</w:t>
      </w:r>
      <w:r>
        <w:rPr>
          <w:rFonts w:asciiTheme="minorHAnsi" w:hAnsiTheme="minorHAnsi"/>
          <w:sz w:val="20"/>
        </w:rPr>
        <w:t xml:space="preserve">e target group for the survey comprised project stakeholders who had participated in the </w:t>
      </w:r>
      <w:r>
        <w:rPr>
          <w:rFonts w:asciiTheme="minorHAnsi" w:hAnsiTheme="minorHAnsi"/>
          <w:sz w:val="20"/>
        </w:rPr>
        <w:lastRenderedPageBreak/>
        <w:t xml:space="preserve">workshops that </w:t>
      </w:r>
      <w:r w:rsidR="00F07CCB">
        <w:rPr>
          <w:rFonts w:asciiTheme="minorHAnsi" w:hAnsiTheme="minorHAnsi"/>
          <w:sz w:val="20"/>
        </w:rPr>
        <w:t>had been</w:t>
      </w:r>
      <w:r>
        <w:rPr>
          <w:rFonts w:asciiTheme="minorHAnsi" w:hAnsiTheme="minorHAnsi"/>
          <w:sz w:val="20"/>
        </w:rPr>
        <w:t xml:space="preserve"> delivered by UNCTAD.</w:t>
      </w:r>
      <w:r>
        <w:rPr>
          <w:rStyle w:val="FootnoteReference"/>
          <w:rFonts w:asciiTheme="minorHAnsi" w:hAnsiTheme="minorHAnsi"/>
          <w:sz w:val="20"/>
        </w:rPr>
        <w:footnoteReference w:id="57"/>
      </w:r>
      <w:r>
        <w:rPr>
          <w:rFonts w:asciiTheme="minorHAnsi" w:hAnsiTheme="minorHAnsi"/>
          <w:sz w:val="20"/>
        </w:rPr>
        <w:t xml:space="preserve"> In support of stakeholder engagement, the survey was administered in three languages: English; French; and Russian. To further encourage stakeholder participation, the deadline for survey completion </w:t>
      </w:r>
      <w:r w:rsidRPr="009506CE">
        <w:rPr>
          <w:rFonts w:asciiTheme="minorHAnsi" w:hAnsiTheme="minorHAnsi"/>
          <w:sz w:val="20"/>
        </w:rPr>
        <w:t>was extended and three reminders were issued</w:t>
      </w:r>
      <w:r w:rsidR="00FB3C45">
        <w:rPr>
          <w:rFonts w:asciiTheme="minorHAnsi" w:hAnsiTheme="minorHAnsi"/>
          <w:sz w:val="20"/>
        </w:rPr>
        <w:t xml:space="preserve"> to </w:t>
      </w:r>
      <w:r w:rsidR="00DF305E">
        <w:rPr>
          <w:rFonts w:asciiTheme="minorHAnsi" w:hAnsiTheme="minorHAnsi"/>
          <w:sz w:val="20"/>
        </w:rPr>
        <w:t xml:space="preserve">potential </w:t>
      </w:r>
      <w:r w:rsidR="00FB3C45">
        <w:rPr>
          <w:rFonts w:asciiTheme="minorHAnsi" w:hAnsiTheme="minorHAnsi"/>
          <w:sz w:val="20"/>
        </w:rPr>
        <w:t>survey respondents</w:t>
      </w:r>
      <w:r w:rsidRPr="009506CE">
        <w:rPr>
          <w:rFonts w:asciiTheme="minorHAnsi" w:hAnsiTheme="minorHAnsi"/>
          <w:sz w:val="20"/>
        </w:rPr>
        <w:t>.</w:t>
      </w:r>
    </w:p>
    <w:p w14:paraId="7599B442" w14:textId="7F250D70" w:rsidR="00205BCB" w:rsidRPr="00980AD8" w:rsidRDefault="00205BCB" w:rsidP="00205BCB">
      <w:pPr>
        <w:pStyle w:val="Reporttext"/>
        <w:spacing w:after="120" w:line="259" w:lineRule="auto"/>
        <w:rPr>
          <w:rFonts w:asciiTheme="minorHAnsi" w:hAnsiTheme="minorHAnsi"/>
          <w:spacing w:val="-2"/>
          <w:sz w:val="20"/>
        </w:rPr>
      </w:pPr>
      <w:r w:rsidRPr="00980AD8">
        <w:rPr>
          <w:rFonts w:asciiTheme="minorHAnsi" w:hAnsiTheme="minorHAnsi"/>
          <w:sz w:val="20"/>
          <w:lang w:val="en-CA"/>
        </w:rPr>
        <w:t xml:space="preserve">At seven percent, the response rate to the survey was low (11 completed surveys from a target </w:t>
      </w:r>
      <w:r w:rsidR="00DF305E" w:rsidRPr="00980AD8">
        <w:rPr>
          <w:rFonts w:asciiTheme="minorHAnsi" w:hAnsiTheme="minorHAnsi"/>
          <w:sz w:val="20"/>
          <w:lang w:val="en-CA"/>
        </w:rPr>
        <w:t xml:space="preserve">group </w:t>
      </w:r>
      <w:r w:rsidRPr="00980AD8">
        <w:rPr>
          <w:rFonts w:asciiTheme="minorHAnsi" w:hAnsiTheme="minorHAnsi"/>
          <w:sz w:val="20"/>
          <w:lang w:val="en-CA"/>
        </w:rPr>
        <w:t xml:space="preserve">of 155 potential survey respondents). As the survey was not used to generalise the responses of individual respondents/ project participants, the completed responses </w:t>
      </w:r>
      <w:r w:rsidR="00980AD8" w:rsidRPr="00980AD8">
        <w:rPr>
          <w:rFonts w:asciiTheme="minorHAnsi" w:hAnsiTheme="minorHAnsi"/>
          <w:sz w:val="20"/>
          <w:lang w:val="en-CA"/>
        </w:rPr>
        <w:t>provided important contextual information on t</w:t>
      </w:r>
      <w:r w:rsidRPr="00980AD8">
        <w:rPr>
          <w:rFonts w:asciiTheme="minorHAnsi" w:hAnsiTheme="minorHAnsi"/>
          <w:sz w:val="20"/>
          <w:lang w:val="en-CA"/>
        </w:rPr>
        <w:t xml:space="preserve">he </w:t>
      </w:r>
      <w:r w:rsidR="00980AD8" w:rsidRPr="00980AD8">
        <w:rPr>
          <w:rFonts w:asciiTheme="minorHAnsi" w:hAnsiTheme="minorHAnsi"/>
          <w:sz w:val="20"/>
          <w:lang w:val="en-CA"/>
        </w:rPr>
        <w:t xml:space="preserve">project experience of individual workshop participants. </w:t>
      </w:r>
      <w:r w:rsidRPr="00980AD8">
        <w:rPr>
          <w:rFonts w:asciiTheme="minorHAnsi" w:hAnsiTheme="minorHAnsi"/>
          <w:sz w:val="20"/>
          <w:lang w:val="en-CA"/>
        </w:rPr>
        <w:t xml:space="preserve"> </w:t>
      </w:r>
    </w:p>
    <w:p w14:paraId="6CD01A84" w14:textId="613463CA" w:rsidR="00245A5E" w:rsidRPr="00D12632" w:rsidRDefault="003D72F2" w:rsidP="00245A5E">
      <w:pPr>
        <w:pStyle w:val="Heading4"/>
      </w:pPr>
      <w:r>
        <w:t xml:space="preserve">Parallel </w:t>
      </w:r>
      <w:r w:rsidR="00245A5E" w:rsidRPr="00D12632">
        <w:t>s</w:t>
      </w:r>
      <w:r>
        <w:t>tudy</w:t>
      </w:r>
    </w:p>
    <w:p w14:paraId="7ECA3FD5" w14:textId="702E2402" w:rsidR="00E0091A" w:rsidRDefault="003D72F2" w:rsidP="003D72F2">
      <w:pPr>
        <w:pStyle w:val="Reporttext"/>
        <w:spacing w:after="120" w:line="259" w:lineRule="auto"/>
        <w:rPr>
          <w:rFonts w:asciiTheme="minorHAnsi" w:hAnsiTheme="minorHAnsi"/>
          <w:sz w:val="20"/>
        </w:rPr>
      </w:pPr>
      <w:r w:rsidRPr="00EA75FD">
        <w:rPr>
          <w:rFonts w:asciiTheme="minorHAnsi" w:hAnsiTheme="minorHAnsi"/>
          <w:sz w:val="20"/>
        </w:rPr>
        <w:t>A parallel study on the broader application of the project tools w</w:t>
      </w:r>
      <w:r>
        <w:rPr>
          <w:rFonts w:asciiTheme="minorHAnsi" w:hAnsiTheme="minorHAnsi"/>
          <w:sz w:val="20"/>
        </w:rPr>
        <w:t>as</w:t>
      </w:r>
      <w:r w:rsidRPr="00EA75FD">
        <w:rPr>
          <w:rFonts w:asciiTheme="minorHAnsi" w:hAnsiTheme="minorHAnsi"/>
          <w:sz w:val="20"/>
        </w:rPr>
        <w:t xml:space="preserve"> conducted by an independent FfD expert. This study was commissioned by UNDESA-FSDO in January 2025</w:t>
      </w:r>
      <w:r w:rsidR="00E0091A">
        <w:rPr>
          <w:rFonts w:asciiTheme="minorHAnsi" w:hAnsiTheme="minorHAnsi"/>
          <w:sz w:val="20"/>
        </w:rPr>
        <w:t xml:space="preserve"> and was used to assess </w:t>
      </w:r>
      <w:r w:rsidR="00E0091A" w:rsidRPr="00EA75FD">
        <w:rPr>
          <w:rFonts w:asciiTheme="minorHAnsi" w:hAnsiTheme="minorHAnsi"/>
          <w:sz w:val="20"/>
        </w:rPr>
        <w:t>the actual and potential application of the</w:t>
      </w:r>
      <w:r w:rsidR="00E0091A">
        <w:rPr>
          <w:rFonts w:asciiTheme="minorHAnsi" w:hAnsiTheme="minorHAnsi"/>
          <w:sz w:val="20"/>
        </w:rPr>
        <w:t xml:space="preserve"> project</w:t>
      </w:r>
      <w:r w:rsidR="00E0091A" w:rsidRPr="00EA75FD">
        <w:rPr>
          <w:rFonts w:asciiTheme="minorHAnsi" w:hAnsiTheme="minorHAnsi"/>
          <w:sz w:val="20"/>
        </w:rPr>
        <w:t xml:space="preserve"> tools</w:t>
      </w:r>
      <w:r w:rsidR="00AF03B0">
        <w:rPr>
          <w:rFonts w:asciiTheme="minorHAnsi" w:hAnsiTheme="minorHAnsi"/>
          <w:sz w:val="20"/>
        </w:rPr>
        <w:t xml:space="preserve"> </w:t>
      </w:r>
      <w:r w:rsidR="00AF03B0" w:rsidRPr="00EA75FD">
        <w:rPr>
          <w:rFonts w:asciiTheme="minorHAnsi" w:hAnsiTheme="minorHAnsi"/>
          <w:sz w:val="20"/>
        </w:rPr>
        <w:t>by partner</w:t>
      </w:r>
      <w:r w:rsidR="00AF03B0">
        <w:rPr>
          <w:rFonts w:asciiTheme="minorHAnsi" w:hAnsiTheme="minorHAnsi"/>
          <w:sz w:val="20"/>
        </w:rPr>
        <w:t xml:space="preserve"> organisations</w:t>
      </w:r>
      <w:r w:rsidR="00AF03B0" w:rsidRPr="00EA75FD">
        <w:rPr>
          <w:rFonts w:asciiTheme="minorHAnsi" w:hAnsiTheme="minorHAnsi"/>
          <w:sz w:val="20"/>
        </w:rPr>
        <w:t xml:space="preserve"> and other </w:t>
      </w:r>
      <w:r w:rsidR="00AF03B0">
        <w:rPr>
          <w:rFonts w:asciiTheme="minorHAnsi" w:hAnsiTheme="minorHAnsi"/>
          <w:sz w:val="20"/>
        </w:rPr>
        <w:t>entities</w:t>
      </w:r>
      <w:r w:rsidR="00E0091A">
        <w:rPr>
          <w:rFonts w:asciiTheme="minorHAnsi" w:hAnsiTheme="minorHAnsi"/>
          <w:sz w:val="20"/>
        </w:rPr>
        <w:t xml:space="preserve">, </w:t>
      </w:r>
      <w:r w:rsidR="00A441BD">
        <w:rPr>
          <w:rFonts w:asciiTheme="minorHAnsi" w:hAnsiTheme="minorHAnsi"/>
          <w:sz w:val="20"/>
        </w:rPr>
        <w:t>with a focus on non-target</w:t>
      </w:r>
      <w:r w:rsidR="007E7421">
        <w:rPr>
          <w:rFonts w:asciiTheme="minorHAnsi" w:hAnsiTheme="minorHAnsi"/>
          <w:sz w:val="20"/>
        </w:rPr>
        <w:t xml:space="preserve">/ non-project </w:t>
      </w:r>
      <w:r w:rsidR="00A441BD">
        <w:rPr>
          <w:rFonts w:asciiTheme="minorHAnsi" w:hAnsiTheme="minorHAnsi"/>
          <w:sz w:val="20"/>
        </w:rPr>
        <w:t>countries</w:t>
      </w:r>
      <w:r w:rsidR="00AF03B0">
        <w:rPr>
          <w:rFonts w:asciiTheme="minorHAnsi" w:hAnsiTheme="minorHAnsi"/>
          <w:sz w:val="20"/>
        </w:rPr>
        <w:t>.</w:t>
      </w:r>
    </w:p>
    <w:p w14:paraId="36050BE0" w14:textId="3318F376" w:rsidR="00622AAD" w:rsidRDefault="003D72F2" w:rsidP="00622AAD">
      <w:pPr>
        <w:pStyle w:val="Reporttext"/>
        <w:spacing w:after="120" w:line="259" w:lineRule="auto"/>
        <w:rPr>
          <w:rFonts w:asciiTheme="minorHAnsi" w:hAnsiTheme="minorHAnsi"/>
          <w:sz w:val="20"/>
        </w:rPr>
      </w:pPr>
      <w:r w:rsidRPr="00EA75FD">
        <w:rPr>
          <w:rFonts w:asciiTheme="minorHAnsi" w:hAnsiTheme="minorHAnsi"/>
          <w:sz w:val="20"/>
        </w:rPr>
        <w:t xml:space="preserve">The focal enquiry of the assessment </w:t>
      </w:r>
      <w:proofErr w:type="gramStart"/>
      <w:r>
        <w:rPr>
          <w:rFonts w:asciiTheme="minorHAnsi" w:hAnsiTheme="minorHAnsi"/>
          <w:sz w:val="20"/>
        </w:rPr>
        <w:t>was</w:t>
      </w:r>
      <w:proofErr w:type="gramEnd"/>
      <w:r w:rsidRPr="00EA75FD">
        <w:rPr>
          <w:rFonts w:asciiTheme="minorHAnsi" w:hAnsiTheme="minorHAnsi"/>
          <w:sz w:val="20"/>
        </w:rPr>
        <w:t xml:space="preserve"> the extent to which the </w:t>
      </w:r>
      <w:r w:rsidR="00303E04">
        <w:rPr>
          <w:rFonts w:asciiTheme="minorHAnsi" w:hAnsiTheme="minorHAnsi"/>
          <w:sz w:val="20"/>
        </w:rPr>
        <w:t xml:space="preserve">Towards INFF </w:t>
      </w:r>
      <w:r w:rsidRPr="00EA75FD">
        <w:rPr>
          <w:rFonts w:asciiTheme="minorHAnsi" w:hAnsiTheme="minorHAnsi"/>
          <w:sz w:val="20"/>
        </w:rPr>
        <w:t xml:space="preserve">project </w:t>
      </w:r>
      <w:r w:rsidR="00303E04">
        <w:rPr>
          <w:rFonts w:asciiTheme="minorHAnsi" w:hAnsiTheme="minorHAnsi"/>
          <w:sz w:val="20"/>
        </w:rPr>
        <w:t>ha</w:t>
      </w:r>
      <w:r w:rsidR="00690E61">
        <w:rPr>
          <w:rFonts w:asciiTheme="minorHAnsi" w:hAnsiTheme="minorHAnsi"/>
          <w:sz w:val="20"/>
        </w:rPr>
        <w:t>s</w:t>
      </w:r>
      <w:r w:rsidR="00303E04">
        <w:rPr>
          <w:rFonts w:asciiTheme="minorHAnsi" w:hAnsiTheme="minorHAnsi"/>
          <w:sz w:val="20"/>
        </w:rPr>
        <w:t xml:space="preserve"> </w:t>
      </w:r>
      <w:r w:rsidRPr="00EA75FD">
        <w:rPr>
          <w:rFonts w:asciiTheme="minorHAnsi" w:hAnsiTheme="minorHAnsi"/>
          <w:sz w:val="20"/>
        </w:rPr>
        <w:t>informed the wider implementation of INFFs in other countries</w:t>
      </w:r>
      <w:r w:rsidR="000B6FEE">
        <w:rPr>
          <w:rFonts w:asciiTheme="minorHAnsi" w:hAnsiTheme="minorHAnsi"/>
          <w:sz w:val="20"/>
        </w:rPr>
        <w:t xml:space="preserve">, including </w:t>
      </w:r>
      <w:r w:rsidR="00220922">
        <w:rPr>
          <w:rFonts w:asciiTheme="minorHAnsi" w:hAnsiTheme="minorHAnsi"/>
          <w:sz w:val="20"/>
        </w:rPr>
        <w:t xml:space="preserve">with </w:t>
      </w:r>
      <w:r w:rsidR="00B634FF">
        <w:rPr>
          <w:rFonts w:asciiTheme="minorHAnsi" w:hAnsiTheme="minorHAnsi"/>
          <w:sz w:val="20"/>
        </w:rPr>
        <w:t>the support of</w:t>
      </w:r>
      <w:r w:rsidRPr="00EA75FD">
        <w:rPr>
          <w:rFonts w:asciiTheme="minorHAnsi" w:hAnsiTheme="minorHAnsi"/>
          <w:sz w:val="20"/>
        </w:rPr>
        <w:t xml:space="preserve"> UN agencies. </w:t>
      </w:r>
      <w:r w:rsidR="00213C99">
        <w:rPr>
          <w:rFonts w:asciiTheme="minorHAnsi" w:hAnsiTheme="minorHAnsi"/>
          <w:sz w:val="20"/>
        </w:rPr>
        <w:t>As t</w:t>
      </w:r>
      <w:r w:rsidRPr="00EA75FD">
        <w:rPr>
          <w:rFonts w:asciiTheme="minorHAnsi" w:hAnsiTheme="minorHAnsi"/>
          <w:sz w:val="20"/>
        </w:rPr>
        <w:t>his level of enquiry align</w:t>
      </w:r>
      <w:r>
        <w:rPr>
          <w:rFonts w:asciiTheme="minorHAnsi" w:hAnsiTheme="minorHAnsi"/>
          <w:sz w:val="20"/>
        </w:rPr>
        <w:t>ed</w:t>
      </w:r>
      <w:r w:rsidRPr="00EA75FD">
        <w:rPr>
          <w:rFonts w:asciiTheme="minorHAnsi" w:hAnsiTheme="minorHAnsi"/>
          <w:sz w:val="20"/>
        </w:rPr>
        <w:t xml:space="preserve"> with two evaluation criteria, impact and sustainability</w:t>
      </w:r>
      <w:r w:rsidR="00213C99">
        <w:rPr>
          <w:rFonts w:asciiTheme="minorHAnsi" w:hAnsiTheme="minorHAnsi"/>
          <w:sz w:val="20"/>
        </w:rPr>
        <w:t xml:space="preserve">, </w:t>
      </w:r>
      <w:r w:rsidRPr="00EA75FD">
        <w:rPr>
          <w:rFonts w:asciiTheme="minorHAnsi" w:hAnsiTheme="minorHAnsi"/>
          <w:sz w:val="20"/>
        </w:rPr>
        <w:t>the findings and recommendations of the parallel study w</w:t>
      </w:r>
      <w:r>
        <w:rPr>
          <w:rFonts w:asciiTheme="minorHAnsi" w:hAnsiTheme="minorHAnsi"/>
          <w:sz w:val="20"/>
        </w:rPr>
        <w:t>ere</w:t>
      </w:r>
      <w:r w:rsidRPr="00EA75FD">
        <w:rPr>
          <w:rFonts w:asciiTheme="minorHAnsi" w:hAnsiTheme="minorHAnsi"/>
          <w:sz w:val="20"/>
        </w:rPr>
        <w:t xml:space="preserve"> used to inform</w:t>
      </w:r>
      <w:r w:rsidR="00622AAD">
        <w:rPr>
          <w:rFonts w:asciiTheme="minorHAnsi" w:hAnsiTheme="minorHAnsi"/>
          <w:sz w:val="20"/>
        </w:rPr>
        <w:t xml:space="preserve"> the results of the evaluation </w:t>
      </w:r>
      <w:r w:rsidR="005C3452">
        <w:rPr>
          <w:rFonts w:asciiTheme="minorHAnsi" w:hAnsiTheme="minorHAnsi"/>
          <w:sz w:val="20"/>
        </w:rPr>
        <w:t>under these criteria</w:t>
      </w:r>
      <w:r w:rsidR="005B51C6">
        <w:rPr>
          <w:rFonts w:asciiTheme="minorHAnsi" w:hAnsiTheme="minorHAnsi"/>
          <w:sz w:val="20"/>
        </w:rPr>
        <w:t xml:space="preserve">, </w:t>
      </w:r>
      <w:r w:rsidR="00B92149">
        <w:rPr>
          <w:rFonts w:asciiTheme="minorHAnsi" w:hAnsiTheme="minorHAnsi"/>
          <w:sz w:val="20"/>
        </w:rPr>
        <w:t>where applicable</w:t>
      </w:r>
      <w:r w:rsidR="005C3452">
        <w:rPr>
          <w:rFonts w:asciiTheme="minorHAnsi" w:hAnsiTheme="minorHAnsi"/>
          <w:sz w:val="20"/>
        </w:rPr>
        <w:t xml:space="preserve">. </w:t>
      </w:r>
    </w:p>
    <w:p w14:paraId="5734C0C6" w14:textId="015A84A4" w:rsidR="005A6436" w:rsidRPr="007D05A1" w:rsidRDefault="005A6436" w:rsidP="007D05A1">
      <w:pPr>
        <w:pStyle w:val="Heading3"/>
      </w:pPr>
      <w:r w:rsidRPr="007D05A1">
        <w:t>Data analysis and results synthesis</w:t>
      </w:r>
    </w:p>
    <w:p w14:paraId="05EF758B" w14:textId="74850635" w:rsidR="002907C3" w:rsidRDefault="00120651" w:rsidP="004075E0">
      <w:pPr>
        <w:pStyle w:val="Reporttext"/>
        <w:spacing w:after="120" w:line="259" w:lineRule="auto"/>
        <w:rPr>
          <w:rFonts w:asciiTheme="minorHAnsi" w:hAnsiTheme="minorHAnsi"/>
          <w:spacing w:val="-7"/>
          <w:sz w:val="20"/>
        </w:rPr>
      </w:pPr>
      <w:r>
        <w:rPr>
          <w:rFonts w:asciiTheme="minorHAnsi" w:hAnsiTheme="minorHAnsi"/>
          <w:sz w:val="20"/>
        </w:rPr>
        <w:t xml:space="preserve">The analysis of </w:t>
      </w:r>
      <w:r w:rsidR="007273EB">
        <w:rPr>
          <w:rFonts w:asciiTheme="minorHAnsi" w:hAnsiTheme="minorHAnsi"/>
          <w:sz w:val="20"/>
        </w:rPr>
        <w:t>the evaluation data was based on five methods: i) descriptive</w:t>
      </w:r>
      <w:r w:rsidR="005826C7">
        <w:rPr>
          <w:rFonts w:asciiTheme="minorHAnsi" w:hAnsiTheme="minorHAnsi"/>
          <w:sz w:val="20"/>
        </w:rPr>
        <w:t>;</w:t>
      </w:r>
      <w:r w:rsidR="00B158E9">
        <w:rPr>
          <w:rFonts w:asciiTheme="minorHAnsi" w:hAnsiTheme="minorHAnsi"/>
          <w:sz w:val="20"/>
        </w:rPr>
        <w:t xml:space="preserve"> ii) content; iii) quantitative; iv) comparative</w:t>
      </w:r>
      <w:r w:rsidR="005826C7">
        <w:rPr>
          <w:rFonts w:asciiTheme="minorHAnsi" w:hAnsiTheme="minorHAnsi"/>
          <w:sz w:val="20"/>
        </w:rPr>
        <w:t xml:space="preserve">; and </w:t>
      </w:r>
      <w:r w:rsidR="004075E0">
        <w:rPr>
          <w:rFonts w:asciiTheme="minorHAnsi" w:hAnsiTheme="minorHAnsi"/>
          <w:sz w:val="20"/>
        </w:rPr>
        <w:t xml:space="preserve">v) case study analyses (see Exhibit </w:t>
      </w:r>
      <w:r w:rsidR="00C62C97">
        <w:rPr>
          <w:rFonts w:asciiTheme="minorHAnsi" w:hAnsiTheme="minorHAnsi"/>
          <w:sz w:val="20"/>
        </w:rPr>
        <w:t>10</w:t>
      </w:r>
      <w:r w:rsidR="004075E0">
        <w:rPr>
          <w:rFonts w:asciiTheme="minorHAnsi" w:hAnsiTheme="minorHAnsi"/>
          <w:sz w:val="20"/>
        </w:rPr>
        <w:t xml:space="preserve">). </w:t>
      </w:r>
      <w:r w:rsidR="00541F8F">
        <w:rPr>
          <w:rFonts w:asciiTheme="minorHAnsi" w:hAnsiTheme="minorHAnsi"/>
          <w:sz w:val="20"/>
        </w:rPr>
        <w:t xml:space="preserve">A </w:t>
      </w:r>
      <w:r w:rsidR="004075E0" w:rsidRPr="00EA75FD">
        <w:rPr>
          <w:rFonts w:asciiTheme="minorHAnsi" w:hAnsiTheme="minorHAnsi"/>
          <w:sz w:val="20"/>
        </w:rPr>
        <w:t xml:space="preserve">combination of descriptive and content </w:t>
      </w:r>
      <w:r w:rsidR="004075E0" w:rsidRPr="00EA75FD">
        <w:rPr>
          <w:rFonts w:asciiTheme="minorHAnsi" w:hAnsiTheme="minorHAnsi"/>
          <w:sz w:val="20"/>
        </w:rPr>
        <w:t>analyses w</w:t>
      </w:r>
      <w:r w:rsidR="00541F8F">
        <w:rPr>
          <w:rFonts w:asciiTheme="minorHAnsi" w:hAnsiTheme="minorHAnsi"/>
          <w:sz w:val="20"/>
        </w:rPr>
        <w:t>as</w:t>
      </w:r>
      <w:r w:rsidR="004075E0">
        <w:rPr>
          <w:rFonts w:asciiTheme="minorHAnsi" w:hAnsiTheme="minorHAnsi"/>
          <w:sz w:val="20"/>
        </w:rPr>
        <w:t xml:space="preserve"> </w:t>
      </w:r>
      <w:r w:rsidR="004075E0" w:rsidRPr="00EA75FD">
        <w:rPr>
          <w:rFonts w:asciiTheme="minorHAnsi" w:hAnsiTheme="minorHAnsi"/>
          <w:sz w:val="20"/>
        </w:rPr>
        <w:t xml:space="preserve">used to </w:t>
      </w:r>
      <w:r w:rsidR="00C24CBD">
        <w:rPr>
          <w:rFonts w:asciiTheme="minorHAnsi" w:hAnsiTheme="minorHAnsi"/>
          <w:sz w:val="20"/>
        </w:rPr>
        <w:t>analyse the</w:t>
      </w:r>
      <w:r w:rsidR="004075E0" w:rsidRPr="00EA75FD">
        <w:rPr>
          <w:rFonts w:asciiTheme="minorHAnsi" w:hAnsiTheme="minorHAnsi"/>
          <w:sz w:val="20"/>
        </w:rPr>
        <w:t xml:space="preserve"> qualitative data. This process</w:t>
      </w:r>
      <w:r w:rsidR="004075E0" w:rsidRPr="00EA75FD">
        <w:rPr>
          <w:rFonts w:asciiTheme="minorHAnsi" w:hAnsiTheme="minorHAnsi"/>
          <w:spacing w:val="-5"/>
          <w:sz w:val="20"/>
        </w:rPr>
        <w:t xml:space="preserve"> </w:t>
      </w:r>
      <w:r w:rsidR="004075E0" w:rsidRPr="00EA75FD">
        <w:rPr>
          <w:rFonts w:asciiTheme="minorHAnsi" w:hAnsiTheme="minorHAnsi"/>
          <w:sz w:val="20"/>
        </w:rPr>
        <w:t>w</w:t>
      </w:r>
      <w:r w:rsidR="004075E0">
        <w:rPr>
          <w:rFonts w:asciiTheme="minorHAnsi" w:hAnsiTheme="minorHAnsi"/>
          <w:sz w:val="20"/>
        </w:rPr>
        <w:t>as</w:t>
      </w:r>
      <w:r w:rsidR="004075E0" w:rsidRPr="00EA75FD">
        <w:rPr>
          <w:rFonts w:asciiTheme="minorHAnsi" w:hAnsiTheme="minorHAnsi"/>
          <w:spacing w:val="-4"/>
          <w:sz w:val="20"/>
        </w:rPr>
        <w:t xml:space="preserve"> </w:t>
      </w:r>
      <w:r w:rsidR="004075E0" w:rsidRPr="00EA75FD">
        <w:rPr>
          <w:rFonts w:asciiTheme="minorHAnsi" w:hAnsiTheme="minorHAnsi"/>
          <w:sz w:val="20"/>
        </w:rPr>
        <w:t>strongly</w:t>
      </w:r>
      <w:r w:rsidR="004075E0" w:rsidRPr="00EA75FD">
        <w:rPr>
          <w:rFonts w:asciiTheme="minorHAnsi" w:hAnsiTheme="minorHAnsi"/>
          <w:spacing w:val="-4"/>
          <w:sz w:val="20"/>
        </w:rPr>
        <w:t xml:space="preserve"> </w:t>
      </w:r>
      <w:r w:rsidR="004075E0" w:rsidRPr="00EA75FD">
        <w:rPr>
          <w:rFonts w:asciiTheme="minorHAnsi" w:hAnsiTheme="minorHAnsi"/>
          <w:sz w:val="20"/>
        </w:rPr>
        <w:t>supported</w:t>
      </w:r>
      <w:r w:rsidR="004075E0" w:rsidRPr="00EA75FD">
        <w:rPr>
          <w:rFonts w:asciiTheme="minorHAnsi" w:hAnsiTheme="minorHAnsi"/>
          <w:spacing w:val="-5"/>
          <w:sz w:val="20"/>
        </w:rPr>
        <w:t xml:space="preserve"> </w:t>
      </w:r>
      <w:r w:rsidR="004075E0" w:rsidRPr="00EA75FD">
        <w:rPr>
          <w:rFonts w:asciiTheme="minorHAnsi" w:hAnsiTheme="minorHAnsi"/>
          <w:sz w:val="20"/>
        </w:rPr>
        <w:t>by</w:t>
      </w:r>
      <w:r w:rsidR="004075E0" w:rsidRPr="00EA75FD">
        <w:rPr>
          <w:rFonts w:asciiTheme="minorHAnsi" w:hAnsiTheme="minorHAnsi"/>
          <w:spacing w:val="-7"/>
          <w:sz w:val="20"/>
        </w:rPr>
        <w:t xml:space="preserve"> </w:t>
      </w:r>
      <w:r w:rsidR="004075E0" w:rsidRPr="00EA75FD">
        <w:rPr>
          <w:rFonts w:asciiTheme="minorHAnsi" w:hAnsiTheme="minorHAnsi"/>
          <w:sz w:val="20"/>
        </w:rPr>
        <w:t>the</w:t>
      </w:r>
      <w:r w:rsidR="004075E0" w:rsidRPr="00EA75FD">
        <w:rPr>
          <w:rFonts w:asciiTheme="minorHAnsi" w:hAnsiTheme="minorHAnsi"/>
          <w:spacing w:val="-4"/>
          <w:sz w:val="20"/>
        </w:rPr>
        <w:t xml:space="preserve"> </w:t>
      </w:r>
      <w:r w:rsidR="004075E0" w:rsidRPr="00EA75FD">
        <w:rPr>
          <w:rFonts w:asciiTheme="minorHAnsi" w:hAnsiTheme="minorHAnsi"/>
          <w:sz w:val="20"/>
        </w:rPr>
        <w:t>analysis</w:t>
      </w:r>
      <w:r w:rsidR="004075E0" w:rsidRPr="00EA75FD">
        <w:rPr>
          <w:rFonts w:asciiTheme="minorHAnsi" w:hAnsiTheme="minorHAnsi"/>
          <w:spacing w:val="-6"/>
          <w:sz w:val="20"/>
        </w:rPr>
        <w:t xml:space="preserve"> </w:t>
      </w:r>
      <w:r w:rsidR="004075E0" w:rsidRPr="00EA75FD">
        <w:rPr>
          <w:rFonts w:asciiTheme="minorHAnsi" w:hAnsiTheme="minorHAnsi"/>
          <w:sz w:val="20"/>
        </w:rPr>
        <w:t>of</w:t>
      </w:r>
      <w:r w:rsidR="004075E0" w:rsidRPr="00EA75FD">
        <w:rPr>
          <w:rFonts w:asciiTheme="minorHAnsi" w:hAnsiTheme="minorHAnsi"/>
          <w:spacing w:val="-4"/>
          <w:sz w:val="20"/>
        </w:rPr>
        <w:t xml:space="preserve"> </w:t>
      </w:r>
      <w:r w:rsidR="004075E0" w:rsidRPr="00EA75FD">
        <w:rPr>
          <w:rFonts w:asciiTheme="minorHAnsi" w:hAnsiTheme="minorHAnsi"/>
          <w:sz w:val="20"/>
        </w:rPr>
        <w:t>quantitative</w:t>
      </w:r>
      <w:r w:rsidR="004075E0" w:rsidRPr="00EA75FD">
        <w:rPr>
          <w:rFonts w:asciiTheme="minorHAnsi" w:hAnsiTheme="minorHAnsi"/>
          <w:spacing w:val="-4"/>
          <w:sz w:val="20"/>
        </w:rPr>
        <w:t xml:space="preserve"> </w:t>
      </w:r>
      <w:r w:rsidR="004075E0" w:rsidRPr="00EA75FD">
        <w:rPr>
          <w:rFonts w:asciiTheme="minorHAnsi" w:hAnsiTheme="minorHAnsi"/>
          <w:sz w:val="20"/>
        </w:rPr>
        <w:t>data.</w:t>
      </w:r>
      <w:r w:rsidR="004075E0" w:rsidRPr="00EA75FD">
        <w:rPr>
          <w:rFonts w:asciiTheme="minorHAnsi" w:hAnsiTheme="minorHAnsi"/>
          <w:spacing w:val="-7"/>
          <w:sz w:val="20"/>
        </w:rPr>
        <w:t xml:space="preserve"> </w:t>
      </w:r>
    </w:p>
    <w:p w14:paraId="597F2D22" w14:textId="01CF87BD" w:rsidR="005E267D" w:rsidRDefault="00CA5791" w:rsidP="004075E0">
      <w:pPr>
        <w:pStyle w:val="Reporttext"/>
        <w:spacing w:after="120" w:line="259" w:lineRule="auto"/>
        <w:rPr>
          <w:rFonts w:asciiTheme="minorHAnsi" w:hAnsiTheme="minorHAnsi"/>
          <w:sz w:val="20"/>
        </w:rPr>
      </w:pPr>
      <w:r>
        <w:rPr>
          <w:rFonts w:asciiTheme="minorHAnsi" w:hAnsiTheme="minorHAnsi"/>
          <w:spacing w:val="-7"/>
          <w:sz w:val="20"/>
        </w:rPr>
        <w:t xml:space="preserve">A comparative analysis was used to </w:t>
      </w:r>
      <w:r w:rsidR="00F023E4">
        <w:rPr>
          <w:rFonts w:asciiTheme="minorHAnsi" w:hAnsiTheme="minorHAnsi"/>
          <w:spacing w:val="-7"/>
          <w:sz w:val="20"/>
        </w:rPr>
        <w:t xml:space="preserve">analyse the </w:t>
      </w:r>
      <w:r w:rsidR="00F023E4" w:rsidRPr="00EA75FD">
        <w:rPr>
          <w:rFonts w:asciiTheme="minorHAnsi" w:hAnsiTheme="minorHAnsi"/>
          <w:sz w:val="20"/>
        </w:rPr>
        <w:t>results</w:t>
      </w:r>
      <w:r w:rsidR="00F023E4" w:rsidRPr="00EA75FD">
        <w:rPr>
          <w:rFonts w:asciiTheme="minorHAnsi" w:hAnsiTheme="minorHAnsi"/>
          <w:spacing w:val="-5"/>
          <w:sz w:val="20"/>
        </w:rPr>
        <w:t xml:space="preserve"> </w:t>
      </w:r>
      <w:r w:rsidR="00AE26AA">
        <w:rPr>
          <w:rFonts w:asciiTheme="minorHAnsi" w:hAnsiTheme="minorHAnsi"/>
          <w:sz w:val="20"/>
        </w:rPr>
        <w:t>of the</w:t>
      </w:r>
      <w:r w:rsidR="00F023E4" w:rsidRPr="00EA75FD">
        <w:rPr>
          <w:rFonts w:asciiTheme="minorHAnsi" w:hAnsiTheme="minorHAnsi"/>
          <w:sz w:val="20"/>
        </w:rPr>
        <w:t xml:space="preserve"> qualitative</w:t>
      </w:r>
      <w:r w:rsidR="00F023E4" w:rsidRPr="00EA75FD">
        <w:rPr>
          <w:rFonts w:asciiTheme="minorHAnsi" w:hAnsiTheme="minorHAnsi"/>
          <w:spacing w:val="-1"/>
          <w:sz w:val="20"/>
        </w:rPr>
        <w:t xml:space="preserve"> </w:t>
      </w:r>
      <w:r w:rsidR="00F023E4" w:rsidRPr="00EA75FD">
        <w:rPr>
          <w:rFonts w:asciiTheme="minorHAnsi" w:hAnsiTheme="minorHAnsi"/>
          <w:sz w:val="20"/>
        </w:rPr>
        <w:t>and</w:t>
      </w:r>
      <w:r w:rsidR="00F023E4" w:rsidRPr="00EA75FD">
        <w:rPr>
          <w:rFonts w:asciiTheme="minorHAnsi" w:hAnsiTheme="minorHAnsi"/>
          <w:spacing w:val="-3"/>
          <w:sz w:val="20"/>
        </w:rPr>
        <w:t xml:space="preserve"> </w:t>
      </w:r>
      <w:r w:rsidR="00F023E4" w:rsidRPr="00EA75FD">
        <w:rPr>
          <w:rFonts w:asciiTheme="minorHAnsi" w:hAnsiTheme="minorHAnsi"/>
          <w:sz w:val="20"/>
        </w:rPr>
        <w:t>quantitative</w:t>
      </w:r>
      <w:r w:rsidR="00F023E4" w:rsidRPr="00EA75FD">
        <w:rPr>
          <w:rFonts w:asciiTheme="minorHAnsi" w:hAnsiTheme="minorHAnsi"/>
          <w:spacing w:val="-3"/>
          <w:sz w:val="20"/>
        </w:rPr>
        <w:t xml:space="preserve"> </w:t>
      </w:r>
      <w:r w:rsidR="00F023E4" w:rsidRPr="00EA75FD">
        <w:rPr>
          <w:rFonts w:asciiTheme="minorHAnsi" w:hAnsiTheme="minorHAnsi"/>
          <w:sz w:val="20"/>
        </w:rPr>
        <w:t>analyses</w:t>
      </w:r>
      <w:r w:rsidR="0097549B">
        <w:rPr>
          <w:rFonts w:asciiTheme="minorHAnsi" w:hAnsiTheme="minorHAnsi"/>
          <w:sz w:val="20"/>
        </w:rPr>
        <w:t xml:space="preserve"> </w:t>
      </w:r>
      <w:r w:rsidR="00F8166C">
        <w:rPr>
          <w:rFonts w:asciiTheme="minorHAnsi" w:hAnsiTheme="minorHAnsi"/>
          <w:sz w:val="20"/>
        </w:rPr>
        <w:t xml:space="preserve">to inform </w:t>
      </w:r>
      <w:r w:rsidR="00AE26AA">
        <w:rPr>
          <w:rFonts w:asciiTheme="minorHAnsi" w:hAnsiTheme="minorHAnsi"/>
          <w:sz w:val="20"/>
        </w:rPr>
        <w:t xml:space="preserve">report development. </w:t>
      </w:r>
      <w:r w:rsidR="002907C3">
        <w:rPr>
          <w:rFonts w:asciiTheme="minorHAnsi" w:hAnsiTheme="minorHAnsi"/>
          <w:sz w:val="20"/>
        </w:rPr>
        <w:t xml:space="preserve">Based on </w:t>
      </w:r>
      <w:r w:rsidR="0097549B">
        <w:rPr>
          <w:rFonts w:asciiTheme="minorHAnsi" w:hAnsiTheme="minorHAnsi"/>
          <w:sz w:val="20"/>
        </w:rPr>
        <w:t xml:space="preserve">ToR </w:t>
      </w:r>
      <w:r w:rsidR="002907C3">
        <w:rPr>
          <w:rFonts w:asciiTheme="minorHAnsi" w:hAnsiTheme="minorHAnsi"/>
          <w:sz w:val="20"/>
        </w:rPr>
        <w:t>requirements</w:t>
      </w:r>
      <w:r w:rsidR="00BF70A6">
        <w:rPr>
          <w:rFonts w:asciiTheme="minorHAnsi" w:hAnsiTheme="minorHAnsi"/>
          <w:sz w:val="20"/>
        </w:rPr>
        <w:t>, a case study analysis</w:t>
      </w:r>
      <w:r w:rsidR="002907C3" w:rsidRPr="002907C3">
        <w:rPr>
          <w:rFonts w:asciiTheme="minorHAnsi" w:hAnsiTheme="minorHAnsi"/>
          <w:spacing w:val="-2"/>
          <w:sz w:val="20"/>
        </w:rPr>
        <w:t xml:space="preserve"> </w:t>
      </w:r>
      <w:r w:rsidR="00CB3C92">
        <w:rPr>
          <w:rFonts w:asciiTheme="minorHAnsi" w:hAnsiTheme="minorHAnsi"/>
          <w:spacing w:val="-2"/>
          <w:sz w:val="20"/>
        </w:rPr>
        <w:t xml:space="preserve">was </w:t>
      </w:r>
      <w:r w:rsidR="002907C3" w:rsidRPr="00EA75FD">
        <w:rPr>
          <w:rFonts w:asciiTheme="minorHAnsi" w:hAnsiTheme="minorHAnsi"/>
          <w:spacing w:val="-2"/>
          <w:sz w:val="20"/>
        </w:rPr>
        <w:t>further used to highlight notable elements and outcomes of the project.</w:t>
      </w:r>
      <w:r w:rsidR="0097549B">
        <w:rPr>
          <w:rFonts w:asciiTheme="minorHAnsi" w:hAnsiTheme="minorHAnsi"/>
          <w:spacing w:val="-2"/>
          <w:sz w:val="20"/>
        </w:rPr>
        <w:t xml:space="preserve"> </w:t>
      </w:r>
      <w:r w:rsidR="00CB3C92" w:rsidRPr="00EA75FD">
        <w:rPr>
          <w:rFonts w:asciiTheme="minorHAnsi" w:hAnsiTheme="minorHAnsi"/>
          <w:sz w:val="20"/>
        </w:rPr>
        <w:t xml:space="preserve">The </w:t>
      </w:r>
      <w:r w:rsidR="00CB3C92">
        <w:rPr>
          <w:rFonts w:asciiTheme="minorHAnsi" w:hAnsiTheme="minorHAnsi"/>
          <w:sz w:val="20"/>
        </w:rPr>
        <w:t xml:space="preserve">case study </w:t>
      </w:r>
      <w:r w:rsidR="00CB3C92" w:rsidRPr="00EA75FD">
        <w:rPr>
          <w:rFonts w:asciiTheme="minorHAnsi" w:hAnsiTheme="minorHAnsi"/>
          <w:sz w:val="20"/>
        </w:rPr>
        <w:t xml:space="preserve">analysis </w:t>
      </w:r>
      <w:r w:rsidR="00311845">
        <w:rPr>
          <w:rFonts w:asciiTheme="minorHAnsi" w:hAnsiTheme="minorHAnsi"/>
          <w:sz w:val="20"/>
        </w:rPr>
        <w:t>informed</w:t>
      </w:r>
      <w:r w:rsidR="00CB3C92">
        <w:rPr>
          <w:rFonts w:asciiTheme="minorHAnsi" w:hAnsiTheme="minorHAnsi"/>
          <w:sz w:val="20"/>
        </w:rPr>
        <w:t xml:space="preserve"> </w:t>
      </w:r>
      <w:r w:rsidR="00CB3C92" w:rsidRPr="00EA75FD">
        <w:rPr>
          <w:rFonts w:asciiTheme="minorHAnsi" w:hAnsiTheme="minorHAnsi"/>
          <w:sz w:val="20"/>
        </w:rPr>
        <w:t xml:space="preserve">case study vignettes, which are short, descriptive, summary examples of </w:t>
      </w:r>
      <w:r w:rsidR="000577F0">
        <w:rPr>
          <w:rFonts w:asciiTheme="minorHAnsi" w:hAnsiTheme="minorHAnsi"/>
          <w:sz w:val="20"/>
        </w:rPr>
        <w:t xml:space="preserve">project </w:t>
      </w:r>
      <w:r w:rsidR="000244C8">
        <w:rPr>
          <w:rFonts w:asciiTheme="minorHAnsi" w:hAnsiTheme="minorHAnsi"/>
          <w:sz w:val="20"/>
        </w:rPr>
        <w:t>execution.</w:t>
      </w:r>
      <w:r w:rsidR="00CB3C92" w:rsidRPr="00EA75FD">
        <w:rPr>
          <w:rStyle w:val="FootnoteReference"/>
          <w:rFonts w:asciiTheme="minorHAnsi" w:hAnsiTheme="minorHAnsi"/>
          <w:sz w:val="20"/>
        </w:rPr>
        <w:footnoteReference w:id="58"/>
      </w:r>
      <w:r w:rsidR="00CB3C92" w:rsidRPr="00EA75FD">
        <w:rPr>
          <w:rFonts w:asciiTheme="minorHAnsi" w:hAnsiTheme="minorHAnsi"/>
          <w:sz w:val="20"/>
        </w:rPr>
        <w:t xml:space="preserve"> Although </w:t>
      </w:r>
      <w:r w:rsidR="000244C8">
        <w:rPr>
          <w:rFonts w:asciiTheme="minorHAnsi" w:hAnsiTheme="minorHAnsi"/>
          <w:sz w:val="20"/>
        </w:rPr>
        <w:t xml:space="preserve">they </w:t>
      </w:r>
      <w:r w:rsidR="00C77F05">
        <w:rPr>
          <w:rFonts w:asciiTheme="minorHAnsi" w:hAnsiTheme="minorHAnsi"/>
          <w:sz w:val="20"/>
        </w:rPr>
        <w:t xml:space="preserve">do not reflect </w:t>
      </w:r>
      <w:r w:rsidR="00CB3C92" w:rsidRPr="00EA75FD">
        <w:rPr>
          <w:rFonts w:asciiTheme="minorHAnsi" w:hAnsiTheme="minorHAnsi"/>
          <w:sz w:val="20"/>
        </w:rPr>
        <w:t xml:space="preserve">overall project impact, they </w:t>
      </w:r>
      <w:r w:rsidR="005E267D">
        <w:rPr>
          <w:rFonts w:asciiTheme="minorHAnsi" w:hAnsiTheme="minorHAnsi"/>
          <w:sz w:val="20"/>
        </w:rPr>
        <w:t xml:space="preserve">have been used to </w:t>
      </w:r>
      <w:r w:rsidR="00C77F05">
        <w:rPr>
          <w:rFonts w:asciiTheme="minorHAnsi" w:hAnsiTheme="minorHAnsi"/>
          <w:sz w:val="20"/>
        </w:rPr>
        <w:t xml:space="preserve">provide </w:t>
      </w:r>
      <w:r w:rsidR="00CB3C92" w:rsidRPr="00EA75FD">
        <w:rPr>
          <w:rFonts w:asciiTheme="minorHAnsi" w:hAnsiTheme="minorHAnsi"/>
          <w:sz w:val="20"/>
        </w:rPr>
        <w:t>contextual data</w:t>
      </w:r>
      <w:r w:rsidR="005E267D">
        <w:rPr>
          <w:rFonts w:asciiTheme="minorHAnsi" w:hAnsiTheme="minorHAnsi"/>
          <w:sz w:val="20"/>
        </w:rPr>
        <w:t xml:space="preserve"> on</w:t>
      </w:r>
      <w:r w:rsidR="00CB3C92" w:rsidRPr="00EA75FD">
        <w:rPr>
          <w:rFonts w:asciiTheme="minorHAnsi" w:hAnsiTheme="minorHAnsi"/>
          <w:sz w:val="20"/>
        </w:rPr>
        <w:t xml:space="preserve"> </w:t>
      </w:r>
      <w:r w:rsidR="00C77F05">
        <w:rPr>
          <w:rFonts w:asciiTheme="minorHAnsi" w:hAnsiTheme="minorHAnsi"/>
          <w:sz w:val="20"/>
        </w:rPr>
        <w:t xml:space="preserve">project implementation </w:t>
      </w:r>
      <w:r w:rsidR="005E267D">
        <w:rPr>
          <w:rFonts w:asciiTheme="minorHAnsi" w:hAnsiTheme="minorHAnsi"/>
          <w:sz w:val="20"/>
        </w:rPr>
        <w:t>within a sample of five target countries.</w:t>
      </w:r>
    </w:p>
    <w:p w14:paraId="4798AC9C" w14:textId="1C416060" w:rsidR="00657528" w:rsidRPr="00D12632" w:rsidRDefault="00657528" w:rsidP="00657528">
      <w:pPr>
        <w:pStyle w:val="Caption"/>
        <w:spacing w:before="120"/>
      </w:pPr>
      <w:bookmarkStart w:id="30" w:name="_Toc210730343"/>
      <w:r w:rsidRPr="00D12632">
        <w:t xml:space="preserve">Exhibit </w:t>
      </w:r>
      <w:r w:rsidRPr="00D12632">
        <w:fldChar w:fldCharType="begin"/>
      </w:r>
      <w:r w:rsidRPr="00D12632">
        <w:instrText xml:space="preserve"> SEQ Table \* ARABIC </w:instrText>
      </w:r>
      <w:r w:rsidRPr="00D12632">
        <w:fldChar w:fldCharType="separate"/>
      </w:r>
      <w:r w:rsidR="00C62C97">
        <w:rPr>
          <w:noProof/>
        </w:rPr>
        <w:t>10</w:t>
      </w:r>
      <w:r w:rsidRPr="00D12632">
        <w:fldChar w:fldCharType="end"/>
      </w:r>
      <w:r w:rsidRPr="00D12632">
        <w:t xml:space="preserve"> </w:t>
      </w:r>
      <w:r w:rsidR="00270280">
        <w:t>Methods of data analysis</w:t>
      </w:r>
      <w:bookmarkEnd w:id="30"/>
    </w:p>
    <w:tbl>
      <w:tblPr>
        <w:tblStyle w:val="BlueTable"/>
        <w:tblW w:w="5000" w:type="pct"/>
        <w:jc w:val="center"/>
        <w:tblLook w:val="04A0" w:firstRow="1" w:lastRow="0" w:firstColumn="1" w:lastColumn="0" w:noHBand="0" w:noVBand="1"/>
      </w:tblPr>
      <w:tblGrid>
        <w:gridCol w:w="1552"/>
        <w:gridCol w:w="3077"/>
      </w:tblGrid>
      <w:tr w:rsidR="00657528" w:rsidRPr="00041EA7" w14:paraId="46D05692" w14:textId="77777777" w:rsidTr="004A569B">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552" w:type="dxa"/>
          </w:tcPr>
          <w:p w14:paraId="4722AFC4" w14:textId="78C3EB7A" w:rsidR="00657528" w:rsidRPr="00D12632" w:rsidRDefault="00270280" w:rsidP="00103A05">
            <w:r>
              <w:t>Analytical m</w:t>
            </w:r>
            <w:r w:rsidR="004A569B">
              <w:t>ethod</w:t>
            </w:r>
            <w:r w:rsidR="00DA76EB">
              <w:t xml:space="preserve"> </w:t>
            </w:r>
          </w:p>
        </w:tc>
        <w:tc>
          <w:tcPr>
            <w:tcW w:w="3077" w:type="dxa"/>
          </w:tcPr>
          <w:p w14:paraId="18BDDCE7" w14:textId="77777777" w:rsidR="00657528" w:rsidRPr="00D12632" w:rsidRDefault="00657528" w:rsidP="003D5C0A">
            <w:pPr>
              <w:jc w:val="center"/>
              <w:cnfStyle w:val="100000000000" w:firstRow="1" w:lastRow="0" w:firstColumn="0" w:lastColumn="0" w:oddVBand="0" w:evenVBand="0" w:oddHBand="0" w:evenHBand="0" w:firstRowFirstColumn="0" w:firstRowLastColumn="0" w:lastRowFirstColumn="0" w:lastRowLastColumn="0"/>
            </w:pPr>
            <w:r w:rsidRPr="00D12632">
              <w:t>Description</w:t>
            </w:r>
          </w:p>
        </w:tc>
      </w:tr>
      <w:tr w:rsidR="00657528" w:rsidRPr="00041EA7" w14:paraId="37D93504"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4195F1E9" w14:textId="64732B00" w:rsidR="00657528" w:rsidRPr="00D12632" w:rsidRDefault="00DA76EB" w:rsidP="00103A05">
            <w:r>
              <w:t xml:space="preserve">Descriptive </w:t>
            </w:r>
          </w:p>
        </w:tc>
        <w:tc>
          <w:tcPr>
            <w:tcW w:w="3077" w:type="dxa"/>
          </w:tcPr>
          <w:p w14:paraId="500A57DA" w14:textId="54A7CBE1" w:rsidR="00657528" w:rsidRPr="00884EEC" w:rsidRDefault="003D5C0A" w:rsidP="004A569B">
            <w:pPr>
              <w:pStyle w:val="Normal-sizedTableBullets"/>
              <w:cnfStyle w:val="000000000000" w:firstRow="0" w:lastRow="0" w:firstColumn="0" w:lastColumn="0" w:oddVBand="0" w:evenVBand="0" w:oddHBand="0" w:evenHBand="0" w:firstRowFirstColumn="0" w:firstRowLastColumn="0" w:lastRowFirstColumn="0" w:lastRowLastColumn="0"/>
            </w:pPr>
            <w:r>
              <w:t>Development of descriptive overview of project</w:t>
            </w:r>
          </w:p>
        </w:tc>
      </w:tr>
      <w:tr w:rsidR="00657528" w:rsidRPr="00041EA7" w14:paraId="0556AD81"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22D3A6BB" w14:textId="31459B9B" w:rsidR="00657528" w:rsidRPr="00D12632" w:rsidRDefault="00DA76EB" w:rsidP="00103A05">
            <w:r>
              <w:t xml:space="preserve">Content </w:t>
            </w:r>
          </w:p>
        </w:tc>
        <w:tc>
          <w:tcPr>
            <w:tcW w:w="3077" w:type="dxa"/>
          </w:tcPr>
          <w:p w14:paraId="23A829C2" w14:textId="51F3CED5" w:rsidR="00657528" w:rsidRPr="00041EA7" w:rsidRDefault="00131559"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Identification of common themes</w:t>
            </w:r>
            <w:r w:rsidR="00CD4DE7">
              <w:t>/</w:t>
            </w:r>
            <w:r>
              <w:t xml:space="preserve"> trends</w:t>
            </w:r>
            <w:r w:rsidR="007F709B">
              <w:t xml:space="preserve"> and</w:t>
            </w:r>
            <w:r w:rsidR="00CD4DE7">
              <w:t xml:space="preserve"> diverging views/ trends </w:t>
            </w:r>
            <w:r>
              <w:t>across qualitative data</w:t>
            </w:r>
            <w:r w:rsidR="00157C16">
              <w:t>s</w:t>
            </w:r>
            <w:r>
              <w:t>ets</w:t>
            </w:r>
          </w:p>
        </w:tc>
      </w:tr>
      <w:tr w:rsidR="00657528" w:rsidRPr="00041EA7" w14:paraId="7D1487EA"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78D852D9" w14:textId="5E064D1A" w:rsidR="00657528" w:rsidRPr="00D12632" w:rsidRDefault="00DA76EB" w:rsidP="00103A05">
            <w:r>
              <w:t>Quantitative</w:t>
            </w:r>
          </w:p>
        </w:tc>
        <w:tc>
          <w:tcPr>
            <w:tcW w:w="3077" w:type="dxa"/>
          </w:tcPr>
          <w:p w14:paraId="1DEF36C3" w14:textId="5368B6C1" w:rsidR="00657528" w:rsidRPr="00041EA7" w:rsidRDefault="00EA5CAE"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 xml:space="preserve">Use of Microsoft Excel to generate summary statistics from </w:t>
            </w:r>
            <w:r w:rsidR="00BA7045">
              <w:t>q</w:t>
            </w:r>
            <w:r w:rsidR="00B95ACE">
              <w:t>uantitative dat</w:t>
            </w:r>
            <w:r>
              <w:t>a</w:t>
            </w:r>
            <w:r w:rsidR="00B95ACE">
              <w:t xml:space="preserve">sets </w:t>
            </w:r>
          </w:p>
        </w:tc>
      </w:tr>
      <w:tr w:rsidR="00657528" w:rsidRPr="00041EA7" w14:paraId="4CD1C164"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36E1F070" w14:textId="0C215CCD" w:rsidR="00657528" w:rsidRPr="00D12632" w:rsidRDefault="00DA76EB" w:rsidP="00103A05">
            <w:r>
              <w:t>Comparative</w:t>
            </w:r>
          </w:p>
        </w:tc>
        <w:tc>
          <w:tcPr>
            <w:tcW w:w="3077" w:type="dxa"/>
          </w:tcPr>
          <w:p w14:paraId="31C62014" w14:textId="77777777" w:rsidR="00657528" w:rsidRDefault="008A175C"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Examination of findings across emerging themes</w:t>
            </w:r>
          </w:p>
          <w:p w14:paraId="14D1B9CE" w14:textId="78F273FC" w:rsidR="008A175C" w:rsidRPr="00041EA7" w:rsidRDefault="00707589"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 xml:space="preserve">Identification of </w:t>
            </w:r>
            <w:r w:rsidR="00AF68EB">
              <w:t>good practices</w:t>
            </w:r>
            <w:r w:rsidR="007F709B">
              <w:t>/</w:t>
            </w:r>
            <w:r w:rsidR="00AF68EB">
              <w:t xml:space="preserve"> innovative approaches</w:t>
            </w:r>
            <w:r w:rsidR="007F709B">
              <w:t>/</w:t>
            </w:r>
            <w:r w:rsidR="00BA7045">
              <w:t xml:space="preserve"> lessons learned</w:t>
            </w:r>
          </w:p>
        </w:tc>
      </w:tr>
      <w:tr w:rsidR="00657528" w:rsidRPr="00041EA7" w14:paraId="7AC19474" w14:textId="77777777" w:rsidTr="004A569B">
        <w:trPr>
          <w:jc w:val="center"/>
        </w:trPr>
        <w:tc>
          <w:tcPr>
            <w:cnfStyle w:val="001000000000" w:firstRow="0" w:lastRow="0" w:firstColumn="1" w:lastColumn="0" w:oddVBand="0" w:evenVBand="0" w:oddHBand="0" w:evenHBand="0" w:firstRowFirstColumn="0" w:firstRowLastColumn="0" w:lastRowFirstColumn="0" w:lastRowLastColumn="0"/>
            <w:tcW w:w="1552" w:type="dxa"/>
            <w:vAlign w:val="center"/>
          </w:tcPr>
          <w:p w14:paraId="3C5FE025" w14:textId="67E55823" w:rsidR="00657528" w:rsidRPr="00D12632" w:rsidRDefault="00DA76EB" w:rsidP="00103A05">
            <w:r>
              <w:t>Case study</w:t>
            </w:r>
          </w:p>
        </w:tc>
        <w:tc>
          <w:tcPr>
            <w:tcW w:w="3077" w:type="dxa"/>
          </w:tcPr>
          <w:p w14:paraId="4526C0DC" w14:textId="10A140E8" w:rsidR="00657528" w:rsidRPr="00041EA7" w:rsidRDefault="009F182D" w:rsidP="00103A05">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t>Compilation of vignettes</w:t>
            </w:r>
            <w:r w:rsidR="007F709B">
              <w:t xml:space="preserve"> as </w:t>
            </w:r>
            <w:r w:rsidR="00BE0053">
              <w:t xml:space="preserve">examples </w:t>
            </w:r>
            <w:r w:rsidR="00791B00">
              <w:t>of project impact</w:t>
            </w:r>
            <w:r w:rsidR="00351849">
              <w:t xml:space="preserve">; lessons learns and good practices from project design and implementation </w:t>
            </w:r>
          </w:p>
        </w:tc>
      </w:tr>
    </w:tbl>
    <w:p w14:paraId="5AAC05B6" w14:textId="70D7CC71" w:rsidR="005A6436" w:rsidRPr="00621EA9" w:rsidRDefault="005A6436" w:rsidP="00621EA9">
      <w:pPr>
        <w:pStyle w:val="Heading3"/>
      </w:pPr>
      <w:r w:rsidRPr="00621EA9">
        <w:lastRenderedPageBreak/>
        <w:t>Reporting</w:t>
      </w:r>
    </w:p>
    <w:p w14:paraId="2CAFFC71" w14:textId="4E24BCC2" w:rsidR="000710F0" w:rsidRPr="005D67C8" w:rsidRDefault="00127A01" w:rsidP="005D67C8">
      <w:pPr>
        <w:pStyle w:val="BodyText"/>
        <w:ind w:right="131"/>
        <w:rPr>
          <w:szCs w:val="20"/>
        </w:rPr>
      </w:pPr>
      <w:r>
        <w:rPr>
          <w:szCs w:val="20"/>
        </w:rPr>
        <w:t>A summary document on the</w:t>
      </w:r>
      <w:r w:rsidR="005D67C8" w:rsidRPr="00EA75FD">
        <w:rPr>
          <w:szCs w:val="20"/>
        </w:rPr>
        <w:t xml:space="preserve"> initial </w:t>
      </w:r>
      <w:r>
        <w:rPr>
          <w:szCs w:val="20"/>
        </w:rPr>
        <w:t>results o</w:t>
      </w:r>
      <w:r w:rsidR="005D67C8" w:rsidRPr="00EA75FD">
        <w:rPr>
          <w:szCs w:val="20"/>
        </w:rPr>
        <w:t>f the evaluation</w:t>
      </w:r>
      <w:r>
        <w:rPr>
          <w:szCs w:val="20"/>
        </w:rPr>
        <w:t xml:space="preserve"> </w:t>
      </w:r>
      <w:r w:rsidR="005D67C8" w:rsidRPr="00EA75FD">
        <w:rPr>
          <w:szCs w:val="20"/>
        </w:rPr>
        <w:t>w</w:t>
      </w:r>
      <w:r w:rsidR="005D67C8">
        <w:rPr>
          <w:szCs w:val="20"/>
        </w:rPr>
        <w:t xml:space="preserve">ere </w:t>
      </w:r>
      <w:r w:rsidR="005D67C8" w:rsidRPr="00EA75FD">
        <w:rPr>
          <w:spacing w:val="-2"/>
          <w:szCs w:val="20"/>
        </w:rPr>
        <w:t xml:space="preserve">submitted to </w:t>
      </w:r>
      <w:r w:rsidR="005D67C8" w:rsidRPr="00EA75FD">
        <w:rPr>
          <w:spacing w:val="-1"/>
          <w:szCs w:val="20"/>
        </w:rPr>
        <w:t xml:space="preserve">the evaluation manager at </w:t>
      </w:r>
      <w:r w:rsidR="00126735">
        <w:rPr>
          <w:szCs w:val="20"/>
        </w:rPr>
        <w:t>UNDESA-FSDO</w:t>
      </w:r>
      <w:r w:rsidR="005D67C8" w:rsidRPr="00EA75FD">
        <w:rPr>
          <w:szCs w:val="20"/>
        </w:rPr>
        <w:t xml:space="preserve"> for </w:t>
      </w:r>
      <w:r w:rsidR="000F7BC6">
        <w:rPr>
          <w:szCs w:val="20"/>
        </w:rPr>
        <w:t xml:space="preserve">internal </w:t>
      </w:r>
      <w:r w:rsidR="005D67C8" w:rsidRPr="00EA75FD">
        <w:rPr>
          <w:szCs w:val="20"/>
        </w:rPr>
        <w:t xml:space="preserve">dissemination </w:t>
      </w:r>
      <w:r w:rsidR="000F7BC6">
        <w:rPr>
          <w:szCs w:val="20"/>
        </w:rPr>
        <w:t>and review.</w:t>
      </w:r>
      <w:r w:rsidR="005D67C8" w:rsidRPr="00EA75FD">
        <w:rPr>
          <w:szCs w:val="20"/>
        </w:rPr>
        <w:t xml:space="preserve"> </w:t>
      </w:r>
      <w:r w:rsidR="006203BF">
        <w:rPr>
          <w:szCs w:val="20"/>
        </w:rPr>
        <w:t>As t</w:t>
      </w:r>
      <w:r w:rsidR="005D67C8" w:rsidRPr="00EA75FD">
        <w:rPr>
          <w:szCs w:val="20"/>
        </w:rPr>
        <w:t xml:space="preserve">his approach </w:t>
      </w:r>
      <w:r w:rsidR="000F7BC6">
        <w:rPr>
          <w:szCs w:val="20"/>
        </w:rPr>
        <w:t xml:space="preserve">was informed by </w:t>
      </w:r>
      <w:r w:rsidR="005D67C8" w:rsidRPr="00EA75FD">
        <w:rPr>
          <w:szCs w:val="20"/>
        </w:rPr>
        <w:t xml:space="preserve">the </w:t>
      </w:r>
      <w:r w:rsidR="000F7BC6">
        <w:rPr>
          <w:szCs w:val="20"/>
        </w:rPr>
        <w:t xml:space="preserve">use of </w:t>
      </w:r>
      <w:r w:rsidR="005D67C8" w:rsidRPr="00EA75FD">
        <w:rPr>
          <w:szCs w:val="20"/>
        </w:rPr>
        <w:t>utilisation-focused principles</w:t>
      </w:r>
      <w:r w:rsidR="006203BF">
        <w:rPr>
          <w:szCs w:val="20"/>
        </w:rPr>
        <w:t xml:space="preserve">, it </w:t>
      </w:r>
      <w:r w:rsidR="005D67C8" w:rsidRPr="00EA75FD">
        <w:rPr>
          <w:szCs w:val="20"/>
        </w:rPr>
        <w:t>w</w:t>
      </w:r>
      <w:r w:rsidR="005D67C8">
        <w:rPr>
          <w:szCs w:val="20"/>
        </w:rPr>
        <w:t>as</w:t>
      </w:r>
      <w:r w:rsidR="005D67C8" w:rsidRPr="00EA75FD">
        <w:rPr>
          <w:szCs w:val="20"/>
        </w:rPr>
        <w:t xml:space="preserve"> used to validate the </w:t>
      </w:r>
      <w:r w:rsidR="00373B15">
        <w:rPr>
          <w:szCs w:val="20"/>
        </w:rPr>
        <w:t xml:space="preserve">emerging </w:t>
      </w:r>
      <w:r w:rsidR="005D67C8" w:rsidRPr="00EA75FD">
        <w:rPr>
          <w:szCs w:val="20"/>
        </w:rPr>
        <w:t xml:space="preserve">results of the evaluation. Consolidated feedback from </w:t>
      </w:r>
      <w:r w:rsidR="00126735">
        <w:rPr>
          <w:szCs w:val="20"/>
        </w:rPr>
        <w:t>UNDESA-FSDO</w:t>
      </w:r>
      <w:r w:rsidR="00AB317D">
        <w:rPr>
          <w:szCs w:val="20"/>
        </w:rPr>
        <w:t>;</w:t>
      </w:r>
      <w:r w:rsidR="005D67C8">
        <w:rPr>
          <w:szCs w:val="20"/>
        </w:rPr>
        <w:t xml:space="preserve"> the ERG</w:t>
      </w:r>
      <w:r w:rsidR="00AB317D">
        <w:rPr>
          <w:szCs w:val="20"/>
        </w:rPr>
        <w:t>;</w:t>
      </w:r>
      <w:r w:rsidR="005D67C8">
        <w:rPr>
          <w:szCs w:val="20"/>
        </w:rPr>
        <w:t xml:space="preserve"> and </w:t>
      </w:r>
      <w:r w:rsidR="005D67C8" w:rsidRPr="00EA75FD">
        <w:rPr>
          <w:szCs w:val="20"/>
        </w:rPr>
        <w:t>other</w:t>
      </w:r>
      <w:r w:rsidR="005D67C8">
        <w:rPr>
          <w:szCs w:val="20"/>
        </w:rPr>
        <w:t xml:space="preserve"> relevant project stakeholders w</w:t>
      </w:r>
      <w:r w:rsidR="00373B15">
        <w:rPr>
          <w:szCs w:val="20"/>
        </w:rPr>
        <w:t>as</w:t>
      </w:r>
      <w:r w:rsidR="005D67C8" w:rsidRPr="00EA75FD">
        <w:rPr>
          <w:szCs w:val="20"/>
        </w:rPr>
        <w:t xml:space="preserve"> used to </w:t>
      </w:r>
      <w:r w:rsidR="006D3AB7">
        <w:rPr>
          <w:szCs w:val="20"/>
        </w:rPr>
        <w:t xml:space="preserve">inform </w:t>
      </w:r>
      <w:r w:rsidR="00C12E04">
        <w:rPr>
          <w:szCs w:val="20"/>
        </w:rPr>
        <w:t>the development of the draft evaluation report, which was resubmitted to the evaluation manager for internal dissemination and review</w:t>
      </w:r>
      <w:r w:rsidR="00405B8B">
        <w:rPr>
          <w:szCs w:val="20"/>
        </w:rPr>
        <w:t xml:space="preserve">. </w:t>
      </w:r>
      <w:r w:rsidR="002B4BA3" w:rsidRPr="00EA75FD">
        <w:rPr>
          <w:szCs w:val="20"/>
        </w:rPr>
        <w:t>Consolidated feedback from this process</w:t>
      </w:r>
      <w:r w:rsidR="002B4BA3">
        <w:rPr>
          <w:szCs w:val="20"/>
        </w:rPr>
        <w:t xml:space="preserve"> informed the final evaluation rep</w:t>
      </w:r>
      <w:r w:rsidR="00785796">
        <w:rPr>
          <w:szCs w:val="20"/>
        </w:rPr>
        <w:t xml:space="preserve">ort. </w:t>
      </w:r>
      <w:r w:rsidR="002B4BA3">
        <w:rPr>
          <w:szCs w:val="20"/>
        </w:rPr>
        <w:t xml:space="preserve">The structure of the </w:t>
      </w:r>
      <w:r w:rsidR="005D67C8" w:rsidRPr="00EA75FD">
        <w:rPr>
          <w:szCs w:val="20"/>
        </w:rPr>
        <w:t xml:space="preserve">draft </w:t>
      </w:r>
      <w:r w:rsidR="00785796">
        <w:rPr>
          <w:szCs w:val="20"/>
        </w:rPr>
        <w:t xml:space="preserve">and final </w:t>
      </w:r>
      <w:r w:rsidR="005D67C8" w:rsidRPr="00EA75FD">
        <w:rPr>
          <w:szCs w:val="20"/>
        </w:rPr>
        <w:t>evaluation report</w:t>
      </w:r>
      <w:r w:rsidR="00785796">
        <w:rPr>
          <w:szCs w:val="20"/>
        </w:rPr>
        <w:t>s</w:t>
      </w:r>
      <w:r w:rsidR="005D67C8" w:rsidRPr="00EA75FD">
        <w:rPr>
          <w:szCs w:val="20"/>
        </w:rPr>
        <w:t xml:space="preserve"> w</w:t>
      </w:r>
      <w:r w:rsidR="005D67C8">
        <w:rPr>
          <w:szCs w:val="20"/>
        </w:rPr>
        <w:t>as</w:t>
      </w:r>
      <w:r w:rsidR="005D67C8" w:rsidRPr="00EA75FD">
        <w:rPr>
          <w:szCs w:val="20"/>
        </w:rPr>
        <w:t xml:space="preserve"> </w:t>
      </w:r>
      <w:r w:rsidR="00785796">
        <w:rPr>
          <w:szCs w:val="20"/>
        </w:rPr>
        <w:t xml:space="preserve">based on </w:t>
      </w:r>
      <w:r w:rsidR="005D67C8" w:rsidRPr="00EA75FD">
        <w:rPr>
          <w:szCs w:val="20"/>
        </w:rPr>
        <w:t>the annotated Development Account evaluation report template.</w:t>
      </w:r>
    </w:p>
    <w:p w14:paraId="664382BC" w14:textId="70F5FAF5" w:rsidR="005A6436" w:rsidRPr="00621EA9" w:rsidRDefault="000710F0" w:rsidP="00621EA9">
      <w:pPr>
        <w:pStyle w:val="Heading3"/>
      </w:pPr>
      <w:r w:rsidRPr="00621EA9">
        <w:t xml:space="preserve">Ethical standards and </w:t>
      </w:r>
      <w:r w:rsidR="005A6436" w:rsidRPr="00621EA9">
        <w:t>Assignment management</w:t>
      </w:r>
      <w:r w:rsidRPr="00621EA9">
        <w:t xml:space="preserve"> </w:t>
      </w:r>
    </w:p>
    <w:p w14:paraId="49530955" w14:textId="77777777" w:rsidR="0028621E" w:rsidRDefault="008B3337" w:rsidP="00A12B8A">
      <w:pPr>
        <w:pStyle w:val="BodyText"/>
        <w:ind w:right="130"/>
        <w:rPr>
          <w:szCs w:val="20"/>
        </w:rPr>
      </w:pPr>
      <w:r>
        <w:rPr>
          <w:szCs w:val="20"/>
        </w:rPr>
        <w:t xml:space="preserve">All evaluation activities and products </w:t>
      </w:r>
      <w:r w:rsidR="00A12B8A" w:rsidRPr="00EA75FD">
        <w:rPr>
          <w:szCs w:val="20"/>
        </w:rPr>
        <w:t>compl</w:t>
      </w:r>
      <w:r w:rsidR="00A12B8A">
        <w:rPr>
          <w:szCs w:val="20"/>
        </w:rPr>
        <w:t>ied</w:t>
      </w:r>
      <w:r w:rsidR="00A12B8A" w:rsidRPr="00EA75FD">
        <w:rPr>
          <w:szCs w:val="20"/>
        </w:rPr>
        <w:t xml:space="preserve"> with the international norms and standards of the Unted Nations Evaluation Group (UNEG), with emphasis on the 2020 UNEG Ethical Guidelines for Evaluation</w:t>
      </w:r>
      <w:r w:rsidR="00A12B8A" w:rsidRPr="00EA75FD">
        <w:rPr>
          <w:rStyle w:val="FootnoteReference"/>
          <w:szCs w:val="20"/>
        </w:rPr>
        <w:footnoteReference w:id="59"/>
      </w:r>
      <w:r w:rsidR="00A12B8A" w:rsidRPr="00EA75FD">
        <w:rPr>
          <w:szCs w:val="20"/>
        </w:rPr>
        <w:t xml:space="preserve"> and the UNEG Code of Conduct.</w:t>
      </w:r>
      <w:r w:rsidR="00A12B8A" w:rsidRPr="00EA75FD">
        <w:rPr>
          <w:rStyle w:val="FootnoteReference"/>
          <w:szCs w:val="20"/>
        </w:rPr>
        <w:footnoteReference w:id="60"/>
      </w:r>
      <w:r w:rsidR="00A12B8A" w:rsidRPr="00EA75FD">
        <w:rPr>
          <w:szCs w:val="20"/>
        </w:rPr>
        <w:t xml:space="preserve"> OECD-DAC </w:t>
      </w:r>
      <w:r w:rsidR="00A12B8A" w:rsidRPr="00EA75FD">
        <w:rPr>
          <w:szCs w:val="20"/>
        </w:rPr>
        <w:t xml:space="preserve">guidelines </w:t>
      </w:r>
      <w:r w:rsidR="00224264">
        <w:rPr>
          <w:szCs w:val="20"/>
        </w:rPr>
        <w:t xml:space="preserve">were </w:t>
      </w:r>
      <w:r w:rsidR="00703D66">
        <w:rPr>
          <w:szCs w:val="20"/>
        </w:rPr>
        <w:t>further</w:t>
      </w:r>
      <w:r w:rsidR="00224264">
        <w:rPr>
          <w:szCs w:val="20"/>
        </w:rPr>
        <w:t xml:space="preserve"> used to </w:t>
      </w:r>
      <w:r w:rsidR="00A12B8A" w:rsidRPr="00EA75FD">
        <w:rPr>
          <w:szCs w:val="20"/>
        </w:rPr>
        <w:t>defin</w:t>
      </w:r>
      <w:r w:rsidR="00224264">
        <w:rPr>
          <w:szCs w:val="20"/>
        </w:rPr>
        <w:t xml:space="preserve">e </w:t>
      </w:r>
      <w:r w:rsidR="00A12B8A" w:rsidRPr="00EA75FD">
        <w:rPr>
          <w:szCs w:val="20"/>
        </w:rPr>
        <w:t>the main evaluation criteria</w:t>
      </w:r>
      <w:r w:rsidR="00703D66">
        <w:rPr>
          <w:szCs w:val="20"/>
        </w:rPr>
        <w:t xml:space="preserve">. </w:t>
      </w:r>
    </w:p>
    <w:p w14:paraId="63E1DBC3" w14:textId="233F03E1" w:rsidR="00A12B8A" w:rsidRDefault="00703D66" w:rsidP="00A12B8A">
      <w:pPr>
        <w:pStyle w:val="BodyText"/>
        <w:ind w:right="130"/>
        <w:rPr>
          <w:szCs w:val="20"/>
        </w:rPr>
      </w:pPr>
      <w:r>
        <w:rPr>
          <w:szCs w:val="20"/>
        </w:rPr>
        <w:t xml:space="preserve">The </w:t>
      </w:r>
      <w:r w:rsidR="00224264">
        <w:rPr>
          <w:szCs w:val="20"/>
        </w:rPr>
        <w:t xml:space="preserve">evaluation </w:t>
      </w:r>
      <w:r w:rsidR="001F2A37">
        <w:rPr>
          <w:szCs w:val="20"/>
        </w:rPr>
        <w:t xml:space="preserve">adhered to </w:t>
      </w:r>
      <w:r w:rsidR="00A12B8A" w:rsidRPr="00EA75FD">
        <w:rPr>
          <w:szCs w:val="20"/>
        </w:rPr>
        <w:t>UNDESA organisational standards and data protection principles</w:t>
      </w:r>
      <w:r w:rsidR="001F2A37">
        <w:rPr>
          <w:szCs w:val="20"/>
        </w:rPr>
        <w:t xml:space="preserve"> </w:t>
      </w:r>
      <w:r w:rsidR="001F2A37" w:rsidRPr="00EA75FD">
        <w:rPr>
          <w:szCs w:val="20"/>
        </w:rPr>
        <w:t>to maintain stakeholder confidentiality</w:t>
      </w:r>
      <w:r w:rsidR="0097245C">
        <w:rPr>
          <w:szCs w:val="20"/>
        </w:rPr>
        <w:t xml:space="preserve"> and ensure the imparti</w:t>
      </w:r>
      <w:r w:rsidR="00C10012">
        <w:rPr>
          <w:szCs w:val="20"/>
        </w:rPr>
        <w:t>ality and integrity of the e</w:t>
      </w:r>
      <w:r w:rsidR="0028621E">
        <w:rPr>
          <w:szCs w:val="20"/>
        </w:rPr>
        <w:t>xercise</w:t>
      </w:r>
      <w:r w:rsidR="001F2A37" w:rsidRPr="00EA75FD">
        <w:rPr>
          <w:spacing w:val="-4"/>
          <w:szCs w:val="20"/>
        </w:rPr>
        <w:t>.</w:t>
      </w:r>
      <w:r w:rsidR="001F2A37">
        <w:rPr>
          <w:spacing w:val="-4"/>
          <w:szCs w:val="20"/>
        </w:rPr>
        <w:t xml:space="preserve"> Significantly, the evaluator </w:t>
      </w:r>
      <w:r w:rsidR="00C10012">
        <w:rPr>
          <w:spacing w:val="-4"/>
          <w:szCs w:val="20"/>
        </w:rPr>
        <w:t xml:space="preserve">has </w:t>
      </w:r>
      <w:r w:rsidR="009C4255">
        <w:rPr>
          <w:spacing w:val="-4"/>
          <w:szCs w:val="20"/>
        </w:rPr>
        <w:t xml:space="preserve">also </w:t>
      </w:r>
      <w:r w:rsidR="00A12B8A">
        <w:rPr>
          <w:szCs w:val="20"/>
        </w:rPr>
        <w:t xml:space="preserve">refrained from </w:t>
      </w:r>
      <w:r w:rsidR="00A12B8A" w:rsidRPr="00EA75FD">
        <w:rPr>
          <w:szCs w:val="20"/>
        </w:rPr>
        <w:t>reproduc</w:t>
      </w:r>
      <w:r w:rsidR="00C10012">
        <w:rPr>
          <w:szCs w:val="20"/>
        </w:rPr>
        <w:t>ing</w:t>
      </w:r>
      <w:r w:rsidR="00A12B8A" w:rsidRPr="00EA75FD">
        <w:rPr>
          <w:spacing w:val="-6"/>
          <w:szCs w:val="20"/>
        </w:rPr>
        <w:t xml:space="preserve"> </w:t>
      </w:r>
      <w:r w:rsidR="00A12B8A" w:rsidRPr="00EA75FD">
        <w:rPr>
          <w:szCs w:val="20"/>
        </w:rPr>
        <w:t>the</w:t>
      </w:r>
      <w:r w:rsidR="00A12B8A" w:rsidRPr="00EA75FD">
        <w:rPr>
          <w:spacing w:val="-6"/>
          <w:szCs w:val="20"/>
        </w:rPr>
        <w:t xml:space="preserve"> </w:t>
      </w:r>
      <w:r w:rsidR="00A12B8A" w:rsidRPr="00EA75FD">
        <w:rPr>
          <w:szCs w:val="20"/>
        </w:rPr>
        <w:t>evaluation</w:t>
      </w:r>
      <w:r w:rsidR="00A12B8A" w:rsidRPr="00EA75FD">
        <w:rPr>
          <w:spacing w:val="-4"/>
          <w:szCs w:val="20"/>
        </w:rPr>
        <w:t xml:space="preserve"> </w:t>
      </w:r>
      <w:r w:rsidR="00A12B8A" w:rsidRPr="00EA75FD">
        <w:rPr>
          <w:szCs w:val="20"/>
        </w:rPr>
        <w:t>data</w:t>
      </w:r>
      <w:r w:rsidR="006F065A">
        <w:rPr>
          <w:szCs w:val="20"/>
        </w:rPr>
        <w:t xml:space="preserve"> and</w:t>
      </w:r>
      <w:r w:rsidR="00A12B8A" w:rsidRPr="00EA75FD">
        <w:rPr>
          <w:spacing w:val="-3"/>
          <w:szCs w:val="20"/>
        </w:rPr>
        <w:t xml:space="preserve"> outputs</w:t>
      </w:r>
      <w:r w:rsidR="00A12B8A" w:rsidRPr="00EA75FD">
        <w:rPr>
          <w:spacing w:val="-4"/>
          <w:szCs w:val="20"/>
        </w:rPr>
        <w:t xml:space="preserve"> </w:t>
      </w:r>
      <w:r w:rsidR="00A12B8A" w:rsidRPr="00EA75FD">
        <w:rPr>
          <w:szCs w:val="20"/>
        </w:rPr>
        <w:t>for</w:t>
      </w:r>
      <w:r w:rsidR="00A12B8A" w:rsidRPr="00EA75FD">
        <w:rPr>
          <w:spacing w:val="-3"/>
          <w:szCs w:val="20"/>
        </w:rPr>
        <w:t xml:space="preserve"> </w:t>
      </w:r>
      <w:r w:rsidR="00A12B8A" w:rsidRPr="00EA75FD">
        <w:rPr>
          <w:szCs w:val="20"/>
        </w:rPr>
        <w:t xml:space="preserve">personal purposes. </w:t>
      </w:r>
    </w:p>
    <w:p w14:paraId="1CCC0782" w14:textId="7956F2DF" w:rsidR="005A6436" w:rsidRPr="00621EA9" w:rsidRDefault="005A6436" w:rsidP="00621EA9">
      <w:pPr>
        <w:pStyle w:val="Heading3"/>
      </w:pPr>
      <w:r w:rsidRPr="00621EA9">
        <w:t>Limitations and mitigation measures</w:t>
      </w:r>
    </w:p>
    <w:p w14:paraId="712DDD52" w14:textId="1DB337EA" w:rsidR="009E20BA" w:rsidRDefault="00A30CDE" w:rsidP="009E20BA">
      <w:pPr>
        <w:pStyle w:val="Reporttext"/>
        <w:spacing w:after="120" w:line="259" w:lineRule="auto"/>
        <w:rPr>
          <w:rFonts w:asciiTheme="minorHAnsi" w:hAnsiTheme="minorHAnsi"/>
          <w:sz w:val="20"/>
        </w:rPr>
      </w:pPr>
      <w:r>
        <w:rPr>
          <w:rFonts w:asciiTheme="minorHAnsi" w:hAnsiTheme="minorHAnsi"/>
          <w:sz w:val="20"/>
        </w:rPr>
        <w:t xml:space="preserve">There was </w:t>
      </w:r>
      <w:r w:rsidR="00960794">
        <w:rPr>
          <w:rFonts w:asciiTheme="minorHAnsi" w:hAnsiTheme="minorHAnsi"/>
          <w:sz w:val="20"/>
        </w:rPr>
        <w:t>one</w:t>
      </w:r>
      <w:r>
        <w:rPr>
          <w:rFonts w:asciiTheme="minorHAnsi" w:hAnsiTheme="minorHAnsi"/>
          <w:sz w:val="20"/>
        </w:rPr>
        <w:t xml:space="preserve"> limitation to the evaluation: non-response by project stakeholders to requests for consultation by key informant interview and/ or electronic survey.</w:t>
      </w:r>
      <w:r w:rsidR="002C62E8">
        <w:rPr>
          <w:rStyle w:val="FootnoteReference"/>
          <w:rFonts w:asciiTheme="minorHAnsi" w:hAnsiTheme="minorHAnsi"/>
          <w:sz w:val="20"/>
        </w:rPr>
        <w:footnoteReference w:id="61"/>
      </w:r>
      <w:r>
        <w:rPr>
          <w:rFonts w:asciiTheme="minorHAnsi" w:hAnsiTheme="minorHAnsi"/>
          <w:sz w:val="20"/>
        </w:rPr>
        <w:t xml:space="preserve"> </w:t>
      </w:r>
      <w:r w:rsidR="006F065A">
        <w:rPr>
          <w:rFonts w:asciiTheme="minorHAnsi" w:hAnsiTheme="minorHAnsi"/>
          <w:sz w:val="20"/>
        </w:rPr>
        <w:t xml:space="preserve">As a mitigation measure, </w:t>
      </w:r>
      <w:r>
        <w:rPr>
          <w:rFonts w:asciiTheme="minorHAnsi" w:hAnsiTheme="minorHAnsi"/>
          <w:sz w:val="20"/>
        </w:rPr>
        <w:t>detailed consultations were held with stakeholders who were available</w:t>
      </w:r>
      <w:r w:rsidR="00F822DA">
        <w:rPr>
          <w:rFonts w:asciiTheme="minorHAnsi" w:hAnsiTheme="minorHAnsi"/>
          <w:sz w:val="20"/>
        </w:rPr>
        <w:t xml:space="preserve"> for engagement. </w:t>
      </w:r>
      <w:r>
        <w:rPr>
          <w:rFonts w:asciiTheme="minorHAnsi" w:hAnsiTheme="minorHAnsi"/>
          <w:sz w:val="20"/>
        </w:rPr>
        <w:t>This process was strongly supported by an in-depth desk review of relevant project documentation</w:t>
      </w:r>
      <w:r w:rsidR="00DB7503">
        <w:rPr>
          <w:rFonts w:asciiTheme="minorHAnsi" w:hAnsiTheme="minorHAnsi"/>
          <w:sz w:val="20"/>
        </w:rPr>
        <w:t>. It was also supported by</w:t>
      </w:r>
      <w:r>
        <w:rPr>
          <w:rFonts w:asciiTheme="minorHAnsi" w:hAnsiTheme="minorHAnsi"/>
          <w:sz w:val="20"/>
        </w:rPr>
        <w:t xml:space="preserve"> </w:t>
      </w:r>
      <w:r w:rsidR="00A164D5">
        <w:rPr>
          <w:rFonts w:asciiTheme="minorHAnsi" w:hAnsiTheme="minorHAnsi"/>
          <w:sz w:val="20"/>
        </w:rPr>
        <w:t xml:space="preserve">the </w:t>
      </w:r>
      <w:r>
        <w:rPr>
          <w:rFonts w:asciiTheme="minorHAnsi" w:hAnsiTheme="minorHAnsi"/>
          <w:sz w:val="20"/>
        </w:rPr>
        <w:t>third-party review of all expected deliverables by the ERG and other relevant project stakeholders, to inform the final evaluation report.</w:t>
      </w:r>
      <w:r w:rsidR="009E20BA">
        <w:rPr>
          <w:rFonts w:asciiTheme="minorHAnsi" w:hAnsiTheme="minorHAnsi"/>
          <w:sz w:val="20"/>
        </w:rPr>
        <w:t xml:space="preserve"> </w:t>
      </w:r>
    </w:p>
    <w:p w14:paraId="29FF3DC9" w14:textId="159EA87A" w:rsidR="00D95210" w:rsidRPr="00621EA9" w:rsidRDefault="00D95210" w:rsidP="009E20BA">
      <w:pPr>
        <w:pStyle w:val="Reporttext"/>
        <w:spacing w:after="120" w:line="259" w:lineRule="auto"/>
      </w:pPr>
    </w:p>
    <w:p w14:paraId="5D7F8C7B" w14:textId="77777777" w:rsidR="00704CFB" w:rsidRDefault="00704CFB">
      <w:pPr>
        <w:spacing w:after="200" w:line="276" w:lineRule="auto"/>
        <w:rPr>
          <w:rFonts w:eastAsiaTheme="minorHAnsi"/>
          <w:i/>
          <w:iCs/>
          <w:lang w:eastAsia="en-US"/>
        </w:rPr>
        <w:sectPr w:rsidR="00704CFB" w:rsidSect="00143794">
          <w:type w:val="continuous"/>
          <w:pgSz w:w="12240" w:h="15840" w:code="1"/>
          <w:pgMar w:top="1276" w:right="1276" w:bottom="2127" w:left="1276" w:header="720" w:footer="720" w:gutter="0"/>
          <w:cols w:num="2" w:space="397"/>
          <w:docGrid w:linePitch="360"/>
        </w:sectPr>
      </w:pPr>
    </w:p>
    <w:p w14:paraId="46F6A523" w14:textId="14FC472F" w:rsidR="00875969" w:rsidRPr="005805DC" w:rsidRDefault="00875969" w:rsidP="004058C8">
      <w:pPr>
        <w:pStyle w:val="Heading1"/>
      </w:pPr>
      <w:bookmarkStart w:id="31" w:name="_Toc210730321"/>
      <w:r w:rsidRPr="005805DC">
        <w:lastRenderedPageBreak/>
        <w:t>Findings</w:t>
      </w:r>
      <w:bookmarkEnd w:id="31"/>
    </w:p>
    <w:p w14:paraId="56571489" w14:textId="77777777" w:rsidR="00EC127F" w:rsidRDefault="00EC127F" w:rsidP="004058C8">
      <w:pPr>
        <w:pStyle w:val="BodyText"/>
        <w:sectPr w:rsidR="00EC127F" w:rsidSect="00F666A1">
          <w:type w:val="continuous"/>
          <w:pgSz w:w="12240" w:h="15840" w:code="1"/>
          <w:pgMar w:top="1276" w:right="1276" w:bottom="1588" w:left="1276" w:header="720" w:footer="720" w:gutter="0"/>
          <w:cols w:space="720"/>
          <w:docGrid w:linePitch="360"/>
        </w:sectPr>
      </w:pPr>
    </w:p>
    <w:p w14:paraId="2B671860" w14:textId="6B6E2456" w:rsidR="00266A63" w:rsidRDefault="00AD372C" w:rsidP="004058C8">
      <w:pPr>
        <w:pStyle w:val="BodyText"/>
      </w:pPr>
      <w:r>
        <w:t xml:space="preserve">In the sub-Sections that follow, the main findings of the evaluation are discussed under </w:t>
      </w:r>
      <w:r w:rsidR="004473EE" w:rsidRPr="004058C8">
        <w:t>the six OECD-DAC criteria of focus</w:t>
      </w:r>
      <w:r w:rsidR="00E87FDD" w:rsidRPr="004058C8">
        <w:t xml:space="preserve"> for the e</w:t>
      </w:r>
      <w:r w:rsidR="00B4744C">
        <w:t>xercise</w:t>
      </w:r>
      <w:r w:rsidR="004473EE" w:rsidRPr="004058C8">
        <w:t xml:space="preserve"> (relevance; coherence; effectiveness; efficiency; impact; and sustainability)</w:t>
      </w:r>
      <w:r w:rsidR="00B4744C">
        <w:t xml:space="preserve">. </w:t>
      </w:r>
      <w:r w:rsidR="00BF4E6F">
        <w:t xml:space="preserve">In response to ToR requirements, the </w:t>
      </w:r>
      <w:r w:rsidR="00B4744C">
        <w:t xml:space="preserve">discussion </w:t>
      </w:r>
      <w:r w:rsidR="00BF2B80">
        <w:t xml:space="preserve">has </w:t>
      </w:r>
      <w:r w:rsidR="00B4744C">
        <w:t xml:space="preserve">also </w:t>
      </w:r>
      <w:r w:rsidR="00BF2B80">
        <w:t>been used to examine</w:t>
      </w:r>
      <w:r w:rsidR="00B97BE4">
        <w:t xml:space="preserve"> the</w:t>
      </w:r>
      <w:r w:rsidR="00BF2B80">
        <w:t xml:space="preserve"> </w:t>
      </w:r>
      <w:r w:rsidR="004473EE" w:rsidRPr="004058C8">
        <w:t>t</w:t>
      </w:r>
      <w:r w:rsidR="00E87FDD" w:rsidRPr="004058C8">
        <w:t>hree c</w:t>
      </w:r>
      <w:r w:rsidR="004473EE" w:rsidRPr="004058C8">
        <w:t>ross-cutting themes</w:t>
      </w:r>
      <w:r w:rsidR="00BF4E6F">
        <w:t xml:space="preserve">: </w:t>
      </w:r>
      <w:r w:rsidR="004473EE" w:rsidRPr="004058C8">
        <w:t xml:space="preserve">gender; </w:t>
      </w:r>
      <w:r w:rsidR="00E25376">
        <w:t>human rights</w:t>
      </w:r>
      <w:r w:rsidR="00AA293B">
        <w:t xml:space="preserve">; and </w:t>
      </w:r>
      <w:r w:rsidR="00C46D33" w:rsidRPr="004058C8">
        <w:t>disability inclusion</w:t>
      </w:r>
      <w:r w:rsidR="004473EE" w:rsidRPr="004058C8">
        <w:t>.</w:t>
      </w:r>
      <w:r w:rsidR="00E87FDD" w:rsidRPr="0028431D">
        <w:rPr>
          <w:rStyle w:val="FootnoteReference"/>
        </w:rPr>
        <w:footnoteReference w:id="62"/>
      </w:r>
      <w:r w:rsidR="004473EE" w:rsidRPr="004058C8">
        <w:t xml:space="preserve"> </w:t>
      </w:r>
      <w:r w:rsidR="007E3922" w:rsidRPr="004058C8">
        <w:t xml:space="preserve">Data generation for the evaluation </w:t>
      </w:r>
      <w:r w:rsidR="007E3922">
        <w:t xml:space="preserve">comprised </w:t>
      </w:r>
      <w:r w:rsidR="007E3922" w:rsidRPr="004058C8">
        <w:t>an in-depth desk review of relevant project documents and the literature</w:t>
      </w:r>
      <w:r w:rsidR="007E3922">
        <w:t>, and</w:t>
      </w:r>
      <w:r w:rsidR="007E3922" w:rsidRPr="004058C8">
        <w:t xml:space="preserve"> key informant consultations by interview and electronic survey. </w:t>
      </w:r>
      <w:r w:rsidR="00266A63">
        <w:t xml:space="preserve">Significantly, the analysis </w:t>
      </w:r>
      <w:r w:rsidR="006F2A24">
        <w:t xml:space="preserve">in this section is not based on the isolated assessment of results under each </w:t>
      </w:r>
      <w:r w:rsidR="00B27D0C">
        <w:t>evaluation criteria</w:t>
      </w:r>
      <w:r w:rsidR="00C4759F">
        <w:t xml:space="preserve">. </w:t>
      </w:r>
      <w:r w:rsidR="00172723">
        <w:t xml:space="preserve">In the interest of providing a holistic assessment of the </w:t>
      </w:r>
      <w:r w:rsidR="00AB18B9">
        <w:t>project, t</w:t>
      </w:r>
      <w:r w:rsidR="00607048">
        <w:t xml:space="preserve">he analysis </w:t>
      </w:r>
      <w:r w:rsidR="00172723">
        <w:t>has been informed by the existing synergies between evaluation criteria</w:t>
      </w:r>
      <w:r w:rsidR="00AB18B9">
        <w:t xml:space="preserve"> (e.g. </w:t>
      </w:r>
      <w:r w:rsidR="00F05F99">
        <w:t xml:space="preserve">a key factor in </w:t>
      </w:r>
      <w:r w:rsidR="00F06A1F">
        <w:t xml:space="preserve">assessing project </w:t>
      </w:r>
      <w:r w:rsidR="00035386">
        <w:t xml:space="preserve">effectiveness </w:t>
      </w:r>
      <w:r w:rsidR="00F06A1F">
        <w:t xml:space="preserve">was </w:t>
      </w:r>
      <w:r w:rsidR="00035386">
        <w:t xml:space="preserve">the </w:t>
      </w:r>
      <w:r w:rsidR="00F06A1F">
        <w:t xml:space="preserve">relevance of the </w:t>
      </w:r>
      <w:r w:rsidR="00035386">
        <w:t xml:space="preserve">project to </w:t>
      </w:r>
      <w:r w:rsidR="00BD2DBD">
        <w:t>its key stakeholders, including</w:t>
      </w:r>
      <w:r w:rsidR="00856345">
        <w:t xml:space="preserve"> </w:t>
      </w:r>
      <w:r w:rsidR="00BD2DBD">
        <w:t>but not l</w:t>
      </w:r>
      <w:r w:rsidR="007E3922">
        <w:t xml:space="preserve">imited to, </w:t>
      </w:r>
      <w:r w:rsidR="00856345">
        <w:t xml:space="preserve">stakeholders in </w:t>
      </w:r>
      <w:r w:rsidR="007E3922">
        <w:t>the target countries).</w:t>
      </w:r>
      <w:r w:rsidR="00172723">
        <w:t xml:space="preserve"> </w:t>
      </w:r>
    </w:p>
    <w:p w14:paraId="28A8D065" w14:textId="40B0F1C2" w:rsidR="008F1FA1" w:rsidRPr="00CF592E" w:rsidRDefault="008F1FA1" w:rsidP="00AF2D8E">
      <w:pPr>
        <w:pStyle w:val="Heading2"/>
      </w:pPr>
      <w:bookmarkStart w:id="32" w:name="_Toc210730322"/>
      <w:r w:rsidRPr="00CF592E">
        <w:t>Relevance</w:t>
      </w:r>
      <w:bookmarkEnd w:id="32"/>
    </w:p>
    <w:p w14:paraId="13907345" w14:textId="6D00BAEB" w:rsidR="00F57645" w:rsidRDefault="00701FE1" w:rsidP="004058C8">
      <w:pPr>
        <w:pStyle w:val="BodyText"/>
      </w:pPr>
      <w:r>
        <w:t xml:space="preserve">Project relevance </w:t>
      </w:r>
      <w:r w:rsidR="009D33EC">
        <w:t xml:space="preserve">was measured as </w:t>
      </w:r>
      <w:r w:rsidR="005E3E90">
        <w:t xml:space="preserve">the responsiveness of the </w:t>
      </w:r>
      <w:r w:rsidR="00ED6BE1">
        <w:t xml:space="preserve">project </w:t>
      </w:r>
      <w:r w:rsidR="005E3E90">
        <w:t xml:space="preserve">objectives and design to the </w:t>
      </w:r>
      <w:r w:rsidR="00204C0A">
        <w:t>needs; policies</w:t>
      </w:r>
      <w:r w:rsidR="00ED6BE1">
        <w:t>;</w:t>
      </w:r>
      <w:r w:rsidR="00204C0A">
        <w:t xml:space="preserve"> and priorities of the target benefici</w:t>
      </w:r>
      <w:r w:rsidR="006F4931">
        <w:t xml:space="preserve">aries. </w:t>
      </w:r>
      <w:r>
        <w:t xml:space="preserve">The assessment </w:t>
      </w:r>
      <w:r w:rsidR="002B4F36">
        <w:t xml:space="preserve">included an </w:t>
      </w:r>
      <w:r>
        <w:t>examin</w:t>
      </w:r>
      <w:r w:rsidR="002B4F36">
        <w:t xml:space="preserve">ation of </w:t>
      </w:r>
      <w:r>
        <w:t xml:space="preserve">the extent to which </w:t>
      </w:r>
      <w:r w:rsidR="00667658">
        <w:t xml:space="preserve">there was continued evidence of project </w:t>
      </w:r>
      <w:r w:rsidR="00C56C9D">
        <w:t xml:space="preserve">responsiveness </w:t>
      </w:r>
      <w:r w:rsidR="00D66FD0">
        <w:t xml:space="preserve">during emergent changes in circumstances. </w:t>
      </w:r>
      <w:r w:rsidR="00DD27A6">
        <w:t xml:space="preserve">To facilitate this objective, the </w:t>
      </w:r>
      <w:r w:rsidR="00E420A8">
        <w:t xml:space="preserve">evaluation </w:t>
      </w:r>
      <w:r w:rsidR="00BD1283">
        <w:t>w</w:t>
      </w:r>
      <w:r w:rsidR="00517025">
        <w:t xml:space="preserve">as used to </w:t>
      </w:r>
      <w:r w:rsidR="0025421B">
        <w:t xml:space="preserve">determine whether </w:t>
      </w:r>
      <w:r w:rsidR="003107E1">
        <w:t xml:space="preserve">the </w:t>
      </w:r>
      <w:r w:rsidR="0025421B">
        <w:t xml:space="preserve">project was sensitive to </w:t>
      </w:r>
      <w:r w:rsidR="004C4C37">
        <w:t xml:space="preserve">the contextual </w:t>
      </w:r>
      <w:r w:rsidR="003107E1">
        <w:t xml:space="preserve">conditions in which </w:t>
      </w:r>
      <w:r w:rsidR="00F57645">
        <w:t>activity</w:t>
      </w:r>
      <w:r w:rsidR="00BD1283">
        <w:t xml:space="preserve"> </w:t>
      </w:r>
      <w:r w:rsidR="003107E1">
        <w:t xml:space="preserve">implementation took place (i.e. </w:t>
      </w:r>
      <w:r w:rsidR="00A000D3">
        <w:t xml:space="preserve">conditions pertaining to the </w:t>
      </w:r>
      <w:r w:rsidR="007175A5">
        <w:t xml:space="preserve">socio-economic; </w:t>
      </w:r>
      <w:r w:rsidR="009E0A49">
        <w:t xml:space="preserve">political; </w:t>
      </w:r>
      <w:r w:rsidR="007175A5">
        <w:t xml:space="preserve">environmental; </w:t>
      </w:r>
      <w:r w:rsidR="009E0A49">
        <w:t>capacity</w:t>
      </w:r>
      <w:r w:rsidR="000C482B">
        <w:t>; and equity con</w:t>
      </w:r>
      <w:r w:rsidR="00A000D3">
        <w:t>texts of implementation</w:t>
      </w:r>
      <w:r w:rsidR="00522561">
        <w:t xml:space="preserve">). </w:t>
      </w:r>
      <w:r w:rsidR="00F57645">
        <w:t xml:space="preserve">Significantly, </w:t>
      </w:r>
      <w:r w:rsidR="00BF60FA">
        <w:t xml:space="preserve">the </w:t>
      </w:r>
      <w:r w:rsidR="005C40B5">
        <w:t xml:space="preserve">focus </w:t>
      </w:r>
      <w:r w:rsidR="007663C1">
        <w:t xml:space="preserve">has been </w:t>
      </w:r>
      <w:r w:rsidR="005C40B5">
        <w:t xml:space="preserve">on </w:t>
      </w:r>
      <w:r w:rsidR="00D86A8A">
        <w:t>conceptual relevance</w:t>
      </w:r>
      <w:r w:rsidR="002E3B7A">
        <w:t xml:space="preserve"> and </w:t>
      </w:r>
      <w:r w:rsidR="00E25B93">
        <w:t>project responsiveness to the stated needs of the target beneficiaries.</w:t>
      </w:r>
      <w:r w:rsidR="006106AC">
        <w:t xml:space="preserve"> The extent to which </w:t>
      </w:r>
      <w:r w:rsidR="00717BB9">
        <w:t xml:space="preserve">the </w:t>
      </w:r>
      <w:r w:rsidR="006106AC">
        <w:t xml:space="preserve">project </w:t>
      </w:r>
      <w:r w:rsidR="006F568F">
        <w:t xml:space="preserve">contributed towards the </w:t>
      </w:r>
      <w:r w:rsidR="006106AC">
        <w:t>generat</w:t>
      </w:r>
      <w:r w:rsidR="006F568F">
        <w:t xml:space="preserve">ion of </w:t>
      </w:r>
      <w:r w:rsidR="002873CE">
        <w:t>relevant results will be addressed under the assessment of the effectiveness criterion.</w:t>
      </w:r>
    </w:p>
    <w:p w14:paraId="35E1E9D3" w14:textId="4CBCEFBE" w:rsidR="00EE7717" w:rsidRDefault="00AC21BD" w:rsidP="004058C8">
      <w:pPr>
        <w:pStyle w:val="BodyText"/>
        <w:rPr>
          <w:b/>
          <w:bCs/>
        </w:rPr>
      </w:pPr>
      <w:r>
        <w:t xml:space="preserve">The </w:t>
      </w:r>
      <w:r w:rsidR="00522561">
        <w:t>results of the evaluation</w:t>
      </w:r>
      <w:r>
        <w:t xml:space="preserve"> have shown that </w:t>
      </w:r>
      <w:r w:rsidR="00B9522A">
        <w:rPr>
          <w:b/>
          <w:bCs/>
        </w:rPr>
        <w:t xml:space="preserve">although the target countries were not engaged during project design, </w:t>
      </w:r>
      <w:r w:rsidR="00522561" w:rsidRPr="00522561">
        <w:rPr>
          <w:b/>
          <w:bCs/>
        </w:rPr>
        <w:t>the project was</w:t>
      </w:r>
      <w:r>
        <w:rPr>
          <w:b/>
          <w:bCs/>
        </w:rPr>
        <w:t xml:space="preserve"> </w:t>
      </w:r>
      <w:r w:rsidR="0065686A" w:rsidRPr="0091153C">
        <w:rPr>
          <w:b/>
          <w:bCs/>
        </w:rPr>
        <w:t>conceptually relevant to the situation of development financing within the target countries</w:t>
      </w:r>
      <w:r w:rsidR="007A0A8A" w:rsidRPr="0091153C">
        <w:rPr>
          <w:b/>
          <w:bCs/>
        </w:rPr>
        <w:t>. Project activities were desig</w:t>
      </w:r>
      <w:r w:rsidR="009179F7" w:rsidRPr="0091153C">
        <w:rPr>
          <w:b/>
          <w:bCs/>
        </w:rPr>
        <w:t xml:space="preserve">ned to address the need for </w:t>
      </w:r>
      <w:r w:rsidR="00B83787" w:rsidRPr="0091153C">
        <w:rPr>
          <w:b/>
          <w:bCs/>
        </w:rPr>
        <w:t xml:space="preserve">enhanced capacities in </w:t>
      </w:r>
      <w:r w:rsidR="00B9522A">
        <w:rPr>
          <w:b/>
          <w:bCs/>
        </w:rPr>
        <w:t xml:space="preserve">the mobilisation of development financing and the alignment of financial flows </w:t>
      </w:r>
      <w:r w:rsidR="00B83787" w:rsidRPr="0091153C">
        <w:rPr>
          <w:b/>
          <w:bCs/>
        </w:rPr>
        <w:t xml:space="preserve">with national priorities for sustainable development. </w:t>
      </w:r>
      <w:r w:rsidR="008E49EB" w:rsidRPr="000D2D9D">
        <w:rPr>
          <w:b/>
          <w:bCs/>
        </w:rPr>
        <w:t>The</w:t>
      </w:r>
      <w:r w:rsidR="0065575A" w:rsidRPr="000D2D9D">
        <w:rPr>
          <w:b/>
          <w:bCs/>
        </w:rPr>
        <w:t xml:space="preserve"> projec</w:t>
      </w:r>
      <w:r w:rsidR="00125F3B" w:rsidRPr="000D2D9D">
        <w:rPr>
          <w:b/>
          <w:bCs/>
        </w:rPr>
        <w:t>t</w:t>
      </w:r>
      <w:r w:rsidR="00D65CE6" w:rsidRPr="000D2D9D">
        <w:rPr>
          <w:b/>
          <w:bCs/>
        </w:rPr>
        <w:t xml:space="preserve"> was also relevan</w:t>
      </w:r>
      <w:r w:rsidR="00F54E11" w:rsidRPr="000D2D9D">
        <w:rPr>
          <w:b/>
          <w:bCs/>
        </w:rPr>
        <w:t>t</w:t>
      </w:r>
      <w:r w:rsidR="00D65CE6" w:rsidRPr="000D2D9D">
        <w:rPr>
          <w:b/>
          <w:bCs/>
        </w:rPr>
        <w:t xml:space="preserve"> for </w:t>
      </w:r>
      <w:r w:rsidR="007B2226">
        <w:rPr>
          <w:b/>
          <w:bCs/>
        </w:rPr>
        <w:t xml:space="preserve">the engagement of </w:t>
      </w:r>
      <w:r w:rsidR="00742AF6">
        <w:rPr>
          <w:b/>
          <w:bCs/>
        </w:rPr>
        <w:t>cooperating</w:t>
      </w:r>
      <w:r w:rsidR="00D65CE6" w:rsidRPr="000D2D9D">
        <w:rPr>
          <w:b/>
          <w:bCs/>
        </w:rPr>
        <w:t xml:space="preserve"> </w:t>
      </w:r>
      <w:r w:rsidR="001F4E8D">
        <w:rPr>
          <w:b/>
          <w:bCs/>
        </w:rPr>
        <w:t xml:space="preserve">UN </w:t>
      </w:r>
      <w:r w:rsidR="00D65CE6" w:rsidRPr="000D2D9D">
        <w:rPr>
          <w:b/>
          <w:bCs/>
        </w:rPr>
        <w:t xml:space="preserve">entities in regional gatherings for </w:t>
      </w:r>
      <w:r w:rsidR="006321A6">
        <w:rPr>
          <w:b/>
          <w:bCs/>
        </w:rPr>
        <w:t>knowledge-exchange</w:t>
      </w:r>
      <w:r w:rsidR="00D65CE6" w:rsidRPr="000D2D9D">
        <w:rPr>
          <w:b/>
          <w:bCs/>
        </w:rPr>
        <w:t xml:space="preserve"> and </w:t>
      </w:r>
      <w:r w:rsidR="006321A6">
        <w:rPr>
          <w:b/>
          <w:bCs/>
        </w:rPr>
        <w:t>peer-learning</w:t>
      </w:r>
      <w:r w:rsidR="00880CC5" w:rsidRPr="000D2D9D">
        <w:rPr>
          <w:b/>
          <w:bCs/>
        </w:rPr>
        <w:t xml:space="preserve"> on </w:t>
      </w:r>
      <w:r w:rsidR="008349B2" w:rsidRPr="000D2D9D">
        <w:rPr>
          <w:b/>
          <w:bCs/>
        </w:rPr>
        <w:t>sustainable development financing</w:t>
      </w:r>
      <w:r w:rsidR="00286F01" w:rsidRPr="000D2D9D">
        <w:rPr>
          <w:b/>
          <w:bCs/>
        </w:rPr>
        <w:t xml:space="preserve">, </w:t>
      </w:r>
      <w:r w:rsidR="00E35A8E" w:rsidRPr="000D2D9D">
        <w:rPr>
          <w:b/>
          <w:bCs/>
        </w:rPr>
        <w:t>including</w:t>
      </w:r>
      <w:r w:rsidR="00FE6EFC" w:rsidRPr="000D2D9D">
        <w:rPr>
          <w:b/>
          <w:bCs/>
        </w:rPr>
        <w:t xml:space="preserve"> </w:t>
      </w:r>
      <w:r w:rsidR="001F32F7" w:rsidRPr="000D2D9D">
        <w:rPr>
          <w:b/>
          <w:bCs/>
        </w:rPr>
        <w:t>t</w:t>
      </w:r>
      <w:r w:rsidR="00286F01" w:rsidRPr="000D2D9D">
        <w:rPr>
          <w:b/>
          <w:bCs/>
        </w:rPr>
        <w:t>h</w:t>
      </w:r>
      <w:r w:rsidR="001F32F7" w:rsidRPr="000D2D9D">
        <w:rPr>
          <w:b/>
          <w:bCs/>
        </w:rPr>
        <w:t xml:space="preserve">e </w:t>
      </w:r>
      <w:r w:rsidR="00880CC5" w:rsidRPr="000D2D9D">
        <w:rPr>
          <w:b/>
          <w:bCs/>
        </w:rPr>
        <w:t>INFF</w:t>
      </w:r>
      <w:r w:rsidR="008349B2" w:rsidRPr="000D2D9D">
        <w:rPr>
          <w:b/>
          <w:bCs/>
        </w:rPr>
        <w:t xml:space="preserve"> </w:t>
      </w:r>
      <w:r w:rsidR="00070766" w:rsidRPr="000D2D9D">
        <w:rPr>
          <w:b/>
          <w:bCs/>
        </w:rPr>
        <w:t xml:space="preserve">methodology. </w:t>
      </w:r>
      <w:r w:rsidR="00A429A7" w:rsidRPr="000D2D9D">
        <w:rPr>
          <w:b/>
          <w:bCs/>
        </w:rPr>
        <w:t>The</w:t>
      </w:r>
      <w:r w:rsidR="00594650" w:rsidRPr="000D2D9D">
        <w:rPr>
          <w:b/>
          <w:bCs/>
        </w:rPr>
        <w:t>se</w:t>
      </w:r>
      <w:r w:rsidR="00A429A7" w:rsidRPr="000D2D9D">
        <w:rPr>
          <w:b/>
          <w:bCs/>
        </w:rPr>
        <w:t xml:space="preserve"> activities </w:t>
      </w:r>
      <w:r w:rsidR="00693BAE" w:rsidRPr="000D2D9D">
        <w:rPr>
          <w:b/>
          <w:bCs/>
        </w:rPr>
        <w:t>w</w:t>
      </w:r>
      <w:r w:rsidR="00594650" w:rsidRPr="000D2D9D">
        <w:rPr>
          <w:b/>
          <w:bCs/>
        </w:rPr>
        <w:t xml:space="preserve">ere </w:t>
      </w:r>
      <w:r w:rsidR="00693BAE" w:rsidRPr="000D2D9D">
        <w:rPr>
          <w:b/>
          <w:bCs/>
        </w:rPr>
        <w:t xml:space="preserve">supported by the strategic and functional alignment </w:t>
      </w:r>
      <w:r w:rsidR="001F4E8D">
        <w:rPr>
          <w:b/>
          <w:bCs/>
        </w:rPr>
        <w:t xml:space="preserve">of </w:t>
      </w:r>
      <w:r w:rsidR="00AF7AC9" w:rsidRPr="000D2D9D">
        <w:rPr>
          <w:b/>
          <w:bCs/>
        </w:rPr>
        <w:t xml:space="preserve">the mandates of the </w:t>
      </w:r>
      <w:r w:rsidR="006260C0">
        <w:rPr>
          <w:b/>
          <w:bCs/>
        </w:rPr>
        <w:t>UN</w:t>
      </w:r>
      <w:r w:rsidR="00DE21FA" w:rsidRPr="000D2D9D">
        <w:rPr>
          <w:b/>
          <w:bCs/>
        </w:rPr>
        <w:t xml:space="preserve"> entities</w:t>
      </w:r>
      <w:r w:rsidR="00AF7AC9" w:rsidRPr="000D2D9D">
        <w:rPr>
          <w:b/>
          <w:bCs/>
        </w:rPr>
        <w:t xml:space="preserve"> </w:t>
      </w:r>
      <w:r w:rsidR="001F4E8D">
        <w:rPr>
          <w:b/>
          <w:bCs/>
        </w:rPr>
        <w:t xml:space="preserve">with </w:t>
      </w:r>
      <w:r w:rsidR="00AF7AC9" w:rsidRPr="000D2D9D">
        <w:rPr>
          <w:b/>
          <w:bCs/>
        </w:rPr>
        <w:t xml:space="preserve">the </w:t>
      </w:r>
      <w:r w:rsidR="0091153C" w:rsidRPr="000D2D9D">
        <w:rPr>
          <w:b/>
          <w:bCs/>
        </w:rPr>
        <w:t xml:space="preserve">objectives of the </w:t>
      </w:r>
      <w:r w:rsidR="001F4E8D">
        <w:rPr>
          <w:b/>
          <w:bCs/>
        </w:rPr>
        <w:t xml:space="preserve">INFF </w:t>
      </w:r>
      <w:r w:rsidR="0091153C" w:rsidRPr="000D2D9D">
        <w:rPr>
          <w:b/>
          <w:bCs/>
        </w:rPr>
        <w:t>project.</w:t>
      </w:r>
      <w:r w:rsidR="002070B6" w:rsidRPr="000D2D9D">
        <w:rPr>
          <w:b/>
          <w:bCs/>
        </w:rPr>
        <w:t xml:space="preserve"> </w:t>
      </w:r>
    </w:p>
    <w:p w14:paraId="6E1E4F9C" w14:textId="16BDE726" w:rsidR="00E61821" w:rsidRDefault="0088727F" w:rsidP="004058C8">
      <w:pPr>
        <w:pStyle w:val="BodyText"/>
      </w:pPr>
      <w:bookmarkStart w:id="33" w:name="_Hlk181584231"/>
      <w:r w:rsidRPr="007E5F74">
        <w:rPr>
          <w:b/>
          <w:bCs/>
        </w:rPr>
        <w:t>Finding 1:</w:t>
      </w:r>
      <w:r w:rsidRPr="007E5F74">
        <w:t xml:space="preserve"> </w:t>
      </w:r>
      <w:r w:rsidR="006F568F">
        <w:t>From a conceptual standpoint, t</w:t>
      </w:r>
      <w:r w:rsidR="00DD5C93" w:rsidRPr="000D4A0C">
        <w:t>he INFF project responded to a</w:t>
      </w:r>
      <w:r w:rsidR="00CC34B8">
        <w:t xml:space="preserve"> gap </w:t>
      </w:r>
      <w:r w:rsidR="00BB1C88">
        <w:t>i</w:t>
      </w:r>
      <w:r w:rsidR="00DD5C93" w:rsidRPr="000D4A0C">
        <w:t xml:space="preserve">n </w:t>
      </w:r>
      <w:r w:rsidR="00BB1C88">
        <w:t>capacit</w:t>
      </w:r>
      <w:r w:rsidR="009B7605">
        <w:t>ies</w:t>
      </w:r>
      <w:r w:rsidR="00BB1C88">
        <w:t xml:space="preserve"> </w:t>
      </w:r>
      <w:r w:rsidR="00DD5C93" w:rsidRPr="000D4A0C">
        <w:t xml:space="preserve">for </w:t>
      </w:r>
      <w:r w:rsidR="00DF2F0B">
        <w:t>resource</w:t>
      </w:r>
      <w:r w:rsidR="00183E4C">
        <w:t xml:space="preserve"> mobilisation </w:t>
      </w:r>
      <w:r w:rsidR="00DF2F0B">
        <w:t>within the 10 target countries</w:t>
      </w:r>
      <w:r w:rsidR="00E61821">
        <w:t xml:space="preserve">, including </w:t>
      </w:r>
      <w:r w:rsidR="001F2B7F">
        <w:t xml:space="preserve">the </w:t>
      </w:r>
      <w:r w:rsidR="00E61821">
        <w:t>alignment of development financing</w:t>
      </w:r>
      <w:r w:rsidR="00E61821" w:rsidRPr="00E61821">
        <w:t xml:space="preserve"> </w:t>
      </w:r>
      <w:r w:rsidR="00E61821" w:rsidRPr="000D4A0C">
        <w:t xml:space="preserve">with </w:t>
      </w:r>
      <w:r w:rsidR="00AA5D17">
        <w:t xml:space="preserve">the </w:t>
      </w:r>
      <w:r w:rsidR="00E61821" w:rsidRPr="000D4A0C">
        <w:t xml:space="preserve">national </w:t>
      </w:r>
      <w:r w:rsidR="00E37260" w:rsidRPr="000D4A0C">
        <w:t>sustainable</w:t>
      </w:r>
      <w:r w:rsidR="00E37260">
        <w:t xml:space="preserve"> </w:t>
      </w:r>
      <w:r w:rsidR="00E37260" w:rsidRPr="000D4A0C">
        <w:t>development</w:t>
      </w:r>
      <w:r w:rsidR="00E37260">
        <w:t xml:space="preserve"> </w:t>
      </w:r>
      <w:r w:rsidR="00E61821">
        <w:t>agenda.</w:t>
      </w:r>
    </w:p>
    <w:bookmarkEnd w:id="33"/>
    <w:p w14:paraId="327FF84D" w14:textId="634F0C73" w:rsidR="00DB7DEB" w:rsidRDefault="006E6919" w:rsidP="004058C8">
      <w:pPr>
        <w:pStyle w:val="BodyText"/>
      </w:pPr>
      <w:r>
        <w:t>The selection of e</w:t>
      </w:r>
      <w:r w:rsidR="00281CDB">
        <w:t xml:space="preserve">ight of the ten </w:t>
      </w:r>
      <w:r w:rsidR="00276AA8">
        <w:t xml:space="preserve">target countries </w:t>
      </w:r>
      <w:r w:rsidR="00F630DB">
        <w:t>was informed by the res</w:t>
      </w:r>
      <w:r w:rsidR="001F6D7D">
        <w:t xml:space="preserve">ults of </w:t>
      </w:r>
      <w:r w:rsidR="007831BB">
        <w:t xml:space="preserve">a </w:t>
      </w:r>
      <w:r w:rsidR="00B724E1">
        <w:t>country</w:t>
      </w:r>
      <w:r w:rsidR="008851D5">
        <w:t>-by-country</w:t>
      </w:r>
      <w:r w:rsidR="00B724E1">
        <w:t xml:space="preserve"> analysis of </w:t>
      </w:r>
      <w:r w:rsidR="007831BB">
        <w:t>development financing</w:t>
      </w:r>
      <w:r w:rsidR="00607D3C">
        <w:t xml:space="preserve"> during </w:t>
      </w:r>
      <w:r w:rsidR="00AD40C4">
        <w:t>proposal d</w:t>
      </w:r>
      <w:r w:rsidR="00A73527">
        <w:t>evelopment</w:t>
      </w:r>
      <w:r w:rsidR="00586E2E">
        <w:t>.</w:t>
      </w:r>
      <w:r w:rsidR="009C1EFA">
        <w:rPr>
          <w:rStyle w:val="FootnoteReference"/>
        </w:rPr>
        <w:footnoteReference w:id="63"/>
      </w:r>
      <w:r w:rsidR="002F1A80">
        <w:t xml:space="preserve"> </w:t>
      </w:r>
      <w:r w:rsidR="00565F03">
        <w:t>A rapid assessment of the</w:t>
      </w:r>
      <w:r w:rsidR="00F26379">
        <w:t xml:space="preserve"> country-specific</w:t>
      </w:r>
      <w:r w:rsidR="00565F03">
        <w:t xml:space="preserve"> situation of development financing </w:t>
      </w:r>
      <w:r w:rsidR="00F26379">
        <w:t>was used to select the remaining two countries.</w:t>
      </w:r>
      <w:r w:rsidR="00F26379">
        <w:rPr>
          <w:rStyle w:val="FootnoteReference"/>
        </w:rPr>
        <w:footnoteReference w:id="64"/>
      </w:r>
      <w:r w:rsidR="009756E1">
        <w:t xml:space="preserve"> The </w:t>
      </w:r>
      <w:r w:rsidR="004F5706">
        <w:t xml:space="preserve">final selection of </w:t>
      </w:r>
      <w:r w:rsidR="00DD45AC">
        <w:t>all</w:t>
      </w:r>
      <w:r w:rsidR="004F5706">
        <w:t xml:space="preserve"> target countries was based on the established </w:t>
      </w:r>
      <w:r w:rsidR="00DB7DEB">
        <w:t xml:space="preserve">country </w:t>
      </w:r>
      <w:r w:rsidR="004F5706">
        <w:t>selection criteri</w:t>
      </w:r>
      <w:r w:rsidR="00DB7DEB">
        <w:t>a for the project.</w:t>
      </w:r>
      <w:r w:rsidR="00DB7DEB">
        <w:rPr>
          <w:rStyle w:val="FootnoteReference"/>
        </w:rPr>
        <w:footnoteReference w:id="65"/>
      </w:r>
      <w:r w:rsidR="00DB7DEB">
        <w:t xml:space="preserve"> </w:t>
      </w:r>
    </w:p>
    <w:p w14:paraId="351822ED" w14:textId="505CC0FC" w:rsidR="00BB6F6C" w:rsidRDefault="008567F9" w:rsidP="004058C8">
      <w:pPr>
        <w:pStyle w:val="BodyText"/>
      </w:pPr>
      <w:r>
        <w:t xml:space="preserve">All of </w:t>
      </w:r>
      <w:r w:rsidR="000B4D57">
        <w:t xml:space="preserve">the </w:t>
      </w:r>
      <w:r w:rsidR="00BB6F6C">
        <w:t xml:space="preserve">target countries met at least one of the three selection criteria. </w:t>
      </w:r>
      <w:r w:rsidR="00DE5B37">
        <w:t xml:space="preserve">The </w:t>
      </w:r>
      <w:r w:rsidR="00E27987">
        <w:t xml:space="preserve">element of commonality across all 10 countries was the existence of capacity gaps </w:t>
      </w:r>
      <w:r w:rsidR="00BE3A0D">
        <w:t>in development financing</w:t>
      </w:r>
      <w:r w:rsidR="00B611F0">
        <w:t xml:space="preserve">. </w:t>
      </w:r>
      <w:r w:rsidR="002766CA">
        <w:t xml:space="preserve">There were identifiable gaps </w:t>
      </w:r>
      <w:r w:rsidR="0099156F">
        <w:t xml:space="preserve">in </w:t>
      </w:r>
      <w:r w:rsidR="004E3C23">
        <w:t xml:space="preserve">the capacity for resource mobilisation and/ or the alignment of the process with the </w:t>
      </w:r>
      <w:r w:rsidR="001E6E9A">
        <w:t>national sustainable development strateg</w:t>
      </w:r>
      <w:r w:rsidR="0001145C">
        <w:t>y</w:t>
      </w:r>
      <w:r w:rsidR="0099156F">
        <w:t xml:space="preserve">. The implication of the observed gaps was </w:t>
      </w:r>
      <w:r w:rsidR="00E964A7">
        <w:t>a</w:t>
      </w:r>
      <w:r w:rsidR="00FF76E2">
        <w:t xml:space="preserve"> limited capacity by individual target countries </w:t>
      </w:r>
      <w:r w:rsidR="001E6E9A">
        <w:t xml:space="preserve">to </w:t>
      </w:r>
      <w:r w:rsidR="005B1A34">
        <w:t xml:space="preserve">facilitate </w:t>
      </w:r>
      <w:r w:rsidR="00B611F0">
        <w:t xml:space="preserve">the 2030 Agenda, </w:t>
      </w:r>
      <w:r w:rsidR="005B1A34">
        <w:t>including national contribution</w:t>
      </w:r>
      <w:r w:rsidR="008B54A5">
        <w:t xml:space="preserve">s towards the </w:t>
      </w:r>
      <w:r w:rsidR="00B611F0">
        <w:t>SDG</w:t>
      </w:r>
      <w:r w:rsidR="008B54A5">
        <w:t>s</w:t>
      </w:r>
      <w:r w:rsidR="00B611F0">
        <w:t>.</w:t>
      </w:r>
    </w:p>
    <w:p w14:paraId="62668769" w14:textId="1C9FED9B" w:rsidR="00897D6C" w:rsidRDefault="00E63AB1" w:rsidP="004058C8">
      <w:pPr>
        <w:pStyle w:val="BodyText"/>
      </w:pPr>
      <w:r>
        <w:lastRenderedPageBreak/>
        <w:t>E</w:t>
      </w:r>
      <w:r w:rsidR="006337FA">
        <w:t xml:space="preserve">xhibit </w:t>
      </w:r>
      <w:r w:rsidR="00C62C97">
        <w:t>11</w:t>
      </w:r>
      <w:r w:rsidR="006337FA">
        <w:t xml:space="preserve"> provides an overview of</w:t>
      </w:r>
      <w:r w:rsidR="0029027F">
        <w:t xml:space="preserve"> the main </w:t>
      </w:r>
      <w:r w:rsidR="00E829AE">
        <w:t>capacity gaps</w:t>
      </w:r>
      <w:r w:rsidR="001F007F">
        <w:t xml:space="preserve"> </w:t>
      </w:r>
      <w:r w:rsidR="0029027F">
        <w:t xml:space="preserve">that were identified within </w:t>
      </w:r>
      <w:r w:rsidR="001F007F">
        <w:t>target countries</w:t>
      </w:r>
      <w:r w:rsidR="00E54927">
        <w:t xml:space="preserve"> during</w:t>
      </w:r>
      <w:r w:rsidR="004043C5">
        <w:t xml:space="preserve"> </w:t>
      </w:r>
      <w:r w:rsidR="00E54927">
        <w:t>the</w:t>
      </w:r>
      <w:r w:rsidR="004043C5">
        <w:t xml:space="preserve"> pre-project </w:t>
      </w:r>
      <w:r w:rsidR="006B7CAE">
        <w:t>stage</w:t>
      </w:r>
      <w:r w:rsidR="00E32DDC">
        <w:t xml:space="preserve"> and </w:t>
      </w:r>
      <w:r w:rsidR="004B75B9">
        <w:t>prior to the</w:t>
      </w:r>
      <w:r w:rsidR="006B7CAE">
        <w:t xml:space="preserve"> engagement of the replacement cou</w:t>
      </w:r>
      <w:r w:rsidR="003078D8">
        <w:t>ntries</w:t>
      </w:r>
      <w:r w:rsidR="00BA2BFF">
        <w:t xml:space="preserve">. </w:t>
      </w:r>
    </w:p>
    <w:p w14:paraId="08F692A9" w14:textId="77777777" w:rsidR="007749D4" w:rsidRDefault="007749D4" w:rsidP="00CF272A">
      <w:pPr>
        <w:pStyle w:val="Caption"/>
        <w:spacing w:before="120"/>
        <w:sectPr w:rsidR="007749D4" w:rsidSect="00F666A1">
          <w:type w:val="continuous"/>
          <w:pgSz w:w="12240" w:h="15840" w:code="1"/>
          <w:pgMar w:top="1276" w:right="1276" w:bottom="1588" w:left="1276" w:header="720" w:footer="720" w:gutter="0"/>
          <w:cols w:num="2" w:space="397"/>
          <w:docGrid w:linePitch="360"/>
        </w:sectPr>
      </w:pPr>
    </w:p>
    <w:p w14:paraId="1EB3A976" w14:textId="49E21E1D" w:rsidR="00145897" w:rsidRDefault="00CF272A" w:rsidP="00C7681D">
      <w:pPr>
        <w:pStyle w:val="Caption"/>
        <w:spacing w:before="120"/>
        <w:rPr>
          <w:b w:val="0"/>
          <w:color w:val="FFFFFF" w:themeColor="background1"/>
          <w:sz w:val="19"/>
          <w:szCs w:val="19"/>
        </w:rPr>
        <w:sectPr w:rsidR="00145897" w:rsidSect="00F666A1">
          <w:type w:val="continuous"/>
          <w:pgSz w:w="12240" w:h="15840" w:code="1"/>
          <w:pgMar w:top="284" w:right="1276" w:bottom="1588" w:left="1276" w:header="720" w:footer="720" w:gutter="0"/>
          <w:cols w:space="397"/>
          <w:docGrid w:linePitch="360"/>
        </w:sectPr>
      </w:pPr>
      <w:bookmarkStart w:id="34" w:name="_Toc210730344"/>
      <w:r w:rsidRPr="00D12632">
        <w:t xml:space="preserve">Exhibit </w:t>
      </w:r>
      <w:r w:rsidRPr="00D12632">
        <w:fldChar w:fldCharType="begin"/>
      </w:r>
      <w:r w:rsidRPr="00D12632">
        <w:instrText xml:space="preserve"> SEQ Table \* ARABIC </w:instrText>
      </w:r>
      <w:r w:rsidRPr="00D12632">
        <w:fldChar w:fldCharType="separate"/>
      </w:r>
      <w:r w:rsidR="00C62C97">
        <w:rPr>
          <w:noProof/>
        </w:rPr>
        <w:t>11</w:t>
      </w:r>
      <w:r w:rsidRPr="00D12632">
        <w:fldChar w:fldCharType="end"/>
      </w:r>
      <w:r w:rsidRPr="00D12632">
        <w:t xml:space="preserve"> </w:t>
      </w:r>
      <w:r>
        <w:t>Capacity gaps by target country</w:t>
      </w:r>
      <w:bookmarkEnd w:id="34"/>
    </w:p>
    <w:tbl>
      <w:tblPr>
        <w:tblStyle w:val="BlueTable"/>
        <w:tblW w:w="5006" w:type="pct"/>
        <w:jc w:val="center"/>
        <w:tblLook w:val="04A0" w:firstRow="1" w:lastRow="0" w:firstColumn="1" w:lastColumn="0" w:noHBand="0" w:noVBand="1"/>
      </w:tblPr>
      <w:tblGrid>
        <w:gridCol w:w="1659"/>
        <w:gridCol w:w="1452"/>
        <w:gridCol w:w="6573"/>
      </w:tblGrid>
      <w:tr w:rsidR="00A44FB5" w:rsidRPr="00041EA7" w14:paraId="44AF419D" w14:textId="77777777" w:rsidTr="0058135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659" w:type="dxa"/>
          </w:tcPr>
          <w:p w14:paraId="7C7774DC" w14:textId="0F67D318" w:rsidR="001C4598" w:rsidRPr="002628BE" w:rsidRDefault="001C4598" w:rsidP="006E639B">
            <w:r w:rsidRPr="002628BE">
              <w:t>Region</w:t>
            </w:r>
          </w:p>
        </w:tc>
        <w:tc>
          <w:tcPr>
            <w:tcW w:w="1452" w:type="dxa"/>
          </w:tcPr>
          <w:p w14:paraId="0A1F231F" w14:textId="741F1B8F" w:rsidR="001C4598" w:rsidRPr="002628BE" w:rsidRDefault="001C4598" w:rsidP="006E639B">
            <w:pPr>
              <w:jc w:val="center"/>
              <w:cnfStyle w:val="100000000000" w:firstRow="1" w:lastRow="0" w:firstColumn="0" w:lastColumn="0" w:oddVBand="0" w:evenVBand="0" w:oddHBand="0" w:evenHBand="0" w:firstRowFirstColumn="0" w:firstRowLastColumn="0" w:lastRowFirstColumn="0" w:lastRowLastColumn="0"/>
            </w:pPr>
            <w:r w:rsidRPr="002628BE">
              <w:t>T</w:t>
            </w:r>
            <w:r w:rsidR="00257716" w:rsidRPr="002628BE">
              <w:t>arget country</w:t>
            </w:r>
          </w:p>
        </w:tc>
        <w:tc>
          <w:tcPr>
            <w:tcW w:w="6573" w:type="dxa"/>
          </w:tcPr>
          <w:p w14:paraId="0DCB20A0" w14:textId="04D2E177" w:rsidR="001C4598" w:rsidRPr="002628BE" w:rsidRDefault="00257716" w:rsidP="006E639B">
            <w:pPr>
              <w:jc w:val="center"/>
              <w:cnfStyle w:val="100000000000" w:firstRow="1" w:lastRow="0" w:firstColumn="0" w:lastColumn="0" w:oddVBand="0" w:evenVBand="0" w:oddHBand="0" w:evenHBand="0" w:firstRowFirstColumn="0" w:firstRowLastColumn="0" w:lastRowFirstColumn="0" w:lastRowLastColumn="0"/>
            </w:pPr>
            <w:r w:rsidRPr="002628BE">
              <w:t>Capacity gap</w:t>
            </w:r>
          </w:p>
        </w:tc>
      </w:tr>
      <w:tr w:rsidR="00113426" w:rsidRPr="00041EA7" w14:paraId="4075EF2A"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1274F350" w14:textId="0FDD36D7" w:rsidR="00113426" w:rsidRPr="002628BE" w:rsidRDefault="00113426" w:rsidP="006E639B">
            <w:r w:rsidRPr="002628BE">
              <w:t xml:space="preserve">Africa </w:t>
            </w:r>
          </w:p>
        </w:tc>
        <w:tc>
          <w:tcPr>
            <w:tcW w:w="1452" w:type="dxa"/>
          </w:tcPr>
          <w:p w14:paraId="77706077" w14:textId="610B7931" w:rsidR="00113426" w:rsidRPr="002628BE" w:rsidRDefault="00113426" w:rsidP="006E639B">
            <w:pPr>
              <w:pStyle w:val="Normal-sizedTableBullets"/>
              <w:cnfStyle w:val="000000000000" w:firstRow="0" w:lastRow="0" w:firstColumn="0" w:lastColumn="0" w:oddVBand="0" w:evenVBand="0" w:oddHBand="0" w:evenHBand="0" w:firstRowFirstColumn="0" w:firstRowLastColumn="0" w:lastRowFirstColumn="0" w:lastRowLastColumn="0"/>
            </w:pPr>
            <w:r w:rsidRPr="002628BE">
              <w:t>Burkina Faso</w:t>
            </w:r>
          </w:p>
        </w:tc>
        <w:tc>
          <w:tcPr>
            <w:tcW w:w="6573" w:type="dxa"/>
          </w:tcPr>
          <w:p w14:paraId="41E86631" w14:textId="77777777" w:rsidR="00113426" w:rsidRPr="002628BE" w:rsidRDefault="00761929" w:rsidP="006E639B">
            <w:pPr>
              <w:pStyle w:val="Normal-sizedTableBullets"/>
              <w:cnfStyle w:val="000000000000" w:firstRow="0" w:lastRow="0" w:firstColumn="0" w:lastColumn="0" w:oddVBand="0" w:evenVBand="0" w:oddHBand="0" w:evenHBand="0" w:firstRowFirstColumn="0" w:firstRowLastColumn="0" w:lastRowFirstColumn="0" w:lastRowLastColumn="0"/>
            </w:pPr>
            <w:r w:rsidRPr="002628BE">
              <w:t>Operational deficit in the mobilisation of interna</w:t>
            </w:r>
            <w:r w:rsidR="00E4209B" w:rsidRPr="002628BE">
              <w:t>l and external resources</w:t>
            </w:r>
          </w:p>
          <w:p w14:paraId="2BA6FE49" w14:textId="5863569B" w:rsidR="001E05CD" w:rsidRPr="002628BE" w:rsidRDefault="001E05CD" w:rsidP="000A1FF8">
            <w:pPr>
              <w:pStyle w:val="Normal-sizedTableBullets"/>
              <w:cnfStyle w:val="000000000000" w:firstRow="0" w:lastRow="0" w:firstColumn="0" w:lastColumn="0" w:oddVBand="0" w:evenVBand="0" w:oddHBand="0" w:evenHBand="0" w:firstRowFirstColumn="0" w:firstRowLastColumn="0" w:lastRowFirstColumn="0" w:lastRowLastColumn="0"/>
            </w:pPr>
            <w:r w:rsidRPr="002628BE">
              <w:t>Strategic defic</w:t>
            </w:r>
            <w:r w:rsidR="00B76B86" w:rsidRPr="002628BE">
              <w:t xml:space="preserve">it in the </w:t>
            </w:r>
            <w:r w:rsidR="00C037A3" w:rsidRPr="002628BE">
              <w:t xml:space="preserve">alignment of national development priorities </w:t>
            </w:r>
            <w:r w:rsidR="002C14E0">
              <w:t>with</w:t>
            </w:r>
            <w:r w:rsidR="00C037A3" w:rsidRPr="002628BE">
              <w:t xml:space="preserve"> the national budget</w:t>
            </w:r>
            <w:r w:rsidR="000A1FF8" w:rsidRPr="002628BE">
              <w:t>, including the allocation of resources by sector</w:t>
            </w:r>
          </w:p>
        </w:tc>
      </w:tr>
      <w:tr w:rsidR="00113426" w:rsidRPr="00041EA7" w14:paraId="144C41C2"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24C57C99" w14:textId="77777777" w:rsidR="00113426" w:rsidRPr="002628BE" w:rsidRDefault="00113426" w:rsidP="006E639B"/>
        </w:tc>
        <w:tc>
          <w:tcPr>
            <w:tcW w:w="1452" w:type="dxa"/>
          </w:tcPr>
          <w:p w14:paraId="4749BF7D" w14:textId="7C2702C7" w:rsidR="00113426" w:rsidRPr="002628BE" w:rsidRDefault="00113426" w:rsidP="006E639B">
            <w:pPr>
              <w:pStyle w:val="Normal-sizedTableBullets"/>
              <w:cnfStyle w:val="000000000000" w:firstRow="0" w:lastRow="0" w:firstColumn="0" w:lastColumn="0" w:oddVBand="0" w:evenVBand="0" w:oddHBand="0" w:evenHBand="0" w:firstRowFirstColumn="0" w:firstRowLastColumn="0" w:lastRowFirstColumn="0" w:lastRowLastColumn="0"/>
            </w:pPr>
            <w:r w:rsidRPr="002628BE">
              <w:t>Zambia</w:t>
            </w:r>
          </w:p>
        </w:tc>
        <w:tc>
          <w:tcPr>
            <w:tcW w:w="6573" w:type="dxa"/>
          </w:tcPr>
          <w:p w14:paraId="1FCD19AB" w14:textId="41AEF671" w:rsidR="007E11B3" w:rsidRPr="002628BE" w:rsidRDefault="00C24DCB" w:rsidP="006E639B">
            <w:pPr>
              <w:pStyle w:val="Normal-sizedTableBullets"/>
              <w:cnfStyle w:val="000000000000" w:firstRow="0" w:lastRow="0" w:firstColumn="0" w:lastColumn="0" w:oddVBand="0" w:evenVBand="0" w:oddHBand="0" w:evenHBand="0" w:firstRowFirstColumn="0" w:firstRowLastColumn="0" w:lastRowFirstColumn="0" w:lastRowLastColumn="0"/>
            </w:pPr>
            <w:r w:rsidRPr="002628BE">
              <w:t xml:space="preserve">Limited financial resources to achieve national development objectives </w:t>
            </w:r>
            <w:r w:rsidR="00EB257F" w:rsidRPr="002628BE">
              <w:t>(including SDG contribution</w:t>
            </w:r>
            <w:r w:rsidR="00B72E2D">
              <w:t>s</w:t>
            </w:r>
            <w:r w:rsidR="00EB257F" w:rsidRPr="002628BE">
              <w:t>) because of a p</w:t>
            </w:r>
            <w:r w:rsidR="00BC2C03" w:rsidRPr="002628BE">
              <w:t>ersistent</w:t>
            </w:r>
            <w:r w:rsidR="00AC71CC" w:rsidRPr="002628BE">
              <w:t xml:space="preserve"> and growing</w:t>
            </w:r>
            <w:r w:rsidR="00BC2C03" w:rsidRPr="002628BE">
              <w:t xml:space="preserve"> </w:t>
            </w:r>
            <w:r w:rsidR="007E11B3" w:rsidRPr="002628BE">
              <w:t>fiscal deficit</w:t>
            </w:r>
            <w:r w:rsidR="00F1564C" w:rsidRPr="002628BE">
              <w:t xml:space="preserve"> </w:t>
            </w:r>
          </w:p>
          <w:p w14:paraId="73440A4E" w14:textId="4F69AFCC" w:rsidR="00C82873" w:rsidRPr="002628BE" w:rsidRDefault="00CD58A0" w:rsidP="003D405E">
            <w:pPr>
              <w:pStyle w:val="Normal-sizedTableBullets"/>
              <w:cnfStyle w:val="000000000000" w:firstRow="0" w:lastRow="0" w:firstColumn="0" w:lastColumn="0" w:oddVBand="0" w:evenVBand="0" w:oddHBand="0" w:evenHBand="0" w:firstRowFirstColumn="0" w:firstRowLastColumn="0" w:lastRowFirstColumn="0" w:lastRowLastColumn="0"/>
            </w:pPr>
            <w:r w:rsidRPr="002628BE">
              <w:t xml:space="preserve">Challenge in sourcing financing from </w:t>
            </w:r>
            <w:r w:rsidR="003D405E" w:rsidRPr="002628BE">
              <w:t>domestic and international sources</w:t>
            </w:r>
            <w:r w:rsidR="00576FA4" w:rsidRPr="002628BE">
              <w:t xml:space="preserve"> </w:t>
            </w:r>
            <w:r w:rsidR="00B00402" w:rsidRPr="002628BE">
              <w:t>as a result of tight liquidity</w:t>
            </w:r>
          </w:p>
        </w:tc>
      </w:tr>
      <w:tr w:rsidR="00AF0D9E" w:rsidRPr="00041EA7" w14:paraId="6C08A392"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07650464" w14:textId="3DEBF13B" w:rsidR="00AF0D9E" w:rsidRPr="002628BE" w:rsidRDefault="00AF0D9E" w:rsidP="006E639B">
            <w:r w:rsidRPr="002628BE">
              <w:t>Asia and the Pacific</w:t>
            </w:r>
          </w:p>
        </w:tc>
        <w:tc>
          <w:tcPr>
            <w:tcW w:w="1452" w:type="dxa"/>
          </w:tcPr>
          <w:p w14:paraId="175B8A63" w14:textId="5B1AA764" w:rsidR="00AF0D9E" w:rsidRPr="002628BE" w:rsidRDefault="00113426"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Pakistan</w:t>
            </w:r>
          </w:p>
        </w:tc>
        <w:tc>
          <w:tcPr>
            <w:tcW w:w="6573" w:type="dxa"/>
          </w:tcPr>
          <w:p w14:paraId="062B9459" w14:textId="5F61E1A2" w:rsidR="00AF0D9E" w:rsidRPr="002628BE" w:rsidRDefault="00D8677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Contextual constraints</w:t>
            </w:r>
            <w:r w:rsidR="0077215F" w:rsidRPr="002628BE">
              <w:rPr>
                <w:rStyle w:val="FootnoteReference"/>
              </w:rPr>
              <w:footnoteReference w:id="66"/>
            </w:r>
            <w:r w:rsidRPr="002628BE">
              <w:t xml:space="preserve"> to the financing of </w:t>
            </w:r>
            <w:r w:rsidR="000D11FD" w:rsidRPr="002628BE">
              <w:t>national priorities, including the SDGs</w:t>
            </w:r>
          </w:p>
          <w:p w14:paraId="4966138B" w14:textId="62A33AEB" w:rsidR="00DE23CF" w:rsidRPr="002628BE" w:rsidRDefault="003D4C11"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Limited SDG investment by financ</w:t>
            </w:r>
            <w:r w:rsidR="00823FF9" w:rsidRPr="002628BE">
              <w:t xml:space="preserve">ial institutions and business companies because of </w:t>
            </w:r>
            <w:r w:rsidR="007349B6" w:rsidRPr="002628BE">
              <w:t xml:space="preserve">inadequate understanding about sustainability-oriented </w:t>
            </w:r>
            <w:r w:rsidR="006A1AB3" w:rsidRPr="002628BE">
              <w:t>investment</w:t>
            </w:r>
          </w:p>
        </w:tc>
      </w:tr>
      <w:tr w:rsidR="00AF0D9E" w:rsidRPr="00041EA7" w14:paraId="3173C19B"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17D20D76" w14:textId="77777777" w:rsidR="00AF0D9E" w:rsidRPr="002628BE" w:rsidRDefault="00AF0D9E" w:rsidP="006E639B"/>
        </w:tc>
        <w:tc>
          <w:tcPr>
            <w:tcW w:w="1452" w:type="dxa"/>
          </w:tcPr>
          <w:p w14:paraId="705B37BD" w14:textId="3CED5488" w:rsidR="00AF0D9E" w:rsidRPr="002628BE" w:rsidRDefault="00AF0D9E"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Samoa</w:t>
            </w:r>
          </w:p>
        </w:tc>
        <w:tc>
          <w:tcPr>
            <w:tcW w:w="6573" w:type="dxa"/>
          </w:tcPr>
          <w:p w14:paraId="76763FA0" w14:textId="6540DC65" w:rsidR="009B7334" w:rsidRPr="002628BE" w:rsidRDefault="00733C28" w:rsidP="00B06208">
            <w:pPr>
              <w:pStyle w:val="Normal-sizedTableBullets"/>
              <w:cnfStyle w:val="000000000000" w:firstRow="0" w:lastRow="0" w:firstColumn="0" w:lastColumn="0" w:oddVBand="0" w:evenVBand="0" w:oddHBand="0" w:evenHBand="0" w:firstRowFirstColumn="0" w:firstRowLastColumn="0" w:lastRowFirstColumn="0" w:lastRowLastColumn="0"/>
            </w:pPr>
            <w:r w:rsidRPr="002628BE">
              <w:t>Insufficient me</w:t>
            </w:r>
            <w:r w:rsidR="009B7334" w:rsidRPr="002628BE">
              <w:t xml:space="preserve">asures </w:t>
            </w:r>
            <w:r w:rsidRPr="002628BE">
              <w:t>for fiscal sustainability</w:t>
            </w:r>
            <w:r w:rsidR="00DA32B1" w:rsidRPr="002628BE">
              <w:t xml:space="preserve"> to</w:t>
            </w:r>
            <w:r w:rsidR="004A3FE9" w:rsidRPr="002628BE">
              <w:t xml:space="preserve"> a</w:t>
            </w:r>
            <w:r w:rsidR="006727B7" w:rsidRPr="002628BE">
              <w:t>lign</w:t>
            </w:r>
            <w:r w:rsidR="004A3FE9" w:rsidRPr="002628BE">
              <w:t xml:space="preserve"> financing </w:t>
            </w:r>
            <w:r w:rsidR="009B595C" w:rsidRPr="002628BE">
              <w:t xml:space="preserve">flows </w:t>
            </w:r>
            <w:r w:rsidR="004A3FE9" w:rsidRPr="002628BE">
              <w:t xml:space="preserve">with </w:t>
            </w:r>
            <w:r w:rsidR="006727B7" w:rsidRPr="002628BE">
              <w:t xml:space="preserve">national </w:t>
            </w:r>
            <w:r w:rsidR="00475EA9" w:rsidRPr="002628BE">
              <w:t>development goals</w:t>
            </w:r>
            <w:r w:rsidR="004A3FE9" w:rsidRPr="002628BE">
              <w:t xml:space="preserve"> and </w:t>
            </w:r>
            <w:r w:rsidR="00475EA9" w:rsidRPr="002628BE">
              <w:t>the SDGs</w:t>
            </w:r>
          </w:p>
        </w:tc>
      </w:tr>
      <w:tr w:rsidR="00EE62B6" w:rsidRPr="00041EA7" w14:paraId="623F0C64" w14:textId="77777777" w:rsidTr="0058135E">
        <w:trPr>
          <w:trHeight w:val="40"/>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27657CEB" w14:textId="7B077509" w:rsidR="00EE62B6" w:rsidRPr="002628BE" w:rsidRDefault="00EE62B6" w:rsidP="006E639B">
            <w:r w:rsidRPr="002628BE">
              <w:t>Europe</w:t>
            </w:r>
          </w:p>
        </w:tc>
        <w:tc>
          <w:tcPr>
            <w:tcW w:w="1452" w:type="dxa"/>
          </w:tcPr>
          <w:p w14:paraId="7B761A6F" w14:textId="4DE2EA6B" w:rsidR="00EE62B6" w:rsidRPr="002628BE" w:rsidRDefault="00EE62B6"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Belarus</w:t>
            </w:r>
          </w:p>
        </w:tc>
        <w:tc>
          <w:tcPr>
            <w:tcW w:w="6573" w:type="dxa"/>
          </w:tcPr>
          <w:p w14:paraId="37AFBE69" w14:textId="77777777" w:rsidR="00EE62B6" w:rsidRPr="002628BE" w:rsidRDefault="00EE62B6" w:rsidP="00E22194">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Limited scope for increasing public financing</w:t>
            </w:r>
          </w:p>
          <w:p w14:paraId="7CE11712" w14:textId="3B511760" w:rsidR="00EE62B6" w:rsidRPr="002628BE" w:rsidRDefault="00EE62B6" w:rsidP="00E22194">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Lack of a clear medium-term fiscal planning strategy to manage and diversi</w:t>
            </w:r>
            <w:r w:rsidR="00BE2396">
              <w:t>f</w:t>
            </w:r>
            <w:r w:rsidRPr="002628BE">
              <w:t>y public finances</w:t>
            </w:r>
          </w:p>
        </w:tc>
      </w:tr>
      <w:tr w:rsidR="00EE62B6" w:rsidRPr="00041EA7" w14:paraId="42CB875C"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1F610483" w14:textId="77777777" w:rsidR="00EE62B6" w:rsidRPr="002628BE" w:rsidRDefault="00EE62B6" w:rsidP="006E639B"/>
        </w:tc>
        <w:tc>
          <w:tcPr>
            <w:tcW w:w="1452" w:type="dxa"/>
          </w:tcPr>
          <w:p w14:paraId="67F6C58B" w14:textId="53B1F5B2" w:rsidR="00EE62B6" w:rsidRPr="002628BE" w:rsidRDefault="00EE62B6"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Kyrgyzstan</w:t>
            </w:r>
          </w:p>
        </w:tc>
        <w:tc>
          <w:tcPr>
            <w:tcW w:w="6573" w:type="dxa"/>
          </w:tcPr>
          <w:p w14:paraId="010548EE" w14:textId="55471335" w:rsidR="00EE62B6" w:rsidRPr="002628BE" w:rsidRDefault="00EE62B6" w:rsidP="008E54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Lack of a systematic and strategic alignment between national development plans</w:t>
            </w:r>
            <w:r w:rsidRPr="002628BE">
              <w:rPr>
                <w:rStyle w:val="FootnoteReference"/>
              </w:rPr>
              <w:footnoteReference w:id="67"/>
            </w:r>
            <w:r w:rsidRPr="002628BE">
              <w:t xml:space="preserve"> and the national budget</w:t>
            </w:r>
          </w:p>
        </w:tc>
      </w:tr>
      <w:tr w:rsidR="00AD17FA" w:rsidRPr="00041EA7" w14:paraId="09F4EF42"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188BAC2C" w14:textId="6233D6E5" w:rsidR="00AD17FA" w:rsidRPr="002628BE" w:rsidRDefault="00AD17FA" w:rsidP="006E639B">
            <w:r w:rsidRPr="002628BE">
              <w:t>Latin America and the Caribbean</w:t>
            </w:r>
          </w:p>
        </w:tc>
        <w:tc>
          <w:tcPr>
            <w:tcW w:w="1452" w:type="dxa"/>
          </w:tcPr>
          <w:p w14:paraId="5DE27D42" w14:textId="5B402241" w:rsidR="00AD17FA" w:rsidRPr="002628BE" w:rsidRDefault="00AD17F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Costa Rica</w:t>
            </w:r>
          </w:p>
        </w:tc>
        <w:tc>
          <w:tcPr>
            <w:tcW w:w="6573" w:type="dxa"/>
          </w:tcPr>
          <w:p w14:paraId="05A0EEC7" w14:textId="7230E473" w:rsidR="00A308D6" w:rsidRPr="002628BE" w:rsidRDefault="00476481" w:rsidP="008E54A7">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 xml:space="preserve">Insufficient public revenue to </w:t>
            </w:r>
            <w:r w:rsidR="008E54A7" w:rsidRPr="002628BE">
              <w:t>finance investments that are necessary for SDG achievement</w:t>
            </w:r>
          </w:p>
        </w:tc>
      </w:tr>
      <w:tr w:rsidR="00AD17FA" w:rsidRPr="00041EA7" w14:paraId="679E5B23"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65A871A0" w14:textId="77777777" w:rsidR="00AD17FA" w:rsidRPr="002628BE" w:rsidRDefault="00AD17FA" w:rsidP="006E639B"/>
        </w:tc>
        <w:tc>
          <w:tcPr>
            <w:tcW w:w="1452" w:type="dxa"/>
          </w:tcPr>
          <w:p w14:paraId="0A1C066F" w14:textId="261CA81F" w:rsidR="00AD17FA" w:rsidRPr="002628BE" w:rsidRDefault="00AD17F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Dominican Republic</w:t>
            </w:r>
          </w:p>
        </w:tc>
        <w:tc>
          <w:tcPr>
            <w:tcW w:w="6573" w:type="dxa"/>
          </w:tcPr>
          <w:p w14:paraId="702F74BD" w14:textId="2F0A4630" w:rsidR="00AD17FA" w:rsidRPr="002628BE" w:rsidRDefault="00865049"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High proportion of national budget committed to interest payments as a result of public debt growth</w:t>
            </w:r>
          </w:p>
        </w:tc>
      </w:tr>
      <w:tr w:rsidR="00AD17FA" w:rsidRPr="00041EA7" w14:paraId="053EBC97"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restart"/>
            <w:vAlign w:val="center"/>
          </w:tcPr>
          <w:p w14:paraId="148B7BD7" w14:textId="35017BF0" w:rsidR="00AD17FA" w:rsidRPr="002628BE" w:rsidRDefault="00AD17FA" w:rsidP="006E639B">
            <w:r w:rsidRPr="002628BE">
              <w:t>Western Asia</w:t>
            </w:r>
          </w:p>
        </w:tc>
        <w:tc>
          <w:tcPr>
            <w:tcW w:w="1452" w:type="dxa"/>
          </w:tcPr>
          <w:p w14:paraId="7495FF49" w14:textId="0B7A8367" w:rsidR="00AD17FA" w:rsidRPr="002628BE" w:rsidRDefault="00AD17F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Egypt</w:t>
            </w:r>
          </w:p>
        </w:tc>
        <w:tc>
          <w:tcPr>
            <w:tcW w:w="6573" w:type="dxa"/>
          </w:tcPr>
          <w:p w14:paraId="461A97CF" w14:textId="43174755" w:rsidR="00AD17FA" w:rsidRPr="002628BE" w:rsidRDefault="00B33EB1"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 xml:space="preserve">Lack of a national estimate </w:t>
            </w:r>
            <w:r w:rsidR="0053408F" w:rsidRPr="002628BE">
              <w:t>for the financing and achievement of nationally-defined SDGs</w:t>
            </w:r>
          </w:p>
        </w:tc>
      </w:tr>
      <w:tr w:rsidR="00AD17FA" w:rsidRPr="00041EA7" w14:paraId="2D32E564" w14:textId="77777777" w:rsidTr="0058135E">
        <w:trPr>
          <w:jc w:val="center"/>
        </w:trPr>
        <w:tc>
          <w:tcPr>
            <w:cnfStyle w:val="001000000000" w:firstRow="0" w:lastRow="0" w:firstColumn="1" w:lastColumn="0" w:oddVBand="0" w:evenVBand="0" w:oddHBand="0" w:evenHBand="0" w:firstRowFirstColumn="0" w:firstRowLastColumn="0" w:lastRowFirstColumn="0" w:lastRowLastColumn="0"/>
            <w:tcW w:w="1659" w:type="dxa"/>
            <w:vMerge/>
            <w:vAlign w:val="center"/>
          </w:tcPr>
          <w:p w14:paraId="36FE0534" w14:textId="77777777" w:rsidR="00AD17FA" w:rsidRPr="002628BE" w:rsidRDefault="00AD17FA" w:rsidP="006E639B"/>
        </w:tc>
        <w:tc>
          <w:tcPr>
            <w:tcW w:w="1452" w:type="dxa"/>
          </w:tcPr>
          <w:p w14:paraId="4A1A5A88" w14:textId="6260AE1F" w:rsidR="00AD17FA" w:rsidRPr="002628BE" w:rsidRDefault="00AD17FA"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Jordan</w:t>
            </w:r>
          </w:p>
        </w:tc>
        <w:tc>
          <w:tcPr>
            <w:tcW w:w="6573" w:type="dxa"/>
          </w:tcPr>
          <w:p w14:paraId="16EB7574" w14:textId="77777777" w:rsidR="00AD17FA" w:rsidRPr="002628BE" w:rsidRDefault="009E268C" w:rsidP="006E639B">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Widening public sector deficit</w:t>
            </w:r>
          </w:p>
          <w:p w14:paraId="700FE78C" w14:textId="0266092D" w:rsidR="007469B5" w:rsidRPr="002628BE" w:rsidRDefault="00E105E1" w:rsidP="00091862">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sidRPr="002628BE">
              <w:t xml:space="preserve">Lack of a detailed action plan </w:t>
            </w:r>
            <w:r w:rsidR="006225D9" w:rsidRPr="002628BE">
              <w:t>for contributi</w:t>
            </w:r>
            <w:r w:rsidR="00885685" w:rsidRPr="002628BE">
              <w:t>ons t</w:t>
            </w:r>
            <w:r w:rsidR="006225D9" w:rsidRPr="002628BE">
              <w:t>o</w:t>
            </w:r>
            <w:r w:rsidR="00825AB4">
              <w:t>wards</w:t>
            </w:r>
            <w:r w:rsidR="006225D9" w:rsidRPr="002628BE">
              <w:t xml:space="preserve"> SDG achievement</w:t>
            </w:r>
            <w:r w:rsidR="00091862" w:rsidRPr="002628BE">
              <w:t>, including no</w:t>
            </w:r>
            <w:r w:rsidR="007469B5" w:rsidRPr="002628BE">
              <w:t xml:space="preserve"> </w:t>
            </w:r>
            <w:r w:rsidR="00CA1C24" w:rsidRPr="002628BE">
              <w:t>budget for</w:t>
            </w:r>
            <w:r w:rsidR="00825AB4">
              <w:t xml:space="preserve"> these</w:t>
            </w:r>
            <w:r w:rsidR="00CA1C24" w:rsidRPr="002628BE">
              <w:t xml:space="preserve"> contributions </w:t>
            </w:r>
          </w:p>
        </w:tc>
      </w:tr>
    </w:tbl>
    <w:p w14:paraId="406B18AA" w14:textId="363C6764" w:rsidR="008E7DC1" w:rsidRDefault="00932973" w:rsidP="00932973">
      <w:pPr>
        <w:pStyle w:val="Reporttext"/>
        <w:spacing w:after="120" w:line="259" w:lineRule="auto"/>
        <w:jc w:val="right"/>
        <w:rPr>
          <w:rFonts w:asciiTheme="minorHAnsi" w:hAnsiTheme="minorHAnsi"/>
          <w:i/>
          <w:iCs/>
          <w:spacing w:val="-2"/>
          <w:sz w:val="20"/>
        </w:rPr>
        <w:sectPr w:rsidR="008E7DC1" w:rsidSect="00F666A1">
          <w:type w:val="continuous"/>
          <w:pgSz w:w="12240" w:h="15840" w:code="1"/>
          <w:pgMar w:top="1276" w:right="1276" w:bottom="1134" w:left="1276" w:header="720" w:footer="720" w:gutter="0"/>
          <w:cols w:space="397"/>
          <w:docGrid w:linePitch="360"/>
        </w:sectPr>
      </w:pPr>
      <w:r>
        <w:rPr>
          <w:rFonts w:asciiTheme="minorHAnsi" w:hAnsiTheme="minorHAnsi"/>
          <w:i/>
          <w:iCs/>
          <w:spacing w:val="-2"/>
          <w:sz w:val="20"/>
        </w:rPr>
        <w:t xml:space="preserve">Source: Draft </w:t>
      </w:r>
      <w:r w:rsidR="00D6154D">
        <w:rPr>
          <w:rFonts w:asciiTheme="minorHAnsi" w:hAnsiTheme="minorHAnsi"/>
          <w:i/>
          <w:iCs/>
          <w:spacing w:val="-2"/>
          <w:sz w:val="20"/>
        </w:rPr>
        <w:t>P</w:t>
      </w:r>
      <w:r>
        <w:rPr>
          <w:rFonts w:asciiTheme="minorHAnsi" w:hAnsiTheme="minorHAnsi"/>
          <w:i/>
          <w:iCs/>
          <w:spacing w:val="-2"/>
          <w:sz w:val="20"/>
        </w:rPr>
        <w:t>roject document; V</w:t>
      </w:r>
      <w:r w:rsidR="0025304E">
        <w:rPr>
          <w:rFonts w:asciiTheme="minorHAnsi" w:hAnsiTheme="minorHAnsi"/>
          <w:i/>
          <w:iCs/>
          <w:spacing w:val="-2"/>
          <w:sz w:val="20"/>
        </w:rPr>
        <w:t xml:space="preserve">oluntary </w:t>
      </w:r>
      <w:r>
        <w:rPr>
          <w:rFonts w:asciiTheme="minorHAnsi" w:hAnsiTheme="minorHAnsi"/>
          <w:i/>
          <w:iCs/>
          <w:spacing w:val="-2"/>
          <w:sz w:val="20"/>
        </w:rPr>
        <w:t>N</w:t>
      </w:r>
      <w:r w:rsidR="0025304E">
        <w:rPr>
          <w:rFonts w:asciiTheme="minorHAnsi" w:hAnsiTheme="minorHAnsi"/>
          <w:i/>
          <w:iCs/>
          <w:spacing w:val="-2"/>
          <w:sz w:val="20"/>
        </w:rPr>
        <w:t xml:space="preserve">ational </w:t>
      </w:r>
      <w:r>
        <w:rPr>
          <w:rFonts w:asciiTheme="minorHAnsi" w:hAnsiTheme="minorHAnsi"/>
          <w:i/>
          <w:iCs/>
          <w:spacing w:val="-2"/>
          <w:sz w:val="20"/>
        </w:rPr>
        <w:t>R</w:t>
      </w:r>
      <w:r w:rsidR="0025304E">
        <w:rPr>
          <w:rFonts w:asciiTheme="minorHAnsi" w:hAnsiTheme="minorHAnsi"/>
          <w:i/>
          <w:iCs/>
          <w:spacing w:val="-2"/>
          <w:sz w:val="20"/>
        </w:rPr>
        <w:t>eview</w:t>
      </w:r>
      <w:r w:rsidR="00617C61">
        <w:rPr>
          <w:rFonts w:asciiTheme="minorHAnsi" w:hAnsiTheme="minorHAnsi"/>
          <w:i/>
          <w:iCs/>
          <w:spacing w:val="-2"/>
          <w:sz w:val="20"/>
        </w:rPr>
        <w:t xml:space="preserve">, </w:t>
      </w:r>
      <w:r w:rsidR="00E72A75">
        <w:rPr>
          <w:rFonts w:asciiTheme="minorHAnsi" w:hAnsiTheme="minorHAnsi"/>
          <w:i/>
          <w:iCs/>
          <w:spacing w:val="-2"/>
          <w:sz w:val="20"/>
        </w:rPr>
        <w:t xml:space="preserve">Dominican Republic, </w:t>
      </w:r>
      <w:r w:rsidR="00BE0350">
        <w:rPr>
          <w:rFonts w:asciiTheme="minorHAnsi" w:hAnsiTheme="minorHAnsi"/>
          <w:i/>
          <w:iCs/>
          <w:spacing w:val="-2"/>
          <w:sz w:val="20"/>
        </w:rPr>
        <w:t xml:space="preserve">2021; </w:t>
      </w:r>
      <w:r w:rsidR="00400952">
        <w:rPr>
          <w:rFonts w:asciiTheme="minorHAnsi" w:hAnsiTheme="minorHAnsi"/>
          <w:i/>
          <w:iCs/>
          <w:spacing w:val="-2"/>
          <w:sz w:val="20"/>
        </w:rPr>
        <w:t>D</w:t>
      </w:r>
      <w:r w:rsidR="00887B7E">
        <w:rPr>
          <w:rFonts w:asciiTheme="minorHAnsi" w:hAnsiTheme="minorHAnsi"/>
          <w:i/>
          <w:iCs/>
          <w:spacing w:val="-2"/>
          <w:sz w:val="20"/>
        </w:rPr>
        <w:t>FA</w:t>
      </w:r>
      <w:r w:rsidR="007A791D">
        <w:rPr>
          <w:rFonts w:asciiTheme="minorHAnsi" w:hAnsiTheme="minorHAnsi"/>
          <w:i/>
          <w:iCs/>
          <w:spacing w:val="-2"/>
          <w:sz w:val="20"/>
        </w:rPr>
        <w:t xml:space="preserve">, </w:t>
      </w:r>
      <w:r w:rsidR="00BE0350">
        <w:rPr>
          <w:rFonts w:asciiTheme="minorHAnsi" w:hAnsiTheme="minorHAnsi"/>
          <w:i/>
          <w:iCs/>
          <w:spacing w:val="-2"/>
          <w:sz w:val="20"/>
        </w:rPr>
        <w:t>Samoa, 20</w:t>
      </w:r>
      <w:r w:rsidR="007A791D">
        <w:rPr>
          <w:rFonts w:asciiTheme="minorHAnsi" w:hAnsiTheme="minorHAnsi"/>
          <w:i/>
          <w:iCs/>
          <w:spacing w:val="-2"/>
          <w:sz w:val="20"/>
        </w:rPr>
        <w:t>19</w:t>
      </w:r>
    </w:p>
    <w:p w14:paraId="18ACB844" w14:textId="77777777" w:rsidR="00A818E4" w:rsidRDefault="00A818E4" w:rsidP="00243FD8">
      <w:pPr>
        <w:pStyle w:val="Reporttext"/>
        <w:spacing w:after="120" w:line="259" w:lineRule="auto"/>
        <w:jc w:val="center"/>
        <w:rPr>
          <w:rFonts w:asciiTheme="minorHAnsi" w:hAnsiTheme="minorHAnsi"/>
          <w:i/>
          <w:iCs/>
          <w:spacing w:val="-2"/>
          <w:sz w:val="20"/>
        </w:rPr>
        <w:sectPr w:rsidR="00A818E4" w:rsidSect="00561CA4">
          <w:pgSz w:w="12240" w:h="15840" w:code="1"/>
          <w:pgMar w:top="851" w:right="1276" w:bottom="1134" w:left="1276" w:header="720" w:footer="720" w:gutter="0"/>
          <w:cols w:num="2" w:space="397"/>
          <w:docGrid w:linePitch="360"/>
        </w:sectPr>
      </w:pPr>
    </w:p>
    <w:p w14:paraId="206A8D80" w14:textId="36DCB8FE" w:rsidR="00BA528F" w:rsidRDefault="000A7937" w:rsidP="004058C8">
      <w:pPr>
        <w:pStyle w:val="BodyText"/>
        <w:rPr>
          <w:lang w:val="en-GB"/>
        </w:rPr>
      </w:pPr>
      <w:r>
        <w:rPr>
          <w:lang w:val="en-GB"/>
        </w:rPr>
        <w:t xml:space="preserve">Inadequate </w:t>
      </w:r>
      <w:r w:rsidR="002E1040">
        <w:rPr>
          <w:lang w:val="en-GB"/>
        </w:rPr>
        <w:t xml:space="preserve">financial resources </w:t>
      </w:r>
      <w:r w:rsidR="002826BE">
        <w:rPr>
          <w:lang w:val="en-GB"/>
        </w:rPr>
        <w:t>and/ or</w:t>
      </w:r>
      <w:r w:rsidR="009341DC">
        <w:rPr>
          <w:lang w:val="en-GB"/>
        </w:rPr>
        <w:t xml:space="preserve"> the</w:t>
      </w:r>
      <w:r w:rsidR="004A112E">
        <w:rPr>
          <w:lang w:val="en-GB"/>
        </w:rPr>
        <w:t xml:space="preserve"> lack of alignment between </w:t>
      </w:r>
      <w:r w:rsidR="002826BE">
        <w:rPr>
          <w:lang w:val="en-GB"/>
        </w:rPr>
        <w:t xml:space="preserve">development financing and national development priorities were </w:t>
      </w:r>
      <w:r w:rsidR="00BA2BFF">
        <w:rPr>
          <w:lang w:val="en-GB"/>
        </w:rPr>
        <w:t>recurrent issue</w:t>
      </w:r>
      <w:r w:rsidR="00AD0BC9">
        <w:rPr>
          <w:lang w:val="en-GB"/>
        </w:rPr>
        <w:t>s</w:t>
      </w:r>
      <w:r w:rsidR="00BA2BFF">
        <w:rPr>
          <w:lang w:val="en-GB"/>
        </w:rPr>
        <w:t xml:space="preserve"> </w:t>
      </w:r>
      <w:r w:rsidR="001435AF">
        <w:rPr>
          <w:lang w:val="en-GB"/>
        </w:rPr>
        <w:t xml:space="preserve">across the </w:t>
      </w:r>
      <w:r w:rsidR="00091862">
        <w:rPr>
          <w:lang w:val="en-GB"/>
        </w:rPr>
        <w:t>documented c</w:t>
      </w:r>
      <w:r w:rsidR="001435AF">
        <w:rPr>
          <w:lang w:val="en-GB"/>
        </w:rPr>
        <w:t>apacity gaps</w:t>
      </w:r>
      <w:r>
        <w:rPr>
          <w:lang w:val="en-GB"/>
        </w:rPr>
        <w:t>.</w:t>
      </w:r>
      <w:r w:rsidR="009376B4">
        <w:rPr>
          <w:lang w:val="en-GB"/>
        </w:rPr>
        <w:t xml:space="preserve"> </w:t>
      </w:r>
      <w:r w:rsidR="00BF4475">
        <w:rPr>
          <w:lang w:val="en-GB"/>
        </w:rPr>
        <w:t>The</w:t>
      </w:r>
      <w:r w:rsidR="00F4615B">
        <w:rPr>
          <w:lang w:val="en-GB"/>
        </w:rPr>
        <w:t xml:space="preserve"> </w:t>
      </w:r>
      <w:r w:rsidR="0098798D">
        <w:rPr>
          <w:lang w:val="en-GB"/>
        </w:rPr>
        <w:t xml:space="preserve">pre-project situation analysis of development financing </w:t>
      </w:r>
      <w:r w:rsidR="00F862AD">
        <w:rPr>
          <w:lang w:val="en-GB"/>
        </w:rPr>
        <w:t xml:space="preserve">indicated </w:t>
      </w:r>
      <w:r w:rsidR="00E55A55">
        <w:rPr>
          <w:lang w:val="en-GB"/>
        </w:rPr>
        <w:t xml:space="preserve">that </w:t>
      </w:r>
      <w:r w:rsidR="0098798D">
        <w:rPr>
          <w:lang w:val="en-GB"/>
        </w:rPr>
        <w:t>the</w:t>
      </w:r>
      <w:r w:rsidR="00D617BA">
        <w:rPr>
          <w:lang w:val="en-GB"/>
        </w:rPr>
        <w:t>se issue</w:t>
      </w:r>
      <w:r w:rsidR="0098798D">
        <w:rPr>
          <w:lang w:val="en-GB"/>
        </w:rPr>
        <w:t xml:space="preserve">s </w:t>
      </w:r>
      <w:r w:rsidR="00E93BA8">
        <w:rPr>
          <w:lang w:val="en-GB"/>
        </w:rPr>
        <w:t>we</w:t>
      </w:r>
      <w:r w:rsidR="00E55A55">
        <w:rPr>
          <w:lang w:val="en-GB"/>
        </w:rPr>
        <w:t>re</w:t>
      </w:r>
      <w:r w:rsidR="00E263FA">
        <w:rPr>
          <w:lang w:val="en-GB"/>
        </w:rPr>
        <w:t xml:space="preserve"> </w:t>
      </w:r>
      <w:r w:rsidR="00A01BB3">
        <w:rPr>
          <w:lang w:val="en-GB"/>
        </w:rPr>
        <w:t xml:space="preserve">not limited </w:t>
      </w:r>
      <w:r w:rsidR="00F02AB4">
        <w:rPr>
          <w:lang w:val="en-GB"/>
        </w:rPr>
        <w:t xml:space="preserve">to the target countries, as they are </w:t>
      </w:r>
      <w:r w:rsidR="00E46AEA">
        <w:rPr>
          <w:lang w:val="en-GB"/>
        </w:rPr>
        <w:t xml:space="preserve">general </w:t>
      </w:r>
      <w:r w:rsidR="00E263FA">
        <w:rPr>
          <w:lang w:val="en-GB"/>
        </w:rPr>
        <w:t xml:space="preserve">challenges </w:t>
      </w:r>
      <w:r w:rsidR="00090F03">
        <w:rPr>
          <w:lang w:val="en-GB"/>
        </w:rPr>
        <w:t>to</w:t>
      </w:r>
      <w:r w:rsidR="00F36D3F">
        <w:rPr>
          <w:lang w:val="en-GB"/>
        </w:rPr>
        <w:t xml:space="preserve"> </w:t>
      </w:r>
      <w:r w:rsidR="00793A8E">
        <w:rPr>
          <w:lang w:val="en-GB"/>
        </w:rPr>
        <w:t xml:space="preserve">national contributions towards </w:t>
      </w:r>
      <w:r w:rsidR="00A26334">
        <w:rPr>
          <w:lang w:val="en-GB"/>
        </w:rPr>
        <w:t>SDG</w:t>
      </w:r>
      <w:r w:rsidR="00FB2D0E">
        <w:rPr>
          <w:lang w:val="en-GB"/>
        </w:rPr>
        <w:t xml:space="preserve"> achievement</w:t>
      </w:r>
      <w:r w:rsidR="00A26334">
        <w:rPr>
          <w:lang w:val="en-GB"/>
        </w:rPr>
        <w:t>.</w:t>
      </w:r>
      <w:r w:rsidR="00FB2D0E">
        <w:rPr>
          <w:rStyle w:val="FootnoteReference"/>
          <w:lang w:val="en-GB"/>
        </w:rPr>
        <w:footnoteReference w:id="68"/>
      </w:r>
      <w:r w:rsidR="00B87237">
        <w:rPr>
          <w:lang w:val="en-GB"/>
        </w:rPr>
        <w:t xml:space="preserve"> </w:t>
      </w:r>
      <w:r w:rsidR="00996E70">
        <w:rPr>
          <w:lang w:val="en-GB"/>
        </w:rPr>
        <w:t>National budgeting process</w:t>
      </w:r>
      <w:r w:rsidR="005A7E43">
        <w:rPr>
          <w:lang w:val="en-GB"/>
        </w:rPr>
        <w:t>es</w:t>
      </w:r>
      <w:r w:rsidR="00996E70">
        <w:rPr>
          <w:lang w:val="en-GB"/>
        </w:rPr>
        <w:t xml:space="preserve"> were especially affected by the COVID-19 pandemic, which </w:t>
      </w:r>
      <w:r w:rsidR="00E15FC8">
        <w:rPr>
          <w:lang w:val="en-GB"/>
        </w:rPr>
        <w:t>reduc</w:t>
      </w:r>
      <w:r w:rsidR="00C92017">
        <w:rPr>
          <w:lang w:val="en-GB"/>
        </w:rPr>
        <w:t>ed</w:t>
      </w:r>
      <w:r w:rsidR="0084385E">
        <w:rPr>
          <w:lang w:val="en-GB"/>
        </w:rPr>
        <w:t xml:space="preserve"> </w:t>
      </w:r>
      <w:r w:rsidR="00E15FC8">
        <w:rPr>
          <w:lang w:val="en-GB"/>
        </w:rPr>
        <w:t>the gross domestic pro</w:t>
      </w:r>
      <w:r w:rsidR="00B27231">
        <w:rPr>
          <w:lang w:val="en-GB"/>
        </w:rPr>
        <w:t>duct of most countries</w:t>
      </w:r>
      <w:r w:rsidR="0084385E">
        <w:rPr>
          <w:lang w:val="en-GB"/>
        </w:rPr>
        <w:t xml:space="preserve"> </w:t>
      </w:r>
      <w:r w:rsidR="00D6139F">
        <w:rPr>
          <w:lang w:val="en-GB"/>
        </w:rPr>
        <w:t xml:space="preserve">because of </w:t>
      </w:r>
      <w:r w:rsidR="00DC17E6">
        <w:rPr>
          <w:lang w:val="en-GB"/>
        </w:rPr>
        <w:t>the</w:t>
      </w:r>
      <w:r w:rsidR="00D800D7">
        <w:rPr>
          <w:lang w:val="en-GB"/>
        </w:rPr>
        <w:t xml:space="preserve"> loss of revenue from d</w:t>
      </w:r>
      <w:r w:rsidR="00E15FC8">
        <w:rPr>
          <w:lang w:val="en-GB"/>
        </w:rPr>
        <w:t>omestic</w:t>
      </w:r>
      <w:r w:rsidR="00D800D7">
        <w:rPr>
          <w:lang w:val="en-GB"/>
        </w:rPr>
        <w:t xml:space="preserve"> and international sources.</w:t>
      </w:r>
      <w:r w:rsidR="0031683E">
        <w:rPr>
          <w:rStyle w:val="FootnoteReference"/>
          <w:lang w:val="en-GB"/>
        </w:rPr>
        <w:footnoteReference w:id="69"/>
      </w:r>
      <w:r w:rsidR="00D800D7">
        <w:rPr>
          <w:lang w:val="en-GB"/>
        </w:rPr>
        <w:t xml:space="preserve"> </w:t>
      </w:r>
    </w:p>
    <w:p w14:paraId="2D98D81A" w14:textId="41ADA0CE" w:rsidR="0012313D" w:rsidRDefault="00A202A9" w:rsidP="004058C8">
      <w:pPr>
        <w:pStyle w:val="BodyText"/>
        <w:rPr>
          <w:lang w:val="en-GB"/>
        </w:rPr>
      </w:pPr>
      <w:r>
        <w:rPr>
          <w:lang w:val="en-GB"/>
        </w:rPr>
        <w:t xml:space="preserve">As </w:t>
      </w:r>
      <w:r w:rsidR="00276A6E">
        <w:rPr>
          <w:lang w:val="en-GB"/>
        </w:rPr>
        <w:t xml:space="preserve">the </w:t>
      </w:r>
      <w:r w:rsidR="001438C9">
        <w:rPr>
          <w:lang w:val="en-GB"/>
        </w:rPr>
        <w:t>alignment of development financing with national development commitments</w:t>
      </w:r>
      <w:r w:rsidR="00080649">
        <w:rPr>
          <w:lang w:val="en-GB"/>
        </w:rPr>
        <w:t xml:space="preserve"> </w:t>
      </w:r>
      <w:r w:rsidR="001438C9">
        <w:rPr>
          <w:lang w:val="en-GB"/>
        </w:rPr>
        <w:t>is</w:t>
      </w:r>
      <w:r w:rsidR="00080649">
        <w:rPr>
          <w:lang w:val="en-GB"/>
        </w:rPr>
        <w:t xml:space="preserve"> a requirement for effective country-level contributions to the SDGs,</w:t>
      </w:r>
      <w:r w:rsidR="00BC3635" w:rsidRPr="00BC3635">
        <w:rPr>
          <w:rStyle w:val="FootnoteReference"/>
          <w:lang w:val="en-GB"/>
        </w:rPr>
        <w:t xml:space="preserve"> </w:t>
      </w:r>
      <w:r w:rsidR="00BC3635">
        <w:rPr>
          <w:rStyle w:val="FootnoteReference"/>
          <w:lang w:val="en-GB"/>
        </w:rPr>
        <w:footnoteReference w:id="70"/>
      </w:r>
      <w:r w:rsidR="00080649">
        <w:rPr>
          <w:lang w:val="en-GB"/>
        </w:rPr>
        <w:t xml:space="preserve"> </w:t>
      </w:r>
      <w:r w:rsidR="00EA2CDD">
        <w:rPr>
          <w:lang w:val="en-GB"/>
        </w:rPr>
        <w:t>the INFF project has presented as a conceptually relevant intervention</w:t>
      </w:r>
      <w:r w:rsidR="00DB6B1D">
        <w:rPr>
          <w:lang w:val="en-GB"/>
        </w:rPr>
        <w:t>.</w:t>
      </w:r>
      <w:r w:rsidR="00BB056A">
        <w:rPr>
          <w:lang w:val="en-GB"/>
        </w:rPr>
        <w:t xml:space="preserve"> </w:t>
      </w:r>
      <w:r w:rsidR="002837F6">
        <w:rPr>
          <w:lang w:val="en-GB"/>
        </w:rPr>
        <w:t xml:space="preserve">The </w:t>
      </w:r>
      <w:r w:rsidR="00C04E05">
        <w:rPr>
          <w:lang w:val="en-GB"/>
        </w:rPr>
        <w:t>objectives</w:t>
      </w:r>
      <w:r w:rsidR="00010775" w:rsidRPr="00010775">
        <w:rPr>
          <w:lang w:val="en-GB"/>
        </w:rPr>
        <w:t xml:space="preserve"> </w:t>
      </w:r>
      <w:r w:rsidR="00010775">
        <w:rPr>
          <w:lang w:val="en-GB"/>
        </w:rPr>
        <w:t xml:space="preserve">of the project </w:t>
      </w:r>
      <w:r w:rsidR="0068404A">
        <w:rPr>
          <w:rStyle w:val="FootnoteReference"/>
          <w:lang w:val="en-GB"/>
        </w:rPr>
        <w:footnoteReference w:id="71"/>
      </w:r>
      <w:r w:rsidR="00C04E05">
        <w:rPr>
          <w:lang w:val="en-GB"/>
        </w:rPr>
        <w:t xml:space="preserve"> </w:t>
      </w:r>
      <w:r w:rsidR="00984B4E">
        <w:rPr>
          <w:lang w:val="en-GB"/>
        </w:rPr>
        <w:t xml:space="preserve">responded to </w:t>
      </w:r>
      <w:r w:rsidR="0012313D">
        <w:rPr>
          <w:lang w:val="en-GB"/>
        </w:rPr>
        <w:t>the identified need for built capacities in development financing</w:t>
      </w:r>
      <w:r w:rsidR="00495497">
        <w:rPr>
          <w:lang w:val="en-GB"/>
        </w:rPr>
        <w:t xml:space="preserve"> </w:t>
      </w:r>
      <w:r w:rsidR="00D23EC3">
        <w:rPr>
          <w:lang w:val="en-GB"/>
        </w:rPr>
        <w:t xml:space="preserve">at the level of </w:t>
      </w:r>
      <w:r w:rsidR="00BB056A">
        <w:rPr>
          <w:lang w:val="en-GB"/>
        </w:rPr>
        <w:t>the target countries.</w:t>
      </w:r>
      <w:r w:rsidR="00D23EC3">
        <w:rPr>
          <w:lang w:val="en-GB"/>
        </w:rPr>
        <w:t xml:space="preserve"> </w:t>
      </w:r>
    </w:p>
    <w:p w14:paraId="1DF5D96C" w14:textId="77777777" w:rsidR="00BD0198" w:rsidRDefault="00614617" w:rsidP="004058C8">
      <w:pPr>
        <w:pStyle w:val="BodyText"/>
        <w:rPr>
          <w:lang w:val="en-GB"/>
        </w:rPr>
      </w:pPr>
      <w:r>
        <w:rPr>
          <w:lang w:val="en-GB"/>
        </w:rPr>
        <w:t xml:space="preserve">It is to be noted, however, that </w:t>
      </w:r>
      <w:r w:rsidR="00BC49D6">
        <w:rPr>
          <w:lang w:val="en-GB"/>
        </w:rPr>
        <w:t>the project document</w:t>
      </w:r>
      <w:r w:rsidR="00DB3CD0">
        <w:rPr>
          <w:lang w:val="en-GB"/>
        </w:rPr>
        <w:t xml:space="preserve"> was </w:t>
      </w:r>
      <w:r w:rsidR="003E3DFD">
        <w:rPr>
          <w:lang w:val="en-GB"/>
        </w:rPr>
        <w:t>informed by</w:t>
      </w:r>
      <w:r w:rsidR="00DB3CD0">
        <w:rPr>
          <w:lang w:val="en-GB"/>
        </w:rPr>
        <w:t xml:space="preserve"> desk research</w:t>
      </w:r>
      <w:r w:rsidR="001F4C20">
        <w:rPr>
          <w:lang w:val="en-GB"/>
        </w:rPr>
        <w:t xml:space="preserve"> and was supply-driven</w:t>
      </w:r>
      <w:r w:rsidR="00FA2995">
        <w:rPr>
          <w:lang w:val="en-GB"/>
        </w:rPr>
        <w:t xml:space="preserve"> (i.e. the project was not developed in response to</w:t>
      </w:r>
      <w:r w:rsidR="00AA7C0D">
        <w:rPr>
          <w:lang w:val="en-GB"/>
        </w:rPr>
        <w:t xml:space="preserve"> a request/ demand from the target countries)</w:t>
      </w:r>
      <w:r w:rsidR="005968CC">
        <w:rPr>
          <w:lang w:val="en-GB"/>
        </w:rPr>
        <w:t>.</w:t>
      </w:r>
      <w:r w:rsidR="00A168CB">
        <w:rPr>
          <w:rStyle w:val="FootnoteReference"/>
          <w:lang w:val="en-GB"/>
        </w:rPr>
        <w:footnoteReference w:id="72"/>
      </w:r>
      <w:r w:rsidR="004814A3">
        <w:rPr>
          <w:lang w:val="en-GB"/>
        </w:rPr>
        <w:t xml:space="preserve"> </w:t>
      </w:r>
      <w:r w:rsidR="007F407F">
        <w:rPr>
          <w:lang w:val="en-GB"/>
        </w:rPr>
        <w:t xml:space="preserve">Both of the </w:t>
      </w:r>
      <w:r w:rsidR="0076195A">
        <w:rPr>
          <w:lang w:val="en-GB"/>
        </w:rPr>
        <w:t>replacement countries were also engaged after the project had been designed</w:t>
      </w:r>
      <w:r w:rsidR="002E727C">
        <w:rPr>
          <w:lang w:val="en-GB"/>
        </w:rPr>
        <w:t>.</w:t>
      </w:r>
      <w:r w:rsidR="004D6AE1">
        <w:rPr>
          <w:lang w:val="en-GB"/>
        </w:rPr>
        <w:t xml:space="preserve"> </w:t>
      </w:r>
      <w:r w:rsidR="007F407F">
        <w:rPr>
          <w:lang w:val="en-GB"/>
        </w:rPr>
        <w:t>The e</w:t>
      </w:r>
      <w:r w:rsidR="004D6AE1">
        <w:rPr>
          <w:lang w:val="en-GB"/>
        </w:rPr>
        <w:t>mphasis</w:t>
      </w:r>
      <w:r w:rsidR="002E5334">
        <w:rPr>
          <w:lang w:val="en-GB"/>
        </w:rPr>
        <w:t>,</w:t>
      </w:r>
      <w:r w:rsidR="004D6AE1">
        <w:rPr>
          <w:lang w:val="en-GB"/>
        </w:rPr>
        <w:t xml:space="preserve"> here</w:t>
      </w:r>
      <w:r w:rsidR="002E5334">
        <w:rPr>
          <w:lang w:val="en-GB"/>
        </w:rPr>
        <w:t>,</w:t>
      </w:r>
      <w:r w:rsidR="004D6AE1">
        <w:rPr>
          <w:lang w:val="en-GB"/>
        </w:rPr>
        <w:t xml:space="preserve"> is </w:t>
      </w:r>
      <w:r w:rsidR="004043C4">
        <w:rPr>
          <w:lang w:val="en-GB"/>
        </w:rPr>
        <w:t>not on whether the target countries were invited to participate in the INFF project</w:t>
      </w:r>
      <w:r w:rsidR="002E5334">
        <w:rPr>
          <w:lang w:val="en-GB"/>
        </w:rPr>
        <w:t xml:space="preserve">, but rather, whether they </w:t>
      </w:r>
      <w:r w:rsidR="001250A1">
        <w:rPr>
          <w:lang w:val="en-GB"/>
        </w:rPr>
        <w:t xml:space="preserve">contributed towards </w:t>
      </w:r>
      <w:r w:rsidR="002E5334">
        <w:rPr>
          <w:lang w:val="en-GB"/>
        </w:rPr>
        <w:t>the project design.</w:t>
      </w:r>
      <w:r w:rsidR="002B2D06">
        <w:rPr>
          <w:lang w:val="en-GB"/>
        </w:rPr>
        <w:t xml:space="preserve"> </w:t>
      </w:r>
      <w:r w:rsidR="003D37BE">
        <w:rPr>
          <w:lang w:val="en-GB"/>
        </w:rPr>
        <w:t xml:space="preserve">Country-level stakeholders were </w:t>
      </w:r>
      <w:r w:rsidR="004814A3">
        <w:rPr>
          <w:lang w:val="en-GB"/>
        </w:rPr>
        <w:t xml:space="preserve">only </w:t>
      </w:r>
      <w:r w:rsidR="003D37BE">
        <w:rPr>
          <w:lang w:val="en-GB"/>
        </w:rPr>
        <w:t xml:space="preserve">engaged during the </w:t>
      </w:r>
      <w:r w:rsidR="008C5712">
        <w:rPr>
          <w:lang w:val="en-GB"/>
        </w:rPr>
        <w:t>diagnostic exercises</w:t>
      </w:r>
      <w:r w:rsidR="00042BDE">
        <w:rPr>
          <w:lang w:val="en-GB"/>
        </w:rPr>
        <w:t xml:space="preserve"> that followed the development of </w:t>
      </w:r>
      <w:r w:rsidR="007444DB">
        <w:rPr>
          <w:lang w:val="en-GB"/>
        </w:rPr>
        <w:t>guidance material</w:t>
      </w:r>
      <w:r w:rsidR="00C54DF1">
        <w:rPr>
          <w:lang w:val="en-GB"/>
        </w:rPr>
        <w:t xml:space="preserve"> to support</w:t>
      </w:r>
      <w:r w:rsidR="00363543">
        <w:rPr>
          <w:lang w:val="en-GB"/>
        </w:rPr>
        <w:t xml:space="preserve"> activity implementation.</w:t>
      </w:r>
      <w:r w:rsidR="00E043D5">
        <w:rPr>
          <w:lang w:val="en-GB"/>
        </w:rPr>
        <w:t xml:space="preserve"> </w:t>
      </w:r>
    </w:p>
    <w:p w14:paraId="28261382" w14:textId="5AA664FB" w:rsidR="00223DE6" w:rsidRDefault="008E6F08" w:rsidP="004058C8">
      <w:pPr>
        <w:pStyle w:val="BodyText"/>
        <w:rPr>
          <w:lang w:val="en-GB"/>
        </w:rPr>
      </w:pPr>
      <w:r w:rsidRPr="00E92BB9">
        <w:rPr>
          <w:lang w:val="en-GB"/>
        </w:rPr>
        <w:t>Th</w:t>
      </w:r>
      <w:r w:rsidR="00DE2392">
        <w:rPr>
          <w:lang w:val="en-GB"/>
        </w:rPr>
        <w:t>e</w:t>
      </w:r>
      <w:r w:rsidRPr="00E92BB9">
        <w:rPr>
          <w:lang w:val="en-GB"/>
        </w:rPr>
        <w:t xml:space="preserve"> approach </w:t>
      </w:r>
      <w:r w:rsidR="00DE2392">
        <w:rPr>
          <w:lang w:val="en-GB"/>
        </w:rPr>
        <w:t xml:space="preserve">to proposal/ project document development </w:t>
      </w:r>
      <w:r w:rsidRPr="00E92BB9">
        <w:rPr>
          <w:lang w:val="en-GB"/>
        </w:rPr>
        <w:t xml:space="preserve">is </w:t>
      </w:r>
      <w:r w:rsidR="00C94A2D" w:rsidRPr="00E92BB9">
        <w:rPr>
          <w:lang w:val="en-GB"/>
        </w:rPr>
        <w:t>pragmatic within the institutional</w:t>
      </w:r>
      <w:r w:rsidR="00357D84" w:rsidRPr="00E92BB9">
        <w:rPr>
          <w:lang w:val="en-GB"/>
        </w:rPr>
        <w:t xml:space="preserve"> and divisional </w:t>
      </w:r>
      <w:r w:rsidR="00C94A2D" w:rsidRPr="00E92BB9">
        <w:rPr>
          <w:lang w:val="en-GB"/>
        </w:rPr>
        <w:t>context of UNDESA</w:t>
      </w:r>
      <w:r w:rsidR="00357D84" w:rsidRPr="00E92BB9">
        <w:rPr>
          <w:lang w:val="en-GB"/>
        </w:rPr>
        <w:t>-FSDO</w:t>
      </w:r>
      <w:r w:rsidR="002A5A3B">
        <w:rPr>
          <w:lang w:val="en-GB"/>
        </w:rPr>
        <w:t xml:space="preserve">. Specifically, the process </w:t>
      </w:r>
      <w:r w:rsidR="00A45CBD" w:rsidRPr="00E92BB9">
        <w:rPr>
          <w:lang w:val="en-GB"/>
        </w:rPr>
        <w:t>is responsive to resource availability</w:t>
      </w:r>
      <w:r w:rsidR="002344DD" w:rsidRPr="00E92BB9">
        <w:rPr>
          <w:lang w:val="en-GB"/>
        </w:rPr>
        <w:t xml:space="preserve">; donor requirements; </w:t>
      </w:r>
      <w:r w:rsidR="00FB1060" w:rsidRPr="00E92BB9">
        <w:rPr>
          <w:lang w:val="en-GB"/>
        </w:rPr>
        <w:t xml:space="preserve">time </w:t>
      </w:r>
      <w:r w:rsidR="002344DD" w:rsidRPr="00E92BB9">
        <w:rPr>
          <w:lang w:val="en-GB"/>
        </w:rPr>
        <w:t>li</w:t>
      </w:r>
      <w:r w:rsidR="00DD4AD5" w:rsidRPr="00E92BB9">
        <w:rPr>
          <w:lang w:val="en-GB"/>
        </w:rPr>
        <w:t>mitations; etc.</w:t>
      </w:r>
      <w:r w:rsidR="00E043D5">
        <w:rPr>
          <w:lang w:val="en-GB"/>
        </w:rPr>
        <w:t xml:space="preserve"> </w:t>
      </w:r>
      <w:r w:rsidR="002A5A3B">
        <w:rPr>
          <w:lang w:val="en-GB"/>
        </w:rPr>
        <w:t>This does not negate, however, the contribution of the executing entities</w:t>
      </w:r>
      <w:r w:rsidR="00154161">
        <w:rPr>
          <w:lang w:val="en-GB"/>
        </w:rPr>
        <w:t xml:space="preserve"> during the process</w:t>
      </w:r>
      <w:r w:rsidR="006531EA">
        <w:rPr>
          <w:lang w:val="en-GB"/>
        </w:rPr>
        <w:t xml:space="preserve">. Each </w:t>
      </w:r>
      <w:r w:rsidR="00AB0050">
        <w:rPr>
          <w:lang w:val="en-GB"/>
        </w:rPr>
        <w:t>REC</w:t>
      </w:r>
      <w:r w:rsidR="006531EA">
        <w:rPr>
          <w:lang w:val="en-GB"/>
        </w:rPr>
        <w:t xml:space="preserve"> was responsible </w:t>
      </w:r>
      <w:r w:rsidR="006531EA">
        <w:rPr>
          <w:lang w:val="en-GB"/>
        </w:rPr>
        <w:t xml:space="preserve">for </w:t>
      </w:r>
      <w:r w:rsidR="00AB0050">
        <w:rPr>
          <w:lang w:val="en-GB"/>
        </w:rPr>
        <w:t>selecting two target countries from i</w:t>
      </w:r>
      <w:r w:rsidR="00C46091">
        <w:rPr>
          <w:lang w:val="en-GB"/>
        </w:rPr>
        <w:t>t</w:t>
      </w:r>
      <w:r w:rsidR="00AB0050">
        <w:rPr>
          <w:lang w:val="en-GB"/>
        </w:rPr>
        <w:t>s region</w:t>
      </w:r>
      <w:r w:rsidR="001E3EBD">
        <w:rPr>
          <w:lang w:val="en-GB"/>
        </w:rPr>
        <w:t xml:space="preserve"> using the established selection cri</w:t>
      </w:r>
      <w:r w:rsidR="000C67FF">
        <w:rPr>
          <w:lang w:val="en-GB"/>
        </w:rPr>
        <w:t>te</w:t>
      </w:r>
      <w:r w:rsidR="001E3EBD">
        <w:rPr>
          <w:lang w:val="en-GB"/>
        </w:rPr>
        <w:t>ria</w:t>
      </w:r>
      <w:r w:rsidR="00FC64EF">
        <w:rPr>
          <w:lang w:val="en-GB"/>
        </w:rPr>
        <w:t>.</w:t>
      </w:r>
      <w:r w:rsidR="00FC64EF">
        <w:rPr>
          <w:rStyle w:val="FootnoteReference"/>
          <w:lang w:val="en-GB"/>
        </w:rPr>
        <w:footnoteReference w:id="73"/>
      </w:r>
      <w:r w:rsidR="00FC64EF">
        <w:rPr>
          <w:lang w:val="en-GB"/>
        </w:rPr>
        <w:t xml:space="preserve"> </w:t>
      </w:r>
      <w:r w:rsidR="00223DE6">
        <w:rPr>
          <w:lang w:val="en-GB"/>
        </w:rPr>
        <w:t xml:space="preserve">For the selection of </w:t>
      </w:r>
      <w:r w:rsidR="00FF781D">
        <w:rPr>
          <w:lang w:val="en-GB"/>
        </w:rPr>
        <w:t xml:space="preserve">at least one </w:t>
      </w:r>
      <w:r w:rsidR="00223DE6">
        <w:rPr>
          <w:lang w:val="en-GB"/>
        </w:rPr>
        <w:t>replace</w:t>
      </w:r>
      <w:r w:rsidR="00FF781D">
        <w:rPr>
          <w:lang w:val="en-GB"/>
        </w:rPr>
        <w:t>ment countr</w:t>
      </w:r>
      <w:r w:rsidR="004B7369">
        <w:rPr>
          <w:lang w:val="en-GB"/>
        </w:rPr>
        <w:t>y</w:t>
      </w:r>
      <w:r w:rsidR="00FF781D">
        <w:rPr>
          <w:lang w:val="en-GB"/>
        </w:rPr>
        <w:t xml:space="preserve">, however, there was close collaboration between </w:t>
      </w:r>
      <w:r w:rsidR="00C46091">
        <w:rPr>
          <w:lang w:val="en-GB"/>
        </w:rPr>
        <w:t>t</w:t>
      </w:r>
      <w:r w:rsidR="00FF781D">
        <w:rPr>
          <w:lang w:val="en-GB"/>
        </w:rPr>
        <w:t xml:space="preserve">he REC and UNDESA-FSDO prior </w:t>
      </w:r>
      <w:r w:rsidR="00AA147C">
        <w:rPr>
          <w:lang w:val="en-GB"/>
        </w:rPr>
        <w:t>t</w:t>
      </w:r>
      <w:r w:rsidR="00FF781D">
        <w:rPr>
          <w:lang w:val="en-GB"/>
        </w:rPr>
        <w:t>o final selection.</w:t>
      </w:r>
      <w:r w:rsidR="00FF781D">
        <w:rPr>
          <w:rStyle w:val="FootnoteReference"/>
          <w:lang w:val="en-GB"/>
        </w:rPr>
        <w:footnoteReference w:id="74"/>
      </w:r>
    </w:p>
    <w:p w14:paraId="6A24E717" w14:textId="57C71BB2" w:rsidR="00F46411" w:rsidRDefault="00EB7EC4" w:rsidP="004058C8">
      <w:pPr>
        <w:pStyle w:val="BodyText"/>
        <w:rPr>
          <w:lang w:val="en-GB"/>
        </w:rPr>
      </w:pPr>
      <w:r>
        <w:rPr>
          <w:lang w:val="en-GB"/>
        </w:rPr>
        <w:t xml:space="preserve">As </w:t>
      </w:r>
      <w:r w:rsidR="00DA30D2">
        <w:rPr>
          <w:lang w:val="en-GB"/>
        </w:rPr>
        <w:t xml:space="preserve">the </w:t>
      </w:r>
      <w:r w:rsidR="009D0034">
        <w:rPr>
          <w:lang w:val="en-GB"/>
        </w:rPr>
        <w:t>V</w:t>
      </w:r>
      <w:r w:rsidR="00386A0F">
        <w:rPr>
          <w:lang w:val="en-GB"/>
        </w:rPr>
        <w:t xml:space="preserve">oluntary </w:t>
      </w:r>
      <w:r w:rsidR="009D0034">
        <w:rPr>
          <w:lang w:val="en-GB"/>
        </w:rPr>
        <w:t>N</w:t>
      </w:r>
      <w:r w:rsidR="00386A0F">
        <w:rPr>
          <w:lang w:val="en-GB"/>
        </w:rPr>
        <w:t xml:space="preserve">ational </w:t>
      </w:r>
      <w:r w:rsidR="009D0034">
        <w:rPr>
          <w:lang w:val="en-GB"/>
        </w:rPr>
        <w:t>R</w:t>
      </w:r>
      <w:r w:rsidR="00386A0F">
        <w:rPr>
          <w:lang w:val="en-GB"/>
        </w:rPr>
        <w:t>eview</w:t>
      </w:r>
      <w:r w:rsidR="009D0034">
        <w:rPr>
          <w:lang w:val="en-GB"/>
        </w:rPr>
        <w:t>s</w:t>
      </w:r>
      <w:r w:rsidR="00386A0F">
        <w:rPr>
          <w:lang w:val="en-GB"/>
        </w:rPr>
        <w:t xml:space="preserve"> (VNRs)</w:t>
      </w:r>
      <w:r w:rsidR="009D0034">
        <w:rPr>
          <w:lang w:val="en-GB"/>
        </w:rPr>
        <w:t xml:space="preserve"> of the </w:t>
      </w:r>
      <w:r w:rsidR="004D726F">
        <w:rPr>
          <w:lang w:val="en-GB"/>
        </w:rPr>
        <w:t xml:space="preserve">target </w:t>
      </w:r>
      <w:r w:rsidR="00386A0F">
        <w:rPr>
          <w:lang w:val="en-GB"/>
        </w:rPr>
        <w:t>countr</w:t>
      </w:r>
      <w:r w:rsidR="004D726F">
        <w:rPr>
          <w:lang w:val="en-GB"/>
        </w:rPr>
        <w:t>ies</w:t>
      </w:r>
      <w:r w:rsidR="00386A0F">
        <w:rPr>
          <w:lang w:val="en-GB"/>
        </w:rPr>
        <w:t xml:space="preserve"> </w:t>
      </w:r>
      <w:r>
        <w:rPr>
          <w:lang w:val="en-GB"/>
        </w:rPr>
        <w:t xml:space="preserve">were </w:t>
      </w:r>
      <w:r w:rsidR="006370C4">
        <w:rPr>
          <w:lang w:val="en-GB"/>
        </w:rPr>
        <w:t xml:space="preserve">also </w:t>
      </w:r>
      <w:r>
        <w:rPr>
          <w:lang w:val="en-GB"/>
        </w:rPr>
        <w:t xml:space="preserve">included </w:t>
      </w:r>
      <w:r w:rsidR="00234834">
        <w:rPr>
          <w:lang w:val="en-GB"/>
        </w:rPr>
        <w:t>in the pre-project desk review</w:t>
      </w:r>
      <w:r w:rsidR="008B3D20">
        <w:rPr>
          <w:lang w:val="en-GB"/>
        </w:rPr>
        <w:t xml:space="preserve">, the </w:t>
      </w:r>
      <w:r w:rsidR="00723894">
        <w:rPr>
          <w:lang w:val="en-GB"/>
        </w:rPr>
        <w:t>project</w:t>
      </w:r>
      <w:r w:rsidR="00D85877">
        <w:rPr>
          <w:lang w:val="en-GB"/>
        </w:rPr>
        <w:t xml:space="preserve"> </w:t>
      </w:r>
      <w:r w:rsidR="00E573E2">
        <w:rPr>
          <w:lang w:val="en-GB"/>
        </w:rPr>
        <w:t>was designed to address</w:t>
      </w:r>
      <w:r w:rsidR="003B6EAD">
        <w:rPr>
          <w:lang w:val="en-GB"/>
        </w:rPr>
        <w:t xml:space="preserve"> </w:t>
      </w:r>
      <w:r w:rsidR="00EC5638">
        <w:rPr>
          <w:lang w:val="en-GB"/>
        </w:rPr>
        <w:t xml:space="preserve">contextual issues in development financing that </w:t>
      </w:r>
      <w:r w:rsidR="009836B0">
        <w:rPr>
          <w:lang w:val="en-GB"/>
        </w:rPr>
        <w:t>were relevant to the</w:t>
      </w:r>
      <w:r w:rsidR="00E573E2">
        <w:rPr>
          <w:lang w:val="en-GB"/>
        </w:rPr>
        <w:t>se</w:t>
      </w:r>
      <w:r w:rsidR="009836B0">
        <w:rPr>
          <w:lang w:val="en-GB"/>
        </w:rPr>
        <w:t xml:space="preserve"> countries.</w:t>
      </w:r>
      <w:r w:rsidR="00BC5B35">
        <w:rPr>
          <w:lang w:val="en-GB"/>
        </w:rPr>
        <w:t xml:space="preserve"> Given the need f</w:t>
      </w:r>
      <w:r w:rsidR="005368E2">
        <w:rPr>
          <w:lang w:val="en-GB"/>
        </w:rPr>
        <w:t>or</w:t>
      </w:r>
      <w:r w:rsidR="00F46411">
        <w:rPr>
          <w:lang w:val="en-GB"/>
        </w:rPr>
        <w:t xml:space="preserve"> </w:t>
      </w:r>
      <w:r w:rsidR="005368E2">
        <w:rPr>
          <w:lang w:val="en-GB"/>
        </w:rPr>
        <w:t>country-level ownership of project implementation</w:t>
      </w:r>
      <w:r w:rsidR="00DF1159">
        <w:rPr>
          <w:lang w:val="en-GB"/>
        </w:rPr>
        <w:t xml:space="preserve"> and </w:t>
      </w:r>
      <w:r w:rsidR="00F46411">
        <w:rPr>
          <w:lang w:val="en-GB"/>
        </w:rPr>
        <w:t xml:space="preserve">generated </w:t>
      </w:r>
      <w:r w:rsidR="00561D71">
        <w:rPr>
          <w:lang w:val="en-GB"/>
        </w:rPr>
        <w:t>results</w:t>
      </w:r>
      <w:r w:rsidR="00F46411">
        <w:rPr>
          <w:lang w:val="en-GB"/>
        </w:rPr>
        <w:t>,</w:t>
      </w:r>
      <w:r w:rsidR="007D2DC0">
        <w:rPr>
          <w:lang w:val="en-GB"/>
        </w:rPr>
        <w:t xml:space="preserve"> </w:t>
      </w:r>
      <w:r w:rsidR="006A0CF7">
        <w:rPr>
          <w:lang w:val="en-GB"/>
        </w:rPr>
        <w:t xml:space="preserve">however, </w:t>
      </w:r>
      <w:r w:rsidR="007D2DC0">
        <w:rPr>
          <w:lang w:val="en-GB"/>
        </w:rPr>
        <w:t>the stated needs of project stakeholder</w:t>
      </w:r>
      <w:r w:rsidR="007333B3">
        <w:rPr>
          <w:lang w:val="en-GB"/>
        </w:rPr>
        <w:t>s</w:t>
      </w:r>
      <w:r w:rsidR="007D2DC0">
        <w:rPr>
          <w:lang w:val="en-GB"/>
        </w:rPr>
        <w:t xml:space="preserve"> were not adequately reflected at the level of project development.</w:t>
      </w:r>
      <w:r w:rsidR="006A0CF7">
        <w:rPr>
          <w:lang w:val="en-GB"/>
        </w:rPr>
        <w:t xml:space="preserve"> </w:t>
      </w:r>
      <w:r w:rsidR="005F1510">
        <w:rPr>
          <w:lang w:val="en-GB"/>
        </w:rPr>
        <w:t xml:space="preserve"> </w:t>
      </w:r>
    </w:p>
    <w:p w14:paraId="315A398B" w14:textId="59E2D438" w:rsidR="006A3065" w:rsidRDefault="0088727F" w:rsidP="00171095">
      <w:pPr>
        <w:pStyle w:val="BodyText"/>
        <w:rPr>
          <w:highlight w:val="yellow"/>
        </w:rPr>
      </w:pPr>
      <w:r w:rsidRPr="00AF2EBA">
        <w:rPr>
          <w:b/>
          <w:bCs/>
        </w:rPr>
        <w:t>Finding 2:</w:t>
      </w:r>
      <w:r w:rsidR="00CE565F">
        <w:rPr>
          <w:b/>
          <w:bCs/>
        </w:rPr>
        <w:t xml:space="preserve"> </w:t>
      </w:r>
      <w:r w:rsidR="00CE53FB">
        <w:t xml:space="preserve">As the project aligned strategically with the mandates of the </w:t>
      </w:r>
      <w:r w:rsidR="00AF1DFB">
        <w:t>executing</w:t>
      </w:r>
      <w:r w:rsidR="00CE53FB">
        <w:t xml:space="preserve"> </w:t>
      </w:r>
      <w:r w:rsidR="00CE53FB" w:rsidRPr="000D4A0C">
        <w:t>entities</w:t>
      </w:r>
      <w:r w:rsidR="00CE53FB">
        <w:t>, it supported inter-agency collaboration that was relevant for the engagement of stakeholder entities at the country and regional levels</w:t>
      </w:r>
      <w:r w:rsidR="00810602">
        <w:t>.</w:t>
      </w:r>
    </w:p>
    <w:p w14:paraId="76E73DBE" w14:textId="3E1E1DA7" w:rsidR="008A30F3" w:rsidRDefault="004A097C" w:rsidP="00171095">
      <w:pPr>
        <w:pStyle w:val="BodyText"/>
      </w:pPr>
      <w:r>
        <w:t xml:space="preserve">Project </w:t>
      </w:r>
      <w:r w:rsidR="004B6A25">
        <w:t>activities were impl</w:t>
      </w:r>
      <w:r w:rsidR="009844D1">
        <w:t xml:space="preserve">emented through the coordinated action of three tiers of </w:t>
      </w:r>
      <w:r w:rsidR="000D765E">
        <w:t xml:space="preserve">project </w:t>
      </w:r>
      <w:r w:rsidR="00DE21FA">
        <w:t>executing entities</w:t>
      </w:r>
      <w:r w:rsidR="00002B18">
        <w:t xml:space="preserve">: UNDESA-FSDO (Tier </w:t>
      </w:r>
      <w:r w:rsidR="000F69F8">
        <w:t>1); the RECs and UNCTAD (</w:t>
      </w:r>
      <w:r w:rsidR="0067735E">
        <w:t>Tier</w:t>
      </w:r>
      <w:r w:rsidR="000F69F8">
        <w:t xml:space="preserve"> 2); and </w:t>
      </w:r>
      <w:r w:rsidR="00F56A6E">
        <w:t xml:space="preserve">Cooperating Entities within </w:t>
      </w:r>
      <w:r w:rsidR="00C42857">
        <w:t xml:space="preserve">the </w:t>
      </w:r>
      <w:r w:rsidR="00923006">
        <w:t xml:space="preserve">UN </w:t>
      </w:r>
      <w:r w:rsidR="00C42857">
        <w:t xml:space="preserve">Secretariat and </w:t>
      </w:r>
      <w:r w:rsidR="00923006">
        <w:t>System</w:t>
      </w:r>
      <w:r w:rsidR="00C42857">
        <w:t xml:space="preserve"> </w:t>
      </w:r>
      <w:r w:rsidR="00923006">
        <w:t>(Tier 3).</w:t>
      </w:r>
      <w:r w:rsidR="00E377F6">
        <w:rPr>
          <w:rStyle w:val="FootnoteReference"/>
        </w:rPr>
        <w:footnoteReference w:id="75"/>
      </w:r>
      <w:r w:rsidR="005E11F4">
        <w:t xml:space="preserve"> </w:t>
      </w:r>
      <w:r w:rsidR="00A16CE7">
        <w:t xml:space="preserve">There </w:t>
      </w:r>
      <w:r w:rsidR="004A526A">
        <w:t xml:space="preserve">was evidence of alignment </w:t>
      </w:r>
      <w:r w:rsidR="00D56522">
        <w:t xml:space="preserve">between the </w:t>
      </w:r>
      <w:r w:rsidR="00420313">
        <w:t>main</w:t>
      </w:r>
      <w:r w:rsidR="00D56522">
        <w:t xml:space="preserve"> objectives of the IN</w:t>
      </w:r>
      <w:r w:rsidR="00CE66DD">
        <w:t>F</w:t>
      </w:r>
      <w:r w:rsidR="00D56522">
        <w:t>F project and th</w:t>
      </w:r>
      <w:r w:rsidR="007E468C">
        <w:t xml:space="preserve">e strategic direction of </w:t>
      </w:r>
      <w:r w:rsidR="00152D56">
        <w:t xml:space="preserve">individual entities </w:t>
      </w:r>
      <w:r w:rsidR="00EF4D98">
        <w:t xml:space="preserve">within </w:t>
      </w:r>
      <w:r w:rsidR="007E468C">
        <w:t xml:space="preserve">each tier of </w:t>
      </w:r>
      <w:r w:rsidR="00152D56">
        <w:t xml:space="preserve">project </w:t>
      </w:r>
      <w:r w:rsidR="007E468C">
        <w:t>implement</w:t>
      </w:r>
      <w:r w:rsidR="00152D56">
        <w:t>ation</w:t>
      </w:r>
      <w:r w:rsidR="007E468C">
        <w:t>.</w:t>
      </w:r>
    </w:p>
    <w:p w14:paraId="0BD40DDB" w14:textId="3FF7E278" w:rsidR="008A7A41" w:rsidRDefault="00D34167" w:rsidP="00171095">
      <w:pPr>
        <w:pStyle w:val="BodyText"/>
      </w:pPr>
      <w:r>
        <w:t>A</w:t>
      </w:r>
      <w:r w:rsidR="00E244A5">
        <w:t xml:space="preserve">t the </w:t>
      </w:r>
      <w:r>
        <w:t>Tier 1</w:t>
      </w:r>
      <w:r w:rsidR="00E244A5">
        <w:t xml:space="preserve"> level</w:t>
      </w:r>
      <w:r>
        <w:t>,</w:t>
      </w:r>
      <w:r w:rsidR="005641D5">
        <w:t xml:space="preserve"> the</w:t>
      </w:r>
      <w:r w:rsidR="009B1599">
        <w:t xml:space="preserve"> </w:t>
      </w:r>
      <w:r w:rsidR="002C55EE">
        <w:t>UNDESA</w:t>
      </w:r>
      <w:r w:rsidR="009B1599">
        <w:t xml:space="preserve"> capacity-building </w:t>
      </w:r>
      <w:r w:rsidR="005641D5">
        <w:t xml:space="preserve">mandate </w:t>
      </w:r>
      <w:r w:rsidR="00EB3B2F">
        <w:t xml:space="preserve">aligned directly </w:t>
      </w:r>
      <w:r w:rsidR="003C6FD1">
        <w:t xml:space="preserve">with </w:t>
      </w:r>
      <w:r w:rsidR="001858C5">
        <w:t xml:space="preserve">the </w:t>
      </w:r>
      <w:r w:rsidR="00143D4D">
        <w:t xml:space="preserve">primary </w:t>
      </w:r>
      <w:r w:rsidR="00D67090">
        <w:t xml:space="preserve">objective of the project, involving </w:t>
      </w:r>
      <w:r w:rsidR="0019352E">
        <w:t xml:space="preserve">the facilitation of strengthened </w:t>
      </w:r>
      <w:r w:rsidR="00C4130F">
        <w:t>capacit</w:t>
      </w:r>
      <w:r w:rsidR="0019352E">
        <w:t xml:space="preserve">ies </w:t>
      </w:r>
      <w:r w:rsidR="00FE0116">
        <w:t>for development financing within target cou</w:t>
      </w:r>
      <w:r w:rsidR="00961A1D">
        <w:t>n</w:t>
      </w:r>
      <w:r w:rsidR="00FE0116">
        <w:t>tries</w:t>
      </w:r>
      <w:r w:rsidR="00961A1D">
        <w:t>.</w:t>
      </w:r>
      <w:r w:rsidR="001858C5">
        <w:rPr>
          <w:rStyle w:val="FootnoteReference"/>
        </w:rPr>
        <w:footnoteReference w:id="76"/>
      </w:r>
      <w:r w:rsidR="001858C5">
        <w:t xml:space="preserve"> </w:t>
      </w:r>
      <w:r w:rsidR="00702750">
        <w:t xml:space="preserve">UNDESA </w:t>
      </w:r>
      <w:r w:rsidR="003150D7">
        <w:t xml:space="preserve">provides </w:t>
      </w:r>
      <w:r w:rsidR="00110531">
        <w:t xml:space="preserve">country-level </w:t>
      </w:r>
      <w:r w:rsidR="003150D7">
        <w:t xml:space="preserve">support </w:t>
      </w:r>
      <w:r w:rsidR="0078196C">
        <w:t>to</w:t>
      </w:r>
      <w:r w:rsidR="00CD6B21">
        <w:t xml:space="preserve"> </w:t>
      </w:r>
      <w:r w:rsidR="00110531">
        <w:t>strengthen</w:t>
      </w:r>
      <w:r w:rsidR="00546C75">
        <w:t xml:space="preserve"> </w:t>
      </w:r>
      <w:r w:rsidR="0028414E">
        <w:t>government capacit</w:t>
      </w:r>
      <w:r w:rsidR="00546C75">
        <w:t xml:space="preserve">y to </w:t>
      </w:r>
      <w:r w:rsidR="00306114">
        <w:t xml:space="preserve">operationalise </w:t>
      </w:r>
      <w:r w:rsidR="00D426A0">
        <w:t xml:space="preserve">the </w:t>
      </w:r>
      <w:r w:rsidR="00B34112">
        <w:t>high-level decisions</w:t>
      </w:r>
      <w:r w:rsidR="00D426A0">
        <w:t xml:space="preserve"> </w:t>
      </w:r>
      <w:r w:rsidR="00D714F5">
        <w:t xml:space="preserve">of </w:t>
      </w:r>
      <w:r w:rsidR="00734584">
        <w:t xml:space="preserve">intergovernmental </w:t>
      </w:r>
      <w:r w:rsidR="003500AB">
        <w:t>proce</w:t>
      </w:r>
      <w:r w:rsidR="003B297D">
        <w:t>s</w:t>
      </w:r>
      <w:r w:rsidR="003500AB">
        <w:t>ses</w:t>
      </w:r>
      <w:r w:rsidR="00913CC2">
        <w:t xml:space="preserve">, including </w:t>
      </w:r>
      <w:r w:rsidR="00106B96">
        <w:t>the 2015 Addis Agenda and the 2030 Agenda</w:t>
      </w:r>
      <w:r w:rsidR="003500AB">
        <w:t>.</w:t>
      </w:r>
      <w:r w:rsidR="00795725">
        <w:rPr>
          <w:rStyle w:val="FootnoteReference"/>
        </w:rPr>
        <w:footnoteReference w:id="77"/>
      </w:r>
      <w:r w:rsidR="003500AB">
        <w:t xml:space="preserve"> </w:t>
      </w:r>
      <w:r w:rsidR="00DE475C">
        <w:t xml:space="preserve">Country governments gain access to </w:t>
      </w:r>
      <w:r w:rsidR="00EE2138">
        <w:t>technical assistance</w:t>
      </w:r>
      <w:r w:rsidR="005C0DB7">
        <w:t xml:space="preserve"> and advisory</w:t>
      </w:r>
      <w:r w:rsidR="00BC0C52">
        <w:t>,</w:t>
      </w:r>
      <w:r w:rsidR="003B32F1">
        <w:t xml:space="preserve"> </w:t>
      </w:r>
      <w:r w:rsidR="00DE475C">
        <w:t xml:space="preserve">as well as </w:t>
      </w:r>
      <w:r w:rsidR="00384B73">
        <w:t xml:space="preserve">relevant </w:t>
      </w:r>
      <w:r w:rsidR="001F6107">
        <w:t xml:space="preserve">knowledge; information; tools; </w:t>
      </w:r>
      <w:r w:rsidR="007552C4">
        <w:t>etc.</w:t>
      </w:r>
      <w:r w:rsidR="003B32F1">
        <w:t xml:space="preserve"> </w:t>
      </w:r>
      <w:r w:rsidR="00AE1CBA">
        <w:t xml:space="preserve">to </w:t>
      </w:r>
      <w:r w:rsidR="00BC5DDF">
        <w:t xml:space="preserve">inform </w:t>
      </w:r>
      <w:r w:rsidR="00AE1CBA">
        <w:t xml:space="preserve">national </w:t>
      </w:r>
      <w:r w:rsidR="008A7A41">
        <w:lastRenderedPageBreak/>
        <w:t xml:space="preserve">integration. </w:t>
      </w:r>
      <w:r w:rsidR="00E8648A">
        <w:t xml:space="preserve">The approach to </w:t>
      </w:r>
      <w:r w:rsidR="007821CC">
        <w:t xml:space="preserve">capacity-building was </w:t>
      </w:r>
      <w:r w:rsidR="00BC018E">
        <w:t xml:space="preserve">also </w:t>
      </w:r>
      <w:r w:rsidR="007821CC">
        <w:t xml:space="preserve">reflected in the secondary objective of the </w:t>
      </w:r>
      <w:r w:rsidR="00DD2EAE">
        <w:t>project,</w:t>
      </w:r>
      <w:r w:rsidR="00810CB4">
        <w:t xml:space="preserve"> given the</w:t>
      </w:r>
      <w:r w:rsidR="00707A4C">
        <w:t xml:space="preserve"> </w:t>
      </w:r>
      <w:r w:rsidR="00810CB4">
        <w:t xml:space="preserve">focus on </w:t>
      </w:r>
      <w:r w:rsidR="006321A6">
        <w:t>knowledge-exchange</w:t>
      </w:r>
      <w:r w:rsidR="00810CB4">
        <w:t xml:space="preserve"> and the national </w:t>
      </w:r>
      <w:r w:rsidR="00936C60">
        <w:t>application of global policy processes.</w:t>
      </w:r>
      <w:r w:rsidR="00936C60">
        <w:rPr>
          <w:rStyle w:val="FootnoteReference"/>
        </w:rPr>
        <w:footnoteReference w:id="78"/>
      </w:r>
    </w:p>
    <w:p w14:paraId="1A8676CF" w14:textId="3B28B2C3" w:rsidR="005604A3" w:rsidRDefault="003D3A54" w:rsidP="00171095">
      <w:pPr>
        <w:pStyle w:val="BodyText"/>
      </w:pPr>
      <w:r>
        <w:t>There was</w:t>
      </w:r>
      <w:r w:rsidR="00D667D2">
        <w:t xml:space="preserve"> </w:t>
      </w:r>
      <w:r w:rsidR="00057DD8">
        <w:t xml:space="preserve">a </w:t>
      </w:r>
      <w:r w:rsidR="00D667D2">
        <w:t>similar</w:t>
      </w:r>
      <w:r w:rsidR="00276060">
        <w:t xml:space="preserve"> </w:t>
      </w:r>
      <w:r w:rsidR="00D667D2">
        <w:t xml:space="preserve">alignment between the project </w:t>
      </w:r>
      <w:r w:rsidR="0026703C">
        <w:t xml:space="preserve">objectives and </w:t>
      </w:r>
      <w:r w:rsidR="00300C9E">
        <w:t xml:space="preserve">the </w:t>
      </w:r>
      <w:r w:rsidR="0026703C">
        <w:t xml:space="preserve">strategic </w:t>
      </w:r>
      <w:r w:rsidR="00C3247B">
        <w:t xml:space="preserve">programming of the </w:t>
      </w:r>
      <w:r w:rsidR="00F963E6">
        <w:t>Tier 2 entities</w:t>
      </w:r>
      <w:r w:rsidR="00D667D2">
        <w:t>.</w:t>
      </w:r>
      <w:r w:rsidR="00E1011B">
        <w:t xml:space="preserve"> </w:t>
      </w:r>
      <w:r w:rsidR="00B507BB">
        <w:t xml:space="preserve">Project </w:t>
      </w:r>
      <w:r w:rsidR="00E71626">
        <w:t xml:space="preserve">implementation </w:t>
      </w:r>
      <w:r w:rsidR="00FC6813">
        <w:t>aligned with established</w:t>
      </w:r>
      <w:r w:rsidR="00957F0E">
        <w:t xml:space="preserve"> </w:t>
      </w:r>
      <w:r w:rsidR="00DB61B5">
        <w:t>areas of programming across all six e</w:t>
      </w:r>
      <w:r w:rsidR="00B61369">
        <w:t xml:space="preserve">xecuting entities, thereby contributing to </w:t>
      </w:r>
      <w:r w:rsidR="00B97C84">
        <w:t xml:space="preserve">the </w:t>
      </w:r>
      <w:r w:rsidR="00C85323">
        <w:t>identifie</w:t>
      </w:r>
      <w:r w:rsidR="001C07D3">
        <w:t xml:space="preserve">d </w:t>
      </w:r>
      <w:r w:rsidR="002C6618">
        <w:t xml:space="preserve">work </w:t>
      </w:r>
      <w:r w:rsidR="00B97C84">
        <w:t>portfolio</w:t>
      </w:r>
      <w:r w:rsidR="007C2AE4">
        <w:t>s</w:t>
      </w:r>
      <w:r w:rsidR="002C6618">
        <w:t xml:space="preserve"> </w:t>
      </w:r>
      <w:r w:rsidR="001C07D3">
        <w:t>and, by extension, the mandate</w:t>
      </w:r>
      <w:r w:rsidR="002D6C4A">
        <w:t>s</w:t>
      </w:r>
      <w:r w:rsidR="001C07D3">
        <w:t xml:space="preserve"> of the </w:t>
      </w:r>
      <w:r w:rsidR="002D6C4A">
        <w:t xml:space="preserve">executing </w:t>
      </w:r>
      <w:r w:rsidR="001C07D3">
        <w:t>entit</w:t>
      </w:r>
      <w:r w:rsidR="002D6C4A">
        <w:t>ies</w:t>
      </w:r>
      <w:r w:rsidR="001C07D3">
        <w:t>.</w:t>
      </w:r>
      <w:r w:rsidR="009A301B">
        <w:t xml:space="preserve"> </w:t>
      </w:r>
      <w:r w:rsidR="00817AC5">
        <w:t>Given the</w:t>
      </w:r>
      <w:r w:rsidR="00FA71DA">
        <w:t xml:space="preserve">ir </w:t>
      </w:r>
      <w:r w:rsidR="00DA1BD1">
        <w:t>comparative advantage in the</w:t>
      </w:r>
      <w:r w:rsidR="00BB0A67">
        <w:t xml:space="preserve"> project </w:t>
      </w:r>
      <w:r w:rsidR="00DA1BD1">
        <w:t xml:space="preserve">regions, </w:t>
      </w:r>
      <w:r w:rsidR="00282196">
        <w:t xml:space="preserve">reflected </w:t>
      </w:r>
      <w:r w:rsidR="006A2748">
        <w:t>in</w:t>
      </w:r>
      <w:r w:rsidR="00282196">
        <w:t xml:space="preserve"> </w:t>
      </w:r>
      <w:r w:rsidR="006A2748">
        <w:t xml:space="preserve">programming expertise and </w:t>
      </w:r>
      <w:r w:rsidR="009B517D">
        <w:t xml:space="preserve">extensive </w:t>
      </w:r>
      <w:r w:rsidR="00282196">
        <w:t>collaborati</w:t>
      </w:r>
      <w:r w:rsidR="009B517D">
        <w:t xml:space="preserve">on </w:t>
      </w:r>
      <w:r w:rsidR="00282196">
        <w:t xml:space="preserve">with country governments and development partners, </w:t>
      </w:r>
      <w:r w:rsidR="00AE081D">
        <w:t xml:space="preserve">the </w:t>
      </w:r>
      <w:r w:rsidR="00002059">
        <w:t>support of</w:t>
      </w:r>
      <w:r w:rsidR="00A4094A">
        <w:t xml:space="preserve"> the </w:t>
      </w:r>
      <w:r w:rsidR="00AE081D">
        <w:t xml:space="preserve">executing entities </w:t>
      </w:r>
      <w:r w:rsidR="00A4094A">
        <w:t xml:space="preserve">was also relevant </w:t>
      </w:r>
      <w:r w:rsidR="009B517D">
        <w:t xml:space="preserve">for </w:t>
      </w:r>
      <w:r w:rsidR="00002059">
        <w:t xml:space="preserve">project implementation. </w:t>
      </w:r>
    </w:p>
    <w:p w14:paraId="6C449407" w14:textId="482A40E5" w:rsidR="00D667D2" w:rsidRDefault="009D3A1C" w:rsidP="00171095">
      <w:pPr>
        <w:pStyle w:val="BodyText"/>
      </w:pPr>
      <w:r>
        <w:t xml:space="preserve">Exhibit </w:t>
      </w:r>
      <w:r w:rsidR="0075378B">
        <w:t>1</w:t>
      </w:r>
      <w:r w:rsidR="00C62C97">
        <w:t>2</w:t>
      </w:r>
      <w:r w:rsidR="007C2AE4">
        <w:t xml:space="preserve"> provides a</w:t>
      </w:r>
      <w:r w:rsidR="00002059">
        <w:t xml:space="preserve">n </w:t>
      </w:r>
      <w:r w:rsidR="007C2AE4">
        <w:t>overv</w:t>
      </w:r>
      <w:r w:rsidR="00221F24">
        <w:t xml:space="preserve">iew of the </w:t>
      </w:r>
      <w:r w:rsidR="00A40EEF">
        <w:t xml:space="preserve">alignment between </w:t>
      </w:r>
      <w:r w:rsidR="00612F1A">
        <w:t xml:space="preserve">identified </w:t>
      </w:r>
      <w:r w:rsidR="00496402">
        <w:t xml:space="preserve">programme areas </w:t>
      </w:r>
      <w:r w:rsidR="00612F1A">
        <w:t xml:space="preserve">of the </w:t>
      </w:r>
      <w:r w:rsidR="00496402">
        <w:t xml:space="preserve">Tier </w:t>
      </w:r>
      <w:r w:rsidR="00F058EE">
        <w:t>2</w:t>
      </w:r>
      <w:r w:rsidR="00496402">
        <w:t xml:space="preserve"> entities and </w:t>
      </w:r>
      <w:r w:rsidR="006A79B7">
        <w:t>the objectives of the INFF project</w:t>
      </w:r>
      <w:r w:rsidR="004C79BE">
        <w:t>.</w:t>
      </w:r>
      <w:r w:rsidR="00B61369">
        <w:t xml:space="preserve"> </w:t>
      </w:r>
      <w:r w:rsidR="00AB5A02">
        <w:rPr>
          <w:rStyle w:val="FootnoteReference"/>
        </w:rPr>
        <w:footnoteReference w:id="79"/>
      </w:r>
    </w:p>
    <w:p w14:paraId="730FFBA0" w14:textId="77777777" w:rsidR="006B1924" w:rsidRDefault="006B1924" w:rsidP="00171095">
      <w:pPr>
        <w:pStyle w:val="BodyText"/>
      </w:pPr>
    </w:p>
    <w:p w14:paraId="557161D0" w14:textId="77777777" w:rsidR="008265B0" w:rsidRDefault="008265B0" w:rsidP="00171095">
      <w:pPr>
        <w:pStyle w:val="BodyText"/>
      </w:pPr>
    </w:p>
    <w:p w14:paraId="2BA86488" w14:textId="77777777" w:rsidR="008265B0" w:rsidRDefault="008265B0" w:rsidP="00171095">
      <w:pPr>
        <w:pStyle w:val="BodyText"/>
      </w:pPr>
    </w:p>
    <w:p w14:paraId="6EE92560" w14:textId="77777777" w:rsidR="0078196C" w:rsidRDefault="0078196C" w:rsidP="00171095">
      <w:pPr>
        <w:pStyle w:val="BodyText"/>
      </w:pPr>
    </w:p>
    <w:p w14:paraId="50F99764" w14:textId="77777777" w:rsidR="00311727" w:rsidRDefault="00311727" w:rsidP="00171095">
      <w:pPr>
        <w:pStyle w:val="BodyText"/>
      </w:pPr>
    </w:p>
    <w:p w14:paraId="694C6FDB" w14:textId="77777777" w:rsidR="0006000D" w:rsidRDefault="0006000D" w:rsidP="00171095">
      <w:pPr>
        <w:pStyle w:val="BodyText"/>
        <w:sectPr w:rsidR="0006000D" w:rsidSect="00F666A1">
          <w:type w:val="continuous"/>
          <w:pgSz w:w="12240" w:h="15840" w:code="1"/>
          <w:pgMar w:top="1276" w:right="1276" w:bottom="1134" w:left="1276" w:header="720" w:footer="720" w:gutter="0"/>
          <w:cols w:num="2" w:space="397"/>
          <w:docGrid w:linePitch="360"/>
        </w:sectPr>
      </w:pPr>
    </w:p>
    <w:p w14:paraId="3DA84146" w14:textId="72D6A027" w:rsidR="00B475A0" w:rsidRPr="00D12632" w:rsidRDefault="00B475A0" w:rsidP="00B475A0">
      <w:pPr>
        <w:pStyle w:val="Caption"/>
        <w:spacing w:before="120"/>
      </w:pPr>
      <w:bookmarkStart w:id="35" w:name="_Toc210730345"/>
      <w:r w:rsidRPr="00D12632">
        <w:t xml:space="preserve">Exhibit </w:t>
      </w:r>
      <w:r w:rsidRPr="00D12632">
        <w:fldChar w:fldCharType="begin"/>
      </w:r>
      <w:r w:rsidRPr="00D12632">
        <w:instrText xml:space="preserve"> SEQ Table \* ARABIC </w:instrText>
      </w:r>
      <w:r w:rsidRPr="00D12632">
        <w:fldChar w:fldCharType="separate"/>
      </w:r>
      <w:r w:rsidR="00C62C97">
        <w:rPr>
          <w:noProof/>
        </w:rPr>
        <w:t>12</w:t>
      </w:r>
      <w:r w:rsidRPr="00D12632">
        <w:fldChar w:fldCharType="end"/>
      </w:r>
      <w:r w:rsidRPr="00D12632">
        <w:t xml:space="preserve"> </w:t>
      </w:r>
      <w:r w:rsidR="008F6087">
        <w:t xml:space="preserve">Overview of </w:t>
      </w:r>
      <w:r w:rsidR="00716735">
        <w:t xml:space="preserve">strategic </w:t>
      </w:r>
      <w:r w:rsidR="004C5673">
        <w:t>programming</w:t>
      </w:r>
      <w:r w:rsidR="00EC7046">
        <w:t xml:space="preserve"> - Executing entities</w:t>
      </w:r>
      <w:bookmarkEnd w:id="35"/>
    </w:p>
    <w:tbl>
      <w:tblPr>
        <w:tblStyle w:val="BlueTable"/>
        <w:tblW w:w="5000" w:type="pct"/>
        <w:jc w:val="center"/>
        <w:tblLook w:val="04A0" w:firstRow="1" w:lastRow="0" w:firstColumn="1" w:lastColumn="0" w:noHBand="0" w:noVBand="1"/>
      </w:tblPr>
      <w:tblGrid>
        <w:gridCol w:w="1126"/>
        <w:gridCol w:w="2127"/>
        <w:gridCol w:w="6419"/>
      </w:tblGrid>
      <w:tr w:rsidR="00A84FB2" w:rsidRPr="00041EA7" w14:paraId="22381E61" w14:textId="77777777" w:rsidTr="00F234A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126" w:type="dxa"/>
          </w:tcPr>
          <w:p w14:paraId="7ADCDF96" w14:textId="4956FDC9" w:rsidR="00684417" w:rsidRPr="00183E5F" w:rsidRDefault="00684417" w:rsidP="00791F21">
            <w:pPr>
              <w:rPr>
                <w:sz w:val="18"/>
                <w:szCs w:val="18"/>
              </w:rPr>
            </w:pPr>
            <w:r w:rsidRPr="00183E5F">
              <w:rPr>
                <w:sz w:val="18"/>
                <w:szCs w:val="18"/>
              </w:rPr>
              <w:t xml:space="preserve">Entity </w:t>
            </w:r>
          </w:p>
        </w:tc>
        <w:tc>
          <w:tcPr>
            <w:tcW w:w="2127" w:type="dxa"/>
          </w:tcPr>
          <w:p w14:paraId="14A0F818" w14:textId="30F8435B" w:rsidR="00684417" w:rsidRPr="00183E5F" w:rsidRDefault="005E6871" w:rsidP="00791F21">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Are</w:t>
            </w:r>
            <w:r w:rsidR="00895C39">
              <w:rPr>
                <w:sz w:val="18"/>
                <w:szCs w:val="18"/>
              </w:rPr>
              <w:t>a</w:t>
            </w:r>
            <w:r>
              <w:rPr>
                <w:sz w:val="18"/>
                <w:szCs w:val="18"/>
              </w:rPr>
              <w:t xml:space="preserve"> of p</w:t>
            </w:r>
            <w:r w:rsidR="00684417" w:rsidRPr="00183E5F">
              <w:rPr>
                <w:sz w:val="18"/>
                <w:szCs w:val="18"/>
              </w:rPr>
              <w:t>rogramm</w:t>
            </w:r>
            <w:r w:rsidR="004112DF" w:rsidRPr="00183E5F">
              <w:rPr>
                <w:sz w:val="18"/>
                <w:szCs w:val="18"/>
              </w:rPr>
              <w:t xml:space="preserve">ing </w:t>
            </w:r>
          </w:p>
        </w:tc>
        <w:tc>
          <w:tcPr>
            <w:tcW w:w="6419" w:type="dxa"/>
          </w:tcPr>
          <w:p w14:paraId="067A7070" w14:textId="1256209C" w:rsidR="00684417" w:rsidRPr="00183E5F" w:rsidRDefault="00F76A83" w:rsidP="00791F21">
            <w:pPr>
              <w:jc w:val="center"/>
              <w:cnfStyle w:val="100000000000" w:firstRow="1" w:lastRow="0" w:firstColumn="0" w:lastColumn="0" w:oddVBand="0" w:evenVBand="0" w:oddHBand="0" w:evenHBand="0" w:firstRowFirstColumn="0" w:firstRowLastColumn="0" w:lastRowFirstColumn="0" w:lastRowLastColumn="0"/>
              <w:rPr>
                <w:sz w:val="18"/>
                <w:szCs w:val="18"/>
              </w:rPr>
            </w:pPr>
            <w:r w:rsidRPr="00183E5F">
              <w:rPr>
                <w:sz w:val="18"/>
                <w:szCs w:val="18"/>
              </w:rPr>
              <w:t>Objective</w:t>
            </w:r>
            <w:r w:rsidR="000E0CDC" w:rsidRPr="00183E5F">
              <w:rPr>
                <w:sz w:val="18"/>
                <w:szCs w:val="18"/>
              </w:rPr>
              <w:t>s</w:t>
            </w:r>
          </w:p>
        </w:tc>
      </w:tr>
      <w:tr w:rsidR="00E70F37" w:rsidRPr="00041EA7" w14:paraId="638B431C"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restart"/>
            <w:vAlign w:val="center"/>
          </w:tcPr>
          <w:p w14:paraId="5DF230B9" w14:textId="32CBC90A" w:rsidR="00E70F37" w:rsidRPr="00183E5F" w:rsidRDefault="00E70F37" w:rsidP="00791F21">
            <w:pPr>
              <w:rPr>
                <w:sz w:val="18"/>
                <w:szCs w:val="18"/>
              </w:rPr>
            </w:pPr>
            <w:r w:rsidRPr="00183E5F">
              <w:rPr>
                <w:sz w:val="18"/>
                <w:szCs w:val="18"/>
              </w:rPr>
              <w:t>UNECA</w:t>
            </w:r>
          </w:p>
        </w:tc>
        <w:tc>
          <w:tcPr>
            <w:tcW w:w="2127" w:type="dxa"/>
          </w:tcPr>
          <w:p w14:paraId="43C69795" w14:textId="21FC20D6" w:rsidR="00E70F37" w:rsidRPr="001C4475" w:rsidRDefault="00E70F37" w:rsidP="00F234A5">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sidRPr="001C4475">
              <w:rPr>
                <w:sz w:val="18"/>
                <w:szCs w:val="18"/>
                <w:lang w:val="en-CA"/>
              </w:rPr>
              <w:t>Sub-programme</w:t>
            </w:r>
            <w:r w:rsidR="00511036" w:rsidRPr="001C4475">
              <w:rPr>
                <w:sz w:val="18"/>
                <w:szCs w:val="18"/>
                <w:lang w:val="en-CA"/>
              </w:rPr>
              <w:t xml:space="preserve"> 1</w:t>
            </w:r>
            <w:r w:rsidR="00F234A5" w:rsidRPr="001C4475">
              <w:rPr>
                <w:sz w:val="18"/>
                <w:szCs w:val="18"/>
                <w:lang w:val="en-CA"/>
              </w:rPr>
              <w:t>:</w:t>
            </w:r>
            <w:r w:rsidRPr="001C4475">
              <w:rPr>
                <w:sz w:val="18"/>
                <w:szCs w:val="18"/>
                <w:lang w:val="en-CA"/>
              </w:rPr>
              <w:t xml:space="preserve"> Macroeconomic policy and governance</w:t>
            </w:r>
          </w:p>
        </w:tc>
        <w:tc>
          <w:tcPr>
            <w:tcW w:w="6419" w:type="dxa"/>
          </w:tcPr>
          <w:p w14:paraId="33E5FD3D" w14:textId="510A5DCC" w:rsidR="00E70F37" w:rsidRPr="00183E5F" w:rsidRDefault="00E70F37" w:rsidP="00791F21">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A</w:t>
            </w:r>
            <w:r w:rsidRPr="00F71886">
              <w:rPr>
                <w:sz w:val="18"/>
                <w:szCs w:val="18"/>
              </w:rPr>
              <w:t>ccelerate economic transformation and inclusive growth through</w:t>
            </w:r>
            <w:r w:rsidR="00471B2A" w:rsidRPr="00183E5F">
              <w:rPr>
                <w:sz w:val="18"/>
                <w:szCs w:val="18"/>
              </w:rPr>
              <w:t>:</w:t>
            </w:r>
          </w:p>
          <w:p w14:paraId="1AAC7CC6" w14:textId="77777777" w:rsidR="00E70F37" w:rsidRPr="00183E5F" w:rsidRDefault="00E70F37" w:rsidP="003B672F">
            <w:pPr>
              <w:pStyle w:val="Normal-sizedTableBullets"/>
              <w:numPr>
                <w:ilvl w:val="1"/>
                <w:numId w:val="10"/>
              </w:numPr>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E</w:t>
            </w:r>
            <w:r w:rsidRPr="00F71886">
              <w:rPr>
                <w:sz w:val="18"/>
                <w:szCs w:val="18"/>
              </w:rPr>
              <w:t>ffective development planning</w:t>
            </w:r>
          </w:p>
          <w:p w14:paraId="623523AC" w14:textId="77777777" w:rsidR="00E70F37" w:rsidRPr="00183E5F" w:rsidRDefault="00E70F37" w:rsidP="003B672F">
            <w:pPr>
              <w:pStyle w:val="Normal-sizedTableBullets"/>
              <w:numPr>
                <w:ilvl w:val="1"/>
                <w:numId w:val="10"/>
              </w:numPr>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I</w:t>
            </w:r>
            <w:r w:rsidRPr="00F71886">
              <w:rPr>
                <w:sz w:val="18"/>
                <w:szCs w:val="18"/>
              </w:rPr>
              <w:t>mproved macroeconomic management</w:t>
            </w:r>
          </w:p>
          <w:p w14:paraId="585A3BAD" w14:textId="77777777" w:rsidR="00E70F37" w:rsidRPr="00183E5F" w:rsidRDefault="00E70F37" w:rsidP="003B672F">
            <w:pPr>
              <w:pStyle w:val="Normal-sizedTableBullets"/>
              <w:numPr>
                <w:ilvl w:val="1"/>
                <w:numId w:val="10"/>
              </w:numPr>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E</w:t>
            </w:r>
            <w:r w:rsidRPr="00F71886">
              <w:rPr>
                <w:sz w:val="18"/>
                <w:szCs w:val="18"/>
              </w:rPr>
              <w:t>conomic governance</w:t>
            </w:r>
          </w:p>
          <w:p w14:paraId="2F441FF8" w14:textId="77AE9B8C" w:rsidR="009C3692" w:rsidRPr="00886DE4" w:rsidRDefault="00E70F37" w:rsidP="003B672F">
            <w:pPr>
              <w:pStyle w:val="Normal-sizedTableBullets"/>
              <w:numPr>
                <w:ilvl w:val="1"/>
                <w:numId w:val="10"/>
              </w:numPr>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B</w:t>
            </w:r>
            <w:r w:rsidRPr="00F71886">
              <w:rPr>
                <w:sz w:val="18"/>
                <w:szCs w:val="18"/>
              </w:rPr>
              <w:t>etter mobili</w:t>
            </w:r>
            <w:r w:rsidRPr="00183E5F">
              <w:rPr>
                <w:sz w:val="18"/>
                <w:szCs w:val="18"/>
              </w:rPr>
              <w:t>s</w:t>
            </w:r>
            <w:r w:rsidRPr="00F71886">
              <w:rPr>
                <w:sz w:val="18"/>
                <w:szCs w:val="18"/>
              </w:rPr>
              <w:t>ation and allocation of domestic and international public finance</w:t>
            </w:r>
          </w:p>
        </w:tc>
      </w:tr>
      <w:tr w:rsidR="00E70F37" w:rsidRPr="00041EA7" w14:paraId="5B62CA81"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ign w:val="center"/>
          </w:tcPr>
          <w:p w14:paraId="0709391C" w14:textId="77777777" w:rsidR="00E70F37" w:rsidRPr="00183E5F" w:rsidRDefault="00E70F37" w:rsidP="00791F21">
            <w:pPr>
              <w:rPr>
                <w:sz w:val="18"/>
                <w:szCs w:val="18"/>
              </w:rPr>
            </w:pPr>
          </w:p>
        </w:tc>
        <w:tc>
          <w:tcPr>
            <w:tcW w:w="2127" w:type="dxa"/>
          </w:tcPr>
          <w:p w14:paraId="07E0A7C4" w14:textId="1EE540B9" w:rsidR="00E70F37" w:rsidRPr="001C4475" w:rsidRDefault="00F234A5" w:rsidP="00F234A5">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sidRPr="001C4475">
              <w:rPr>
                <w:sz w:val="18"/>
                <w:szCs w:val="18"/>
              </w:rPr>
              <w:t xml:space="preserve">Sub-programme </w:t>
            </w:r>
            <w:r w:rsidR="00E70F37" w:rsidRPr="001C4475">
              <w:rPr>
                <w:sz w:val="18"/>
                <w:szCs w:val="18"/>
              </w:rPr>
              <w:t>3</w:t>
            </w:r>
            <w:r w:rsidRPr="001C4475">
              <w:rPr>
                <w:sz w:val="18"/>
                <w:szCs w:val="18"/>
              </w:rPr>
              <w:t xml:space="preserve">: </w:t>
            </w:r>
            <w:r w:rsidR="00E70F37" w:rsidRPr="001C4475">
              <w:rPr>
                <w:sz w:val="18"/>
                <w:szCs w:val="18"/>
                <w:lang w:val="en-CA"/>
              </w:rPr>
              <w:t>Private sector development and finance</w:t>
            </w:r>
          </w:p>
        </w:tc>
        <w:tc>
          <w:tcPr>
            <w:tcW w:w="6419" w:type="dxa"/>
          </w:tcPr>
          <w:p w14:paraId="45343DCE" w14:textId="77777777" w:rsidR="00285BE2" w:rsidRPr="00183E5F" w:rsidRDefault="00D4594E" w:rsidP="00791F21">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 xml:space="preserve">Support </w:t>
            </w:r>
            <w:r w:rsidR="00285BE2" w:rsidRPr="00183E5F">
              <w:rPr>
                <w:sz w:val="18"/>
                <w:szCs w:val="18"/>
              </w:rPr>
              <w:t>to countries for:</w:t>
            </w:r>
          </w:p>
          <w:p w14:paraId="249E9DD1" w14:textId="77777777" w:rsidR="0072139A" w:rsidRPr="00183E5F" w:rsidRDefault="00285BE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A</w:t>
            </w:r>
            <w:r w:rsidR="00D4594E" w:rsidRPr="00183E5F">
              <w:rPr>
                <w:sz w:val="18"/>
                <w:szCs w:val="18"/>
              </w:rPr>
              <w:t>ccelerated job creation</w:t>
            </w:r>
          </w:p>
          <w:p w14:paraId="1FBA6917" w14:textId="55BA811B" w:rsidR="008545D4" w:rsidRPr="00183E5F" w:rsidRDefault="008545D4"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Sustained economic growth</w:t>
            </w:r>
          </w:p>
          <w:p w14:paraId="4C9CBB68" w14:textId="77777777" w:rsidR="00E65F7E" w:rsidRPr="00183E5F" w:rsidRDefault="00E65F7E"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Prosperity:</w:t>
            </w:r>
          </w:p>
          <w:p w14:paraId="24D8F9D8" w14:textId="77777777" w:rsidR="00D63A07" w:rsidRPr="00183E5F" w:rsidRDefault="00D63A07" w:rsidP="003B672F">
            <w:pPr>
              <w:pStyle w:val="Normal-sizedTableBullets"/>
              <w:numPr>
                <w:ilvl w:val="2"/>
                <w:numId w:val="10"/>
              </w:numPr>
              <w:ind w:left="1027" w:hanging="425"/>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B</w:t>
            </w:r>
            <w:r w:rsidR="00E65F7E" w:rsidRPr="00183E5F">
              <w:rPr>
                <w:sz w:val="18"/>
                <w:szCs w:val="18"/>
              </w:rPr>
              <w:t>y leveraging the role and resources of the private sector</w:t>
            </w:r>
          </w:p>
          <w:p w14:paraId="73E7867E" w14:textId="77777777" w:rsidR="00974D3B" w:rsidRPr="00183E5F" w:rsidRDefault="00D63A07" w:rsidP="003B672F">
            <w:pPr>
              <w:pStyle w:val="Normal-sizedTableBullets"/>
              <w:numPr>
                <w:ilvl w:val="2"/>
                <w:numId w:val="10"/>
              </w:numPr>
              <w:ind w:left="1027" w:hanging="425"/>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P</w:t>
            </w:r>
            <w:r w:rsidR="00E65F7E" w:rsidRPr="00183E5F">
              <w:rPr>
                <w:sz w:val="18"/>
                <w:szCs w:val="18"/>
              </w:rPr>
              <w:t>romoting innovative financing solutions</w:t>
            </w:r>
          </w:p>
          <w:p w14:paraId="5090BB00" w14:textId="5814215C" w:rsidR="00E70F37" w:rsidRPr="00183E5F" w:rsidRDefault="00974D3B" w:rsidP="003B672F">
            <w:pPr>
              <w:pStyle w:val="Normal-sizedTableBullets"/>
              <w:numPr>
                <w:ilvl w:val="2"/>
                <w:numId w:val="10"/>
              </w:numPr>
              <w:ind w:left="1027" w:hanging="425"/>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C</w:t>
            </w:r>
            <w:r w:rsidR="00E65F7E" w:rsidRPr="00183E5F">
              <w:rPr>
                <w:sz w:val="18"/>
                <w:szCs w:val="18"/>
              </w:rPr>
              <w:t xml:space="preserve">reating the environment </w:t>
            </w:r>
            <w:r w:rsidRPr="00183E5F">
              <w:rPr>
                <w:sz w:val="18"/>
                <w:szCs w:val="18"/>
              </w:rPr>
              <w:t xml:space="preserve">for viable </w:t>
            </w:r>
            <w:r w:rsidR="00E65F7E" w:rsidRPr="00183E5F">
              <w:rPr>
                <w:sz w:val="18"/>
                <w:szCs w:val="18"/>
              </w:rPr>
              <w:t xml:space="preserve">private sector investments </w:t>
            </w:r>
          </w:p>
        </w:tc>
      </w:tr>
      <w:tr w:rsidR="00E70F37" w:rsidRPr="00041EA7" w14:paraId="4D06F496" w14:textId="77777777" w:rsidTr="00C159A5">
        <w:trPr>
          <w:trHeight w:val="31"/>
          <w:jc w:val="center"/>
        </w:trPr>
        <w:tc>
          <w:tcPr>
            <w:cnfStyle w:val="001000000000" w:firstRow="0" w:lastRow="0" w:firstColumn="1" w:lastColumn="0" w:oddVBand="0" w:evenVBand="0" w:oddHBand="0" w:evenHBand="0" w:firstRowFirstColumn="0" w:firstRowLastColumn="0" w:lastRowFirstColumn="0" w:lastRowLastColumn="0"/>
            <w:tcW w:w="1126" w:type="dxa"/>
            <w:vMerge/>
            <w:vAlign w:val="center"/>
          </w:tcPr>
          <w:p w14:paraId="49158648" w14:textId="77777777" w:rsidR="00E70F37" w:rsidRPr="00183E5F" w:rsidRDefault="00E70F37" w:rsidP="00791F21">
            <w:pPr>
              <w:rPr>
                <w:sz w:val="18"/>
                <w:szCs w:val="18"/>
              </w:rPr>
            </w:pPr>
          </w:p>
        </w:tc>
        <w:tc>
          <w:tcPr>
            <w:tcW w:w="2127" w:type="dxa"/>
          </w:tcPr>
          <w:p w14:paraId="59CD4F99" w14:textId="439C07B4" w:rsidR="00E70F37" w:rsidRPr="00C159A5" w:rsidRDefault="00C5424E" w:rsidP="00C159A5">
            <w:pPr>
              <w:pStyle w:val="Normal-sizedTableBullets"/>
              <w:cnfStyle w:val="000000000000" w:firstRow="0" w:lastRow="0" w:firstColumn="0" w:lastColumn="0" w:oddVBand="0" w:evenVBand="0" w:oddHBand="0" w:evenHBand="0" w:firstRowFirstColumn="0" w:firstRowLastColumn="0" w:lastRowFirstColumn="0" w:lastRowLastColumn="0"/>
              <w:rPr>
                <w:sz w:val="18"/>
                <w:szCs w:val="18"/>
                <w:lang w:val="en-CA"/>
              </w:rPr>
            </w:pPr>
            <w:r w:rsidRPr="00C159A5">
              <w:rPr>
                <w:sz w:val="18"/>
                <w:szCs w:val="18"/>
              </w:rPr>
              <w:t>Sub-programme 7:</w:t>
            </w:r>
            <w:r w:rsidR="00E70F37" w:rsidRPr="00C159A5">
              <w:rPr>
                <w:sz w:val="18"/>
                <w:szCs w:val="18"/>
              </w:rPr>
              <w:t xml:space="preserve"> </w:t>
            </w:r>
            <w:r w:rsidR="00C159A5" w:rsidRPr="00C159A5">
              <w:rPr>
                <w:sz w:val="18"/>
                <w:szCs w:val="18"/>
              </w:rPr>
              <w:t>Activities</w:t>
            </w:r>
            <w:r w:rsidR="00E70F37" w:rsidRPr="00C159A5">
              <w:rPr>
                <w:sz w:val="18"/>
                <w:szCs w:val="18"/>
                <w:lang w:val="en-CA"/>
              </w:rPr>
              <w:t xml:space="preserve"> for development </w:t>
            </w:r>
          </w:p>
        </w:tc>
        <w:tc>
          <w:tcPr>
            <w:tcW w:w="6419" w:type="dxa"/>
          </w:tcPr>
          <w:p w14:paraId="34737973" w14:textId="10C44D70" w:rsidR="00E70F37" w:rsidRPr="00183E5F" w:rsidRDefault="00547E55" w:rsidP="00791F21">
            <w:pPr>
              <w:pStyle w:val="Normal-sizedTableBullets"/>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Effective tackling of development challenges for Component 2 (Wes</w:t>
            </w:r>
            <w:r w:rsidR="00BD71F7">
              <w:rPr>
                <w:sz w:val="18"/>
                <w:szCs w:val="18"/>
              </w:rPr>
              <w:t>t</w:t>
            </w:r>
            <w:r>
              <w:rPr>
                <w:sz w:val="18"/>
                <w:szCs w:val="18"/>
              </w:rPr>
              <w:t xml:space="preserve"> Africa) and Compo</w:t>
            </w:r>
            <w:r w:rsidR="00EF26D2">
              <w:rPr>
                <w:sz w:val="18"/>
                <w:szCs w:val="18"/>
              </w:rPr>
              <w:t>nent 5 (Southern Africa)</w:t>
            </w:r>
          </w:p>
        </w:tc>
      </w:tr>
      <w:tr w:rsidR="00684417" w:rsidRPr="00041EA7" w14:paraId="1A195C14"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Align w:val="center"/>
          </w:tcPr>
          <w:p w14:paraId="709A7717" w14:textId="4C6AF58C" w:rsidR="00684417" w:rsidRPr="00183E5F" w:rsidRDefault="00684417" w:rsidP="00791F21">
            <w:pPr>
              <w:rPr>
                <w:sz w:val="18"/>
                <w:szCs w:val="18"/>
              </w:rPr>
            </w:pPr>
            <w:r w:rsidRPr="00183E5F">
              <w:rPr>
                <w:sz w:val="18"/>
                <w:szCs w:val="18"/>
              </w:rPr>
              <w:t>UNECE</w:t>
            </w:r>
          </w:p>
        </w:tc>
        <w:tc>
          <w:tcPr>
            <w:tcW w:w="2127" w:type="dxa"/>
          </w:tcPr>
          <w:p w14:paraId="75C4D83D" w14:textId="077FE342" w:rsidR="00684417" w:rsidRPr="00183E5F" w:rsidRDefault="0051117F"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Sub</w:t>
            </w:r>
            <w:r w:rsidR="00AB05DC" w:rsidRPr="00183E5F">
              <w:rPr>
                <w:sz w:val="18"/>
                <w:szCs w:val="18"/>
              </w:rPr>
              <w:t>-</w:t>
            </w:r>
            <w:r w:rsidRPr="00183E5F">
              <w:rPr>
                <w:sz w:val="18"/>
                <w:szCs w:val="18"/>
              </w:rPr>
              <w:t>programme 4</w:t>
            </w:r>
            <w:r w:rsidR="00AB05DC" w:rsidRPr="00183E5F">
              <w:rPr>
                <w:sz w:val="18"/>
                <w:szCs w:val="18"/>
              </w:rPr>
              <w:t xml:space="preserve">: </w:t>
            </w:r>
            <w:r w:rsidRPr="00183E5F">
              <w:rPr>
                <w:sz w:val="18"/>
                <w:szCs w:val="18"/>
              </w:rPr>
              <w:t xml:space="preserve">Economic Cooperation and Integration </w:t>
            </w:r>
          </w:p>
        </w:tc>
        <w:tc>
          <w:tcPr>
            <w:tcW w:w="6419" w:type="dxa"/>
          </w:tcPr>
          <w:p w14:paraId="1E421384" w14:textId="77777777" w:rsidR="00F60E4F" w:rsidRPr="00183E5F" w:rsidRDefault="00F60E4F"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S</w:t>
            </w:r>
            <w:r w:rsidR="0051117F" w:rsidRPr="00183E5F">
              <w:rPr>
                <w:sz w:val="18"/>
                <w:szCs w:val="18"/>
              </w:rPr>
              <w:t>trengthen policies on innovation, competitiveness and PPPs</w:t>
            </w:r>
            <w:r w:rsidRPr="00183E5F">
              <w:rPr>
                <w:sz w:val="18"/>
                <w:szCs w:val="18"/>
              </w:rPr>
              <w:t xml:space="preserve"> to:</w:t>
            </w:r>
          </w:p>
          <w:p w14:paraId="70D7991A" w14:textId="417B23E6" w:rsidR="005E0E59" w:rsidRPr="003A6652" w:rsidRDefault="00E408AA"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I</w:t>
            </w:r>
            <w:r w:rsidR="000949B2" w:rsidRPr="00183E5F">
              <w:rPr>
                <w:sz w:val="18"/>
                <w:szCs w:val="18"/>
              </w:rPr>
              <w:t>ncrease the expertise of governments to identify</w:t>
            </w:r>
            <w:r w:rsidRPr="00183E5F">
              <w:rPr>
                <w:sz w:val="18"/>
                <w:szCs w:val="18"/>
              </w:rPr>
              <w:t>;</w:t>
            </w:r>
            <w:r w:rsidR="000949B2" w:rsidRPr="00183E5F">
              <w:rPr>
                <w:sz w:val="18"/>
                <w:szCs w:val="18"/>
              </w:rPr>
              <w:t xml:space="preserve"> negotiate</w:t>
            </w:r>
            <w:r w:rsidRPr="00183E5F">
              <w:rPr>
                <w:sz w:val="18"/>
                <w:szCs w:val="18"/>
              </w:rPr>
              <w:t>;</w:t>
            </w:r>
            <w:r w:rsidR="000949B2" w:rsidRPr="00183E5F">
              <w:rPr>
                <w:sz w:val="18"/>
                <w:szCs w:val="18"/>
              </w:rPr>
              <w:t xml:space="preserve"> manage</w:t>
            </w:r>
            <w:r w:rsidRPr="00183E5F">
              <w:rPr>
                <w:sz w:val="18"/>
                <w:szCs w:val="18"/>
              </w:rPr>
              <w:t>;</w:t>
            </w:r>
            <w:r w:rsidR="000949B2" w:rsidRPr="00183E5F">
              <w:rPr>
                <w:sz w:val="18"/>
                <w:szCs w:val="18"/>
              </w:rPr>
              <w:t xml:space="preserve"> and implement successful</w:t>
            </w:r>
            <w:r w:rsidRPr="00183E5F">
              <w:rPr>
                <w:sz w:val="18"/>
                <w:szCs w:val="18"/>
              </w:rPr>
              <w:t xml:space="preserve"> </w:t>
            </w:r>
            <w:r w:rsidR="000949B2" w:rsidRPr="00183E5F">
              <w:rPr>
                <w:sz w:val="18"/>
                <w:szCs w:val="18"/>
              </w:rPr>
              <w:t>PPP projects</w:t>
            </w:r>
          </w:p>
        </w:tc>
      </w:tr>
      <w:tr w:rsidR="00684417" w:rsidRPr="00041EA7" w14:paraId="4BF6E801"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Align w:val="center"/>
          </w:tcPr>
          <w:p w14:paraId="59EE38D1" w14:textId="346334AF" w:rsidR="00684417" w:rsidRPr="00183E5F" w:rsidRDefault="00684417" w:rsidP="00791F21">
            <w:pPr>
              <w:rPr>
                <w:sz w:val="18"/>
                <w:szCs w:val="18"/>
              </w:rPr>
            </w:pPr>
            <w:r w:rsidRPr="00183E5F">
              <w:rPr>
                <w:sz w:val="18"/>
                <w:szCs w:val="18"/>
              </w:rPr>
              <w:t>UNECLAC</w:t>
            </w:r>
          </w:p>
        </w:tc>
        <w:tc>
          <w:tcPr>
            <w:tcW w:w="2127" w:type="dxa"/>
          </w:tcPr>
          <w:p w14:paraId="62CC989B" w14:textId="53FD69E6" w:rsidR="00FA21A1" w:rsidRPr="00183E5F" w:rsidRDefault="004112DF" w:rsidP="00575F7A">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Sub-programme 3</w:t>
            </w:r>
            <w:r w:rsidR="00082778" w:rsidRPr="00183E5F">
              <w:rPr>
                <w:sz w:val="18"/>
                <w:szCs w:val="18"/>
              </w:rPr>
              <w:t>:</w:t>
            </w:r>
            <w:r w:rsidRPr="00183E5F">
              <w:rPr>
                <w:sz w:val="18"/>
                <w:szCs w:val="18"/>
              </w:rPr>
              <w:t xml:space="preserve"> Macroeconomic Policies and Growth </w:t>
            </w:r>
          </w:p>
        </w:tc>
        <w:tc>
          <w:tcPr>
            <w:tcW w:w="6419" w:type="dxa"/>
          </w:tcPr>
          <w:p w14:paraId="5ACDE20D" w14:textId="77777777" w:rsidR="00684417" w:rsidRPr="00183E5F" w:rsidRDefault="00835008"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Foster sustainable and inclusive growth by strengthening the capacity of policymakers and other stakeholders to:</w:t>
            </w:r>
          </w:p>
          <w:p w14:paraId="4EF3C762" w14:textId="3A4A757A" w:rsidR="00835008" w:rsidRPr="00183E5F" w:rsidRDefault="006F3CCB"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A</w:t>
            </w:r>
            <w:r w:rsidR="00835008" w:rsidRPr="00183E5F">
              <w:rPr>
                <w:sz w:val="18"/>
                <w:szCs w:val="18"/>
              </w:rPr>
              <w:t>nalyse current and emerging macroeconomic and development finance issues</w:t>
            </w:r>
          </w:p>
          <w:p w14:paraId="230683B1" w14:textId="1D929E91" w:rsidR="00835008" w:rsidRPr="00183E5F" w:rsidRDefault="006F3CCB"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rPr>
              <w:t>E</w:t>
            </w:r>
            <w:r w:rsidR="00835008" w:rsidRPr="00183E5F">
              <w:rPr>
                <w:sz w:val="18"/>
                <w:szCs w:val="18"/>
              </w:rPr>
              <w:t>valuate</w:t>
            </w:r>
            <w:r w:rsidR="00A90405" w:rsidRPr="00183E5F">
              <w:rPr>
                <w:sz w:val="18"/>
                <w:szCs w:val="18"/>
              </w:rPr>
              <w:t>;</w:t>
            </w:r>
            <w:r w:rsidR="00835008" w:rsidRPr="00183E5F">
              <w:rPr>
                <w:sz w:val="18"/>
                <w:szCs w:val="18"/>
              </w:rPr>
              <w:t xml:space="preserve"> design</w:t>
            </w:r>
            <w:r w:rsidR="00A90405" w:rsidRPr="00183E5F">
              <w:rPr>
                <w:sz w:val="18"/>
                <w:szCs w:val="18"/>
              </w:rPr>
              <w:t>;</w:t>
            </w:r>
            <w:r w:rsidR="00835008" w:rsidRPr="00183E5F">
              <w:rPr>
                <w:sz w:val="18"/>
                <w:szCs w:val="18"/>
              </w:rPr>
              <w:t xml:space="preserve"> and implement development-centred macroeconomic and development financing policies</w:t>
            </w:r>
            <w:r w:rsidR="00A90405" w:rsidRPr="00183E5F">
              <w:rPr>
                <w:sz w:val="18"/>
                <w:szCs w:val="18"/>
              </w:rPr>
              <w:t xml:space="preserve"> based on comparative policy analysis</w:t>
            </w:r>
          </w:p>
        </w:tc>
      </w:tr>
      <w:tr w:rsidR="00684417" w:rsidRPr="00041EA7" w14:paraId="1DF99E8E"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Align w:val="center"/>
          </w:tcPr>
          <w:p w14:paraId="5A2F4BDF" w14:textId="4A38F1E2" w:rsidR="00684417" w:rsidRPr="00183E5F" w:rsidRDefault="00684417" w:rsidP="00791F21">
            <w:pPr>
              <w:rPr>
                <w:sz w:val="18"/>
                <w:szCs w:val="18"/>
              </w:rPr>
            </w:pPr>
            <w:r w:rsidRPr="00183E5F">
              <w:rPr>
                <w:sz w:val="18"/>
                <w:szCs w:val="18"/>
              </w:rPr>
              <w:t>UNESCAP</w:t>
            </w:r>
          </w:p>
        </w:tc>
        <w:tc>
          <w:tcPr>
            <w:tcW w:w="2127" w:type="dxa"/>
          </w:tcPr>
          <w:p w14:paraId="590CF62F" w14:textId="20078278" w:rsidR="00684417" w:rsidRPr="00183E5F" w:rsidRDefault="00553FEF"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lang w:val="en-CA"/>
              </w:rPr>
              <w:t>Sub</w:t>
            </w:r>
            <w:r w:rsidR="00A84FB2" w:rsidRPr="00183E5F">
              <w:rPr>
                <w:sz w:val="18"/>
                <w:szCs w:val="18"/>
                <w:lang w:val="en-CA"/>
              </w:rPr>
              <w:t>-</w:t>
            </w:r>
            <w:r w:rsidRPr="00183E5F">
              <w:rPr>
                <w:sz w:val="18"/>
                <w:szCs w:val="18"/>
                <w:lang w:val="en-CA"/>
              </w:rPr>
              <w:t xml:space="preserve">programme 1: Macroeconomic Policy; Poverty </w:t>
            </w:r>
            <w:r w:rsidRPr="00183E5F">
              <w:rPr>
                <w:sz w:val="18"/>
                <w:szCs w:val="18"/>
                <w:lang w:val="en-CA"/>
              </w:rPr>
              <w:lastRenderedPageBreak/>
              <w:t>Reduction</w:t>
            </w:r>
            <w:r w:rsidR="00EC4979" w:rsidRPr="00183E5F">
              <w:rPr>
                <w:sz w:val="18"/>
                <w:szCs w:val="18"/>
                <w:lang w:val="en-CA"/>
              </w:rPr>
              <w:t>;</w:t>
            </w:r>
            <w:r w:rsidRPr="00183E5F">
              <w:rPr>
                <w:sz w:val="18"/>
                <w:szCs w:val="18"/>
                <w:lang w:val="en-CA"/>
              </w:rPr>
              <w:t xml:space="preserve"> and Financing for Development</w:t>
            </w:r>
          </w:p>
        </w:tc>
        <w:tc>
          <w:tcPr>
            <w:tcW w:w="6419" w:type="dxa"/>
          </w:tcPr>
          <w:p w14:paraId="64B5C33F" w14:textId="6C31CB16" w:rsidR="00FF31E9" w:rsidRPr="00183E5F" w:rsidRDefault="00040AFB"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lang w:val="en-CA"/>
              </w:rPr>
              <w:lastRenderedPageBreak/>
              <w:t>S</w:t>
            </w:r>
            <w:r w:rsidR="00F1662A" w:rsidRPr="00183E5F">
              <w:rPr>
                <w:sz w:val="18"/>
                <w:szCs w:val="18"/>
                <w:lang w:val="en-CA"/>
              </w:rPr>
              <w:t>trengthen</w:t>
            </w:r>
            <w:r w:rsidR="005F1809" w:rsidRPr="00183E5F">
              <w:rPr>
                <w:sz w:val="18"/>
                <w:szCs w:val="18"/>
                <w:lang w:val="en-CA"/>
              </w:rPr>
              <w:t xml:space="preserve"> country</w:t>
            </w:r>
            <w:r w:rsidR="00F1662A" w:rsidRPr="00183E5F">
              <w:rPr>
                <w:sz w:val="18"/>
                <w:szCs w:val="18"/>
                <w:lang w:val="en-CA"/>
              </w:rPr>
              <w:t xml:space="preserve"> capacity to achieve stable</w:t>
            </w:r>
            <w:r w:rsidR="00FF31E9" w:rsidRPr="00183E5F">
              <w:rPr>
                <w:sz w:val="18"/>
                <w:szCs w:val="18"/>
                <w:lang w:val="en-CA"/>
              </w:rPr>
              <w:t>;</w:t>
            </w:r>
            <w:r w:rsidR="00F1662A" w:rsidRPr="00183E5F">
              <w:rPr>
                <w:sz w:val="18"/>
                <w:szCs w:val="18"/>
                <w:lang w:val="en-CA"/>
              </w:rPr>
              <w:t xml:space="preserve"> inclusive</w:t>
            </w:r>
            <w:r w:rsidR="00FF31E9" w:rsidRPr="00183E5F">
              <w:rPr>
                <w:sz w:val="18"/>
                <w:szCs w:val="18"/>
                <w:lang w:val="en-CA"/>
              </w:rPr>
              <w:t>;</w:t>
            </w:r>
            <w:r w:rsidR="00F1662A" w:rsidRPr="00183E5F">
              <w:rPr>
                <w:sz w:val="18"/>
                <w:szCs w:val="18"/>
                <w:lang w:val="en-CA"/>
              </w:rPr>
              <w:t xml:space="preserve"> and sustainable economic development</w:t>
            </w:r>
            <w:r w:rsidR="00FD1AA3">
              <w:rPr>
                <w:sz w:val="18"/>
                <w:szCs w:val="18"/>
                <w:lang w:val="en-CA"/>
              </w:rPr>
              <w:t xml:space="preserve"> through</w:t>
            </w:r>
            <w:r w:rsidR="006D27AD" w:rsidRPr="00183E5F">
              <w:rPr>
                <w:sz w:val="18"/>
                <w:szCs w:val="18"/>
                <w:lang w:val="en-CA"/>
              </w:rPr>
              <w:t>:</w:t>
            </w:r>
          </w:p>
          <w:p w14:paraId="79754F43" w14:textId="77777777" w:rsidR="006404F7" w:rsidRPr="006404F7" w:rsidRDefault="00FD1AA3"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en-CA"/>
              </w:rPr>
              <w:lastRenderedPageBreak/>
              <w:t>A balanced and multidimensional approach beyond the primary focus on econo</w:t>
            </w:r>
            <w:r w:rsidR="006404F7">
              <w:rPr>
                <w:sz w:val="18"/>
                <w:szCs w:val="18"/>
                <w:lang w:val="en-CA"/>
              </w:rPr>
              <w:t>mic growth</w:t>
            </w:r>
          </w:p>
          <w:p w14:paraId="2735D1AE" w14:textId="77777777" w:rsidR="008B0B7D" w:rsidRPr="00A02E1E" w:rsidRDefault="006404F7"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lang w:val="en-CA"/>
              </w:rPr>
              <w:t xml:space="preserve">The </w:t>
            </w:r>
            <w:r w:rsidR="00E471B0" w:rsidRPr="00A02E1E">
              <w:rPr>
                <w:sz w:val="18"/>
                <w:szCs w:val="18"/>
                <w:lang w:val="en-CA"/>
              </w:rPr>
              <w:t>transformation</w:t>
            </w:r>
            <w:r w:rsidRPr="00A02E1E">
              <w:rPr>
                <w:sz w:val="18"/>
                <w:szCs w:val="18"/>
                <w:lang w:val="en-CA"/>
              </w:rPr>
              <w:t xml:space="preserve"> of economies in </w:t>
            </w:r>
            <w:r w:rsidR="00E471B0" w:rsidRPr="00A02E1E">
              <w:rPr>
                <w:sz w:val="18"/>
                <w:szCs w:val="18"/>
                <w:lang w:val="en-CA"/>
              </w:rPr>
              <w:t>a manner that is consistent with the 2030 Agenda</w:t>
            </w:r>
          </w:p>
          <w:p w14:paraId="15D230A4" w14:textId="74A67332" w:rsidR="00224418" w:rsidRPr="00A02E1E" w:rsidRDefault="00224418"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lang w:val="en-CA"/>
              </w:rPr>
              <w:t>Particular a</w:t>
            </w:r>
            <w:r w:rsidR="008B0B7D" w:rsidRPr="00A02E1E">
              <w:rPr>
                <w:sz w:val="18"/>
                <w:szCs w:val="18"/>
                <w:lang w:val="en-CA"/>
              </w:rPr>
              <w:t>ttention to the impac</w:t>
            </w:r>
            <w:r w:rsidRPr="00A02E1E">
              <w:rPr>
                <w:sz w:val="18"/>
                <w:szCs w:val="18"/>
                <w:lang w:val="en-CA"/>
              </w:rPr>
              <w:t>t</w:t>
            </w:r>
            <w:r w:rsidR="008B0B7D" w:rsidRPr="00A02E1E">
              <w:rPr>
                <w:sz w:val="18"/>
                <w:szCs w:val="18"/>
                <w:lang w:val="en-CA"/>
              </w:rPr>
              <w:t xml:space="preserve"> of COVID-19</w:t>
            </w:r>
          </w:p>
          <w:p w14:paraId="548D9C76" w14:textId="2C50AD91" w:rsidR="0026479A" w:rsidRPr="00A02E1E" w:rsidRDefault="00224418" w:rsidP="003B672F">
            <w:pPr>
              <w:pStyle w:val="Normal-sizedTableBullets"/>
              <w:numPr>
                <w:ilvl w:val="1"/>
                <w:numId w:val="10"/>
              </w:numPr>
              <w:spacing w:before="60" w:after="60"/>
              <w:ind w:left="570" w:hanging="283"/>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rPr>
              <w:t>The strengthening of domestic resources mobilization</w:t>
            </w:r>
            <w:r w:rsidR="00E8177B" w:rsidRPr="00A02E1E">
              <w:rPr>
                <w:sz w:val="18"/>
                <w:szCs w:val="18"/>
              </w:rPr>
              <w:t xml:space="preserve"> </w:t>
            </w:r>
            <w:r w:rsidRPr="00A02E1E">
              <w:rPr>
                <w:sz w:val="18"/>
                <w:szCs w:val="18"/>
              </w:rPr>
              <w:t>through</w:t>
            </w:r>
            <w:r w:rsidR="0026479A" w:rsidRPr="00A02E1E">
              <w:rPr>
                <w:sz w:val="18"/>
                <w:szCs w:val="18"/>
              </w:rPr>
              <w:t>:</w:t>
            </w:r>
          </w:p>
          <w:p w14:paraId="583DADE4" w14:textId="77777777" w:rsidR="002570CE" w:rsidRPr="00A02E1E" w:rsidRDefault="0026479A" w:rsidP="003B672F">
            <w:pPr>
              <w:pStyle w:val="Normal-sizedTableBullets"/>
              <w:numPr>
                <w:ilvl w:val="2"/>
                <w:numId w:val="10"/>
              </w:numPr>
              <w:spacing w:before="60" w:after="60"/>
              <w:ind w:left="881" w:hanging="284"/>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rPr>
              <w:t>T</w:t>
            </w:r>
            <w:r w:rsidR="00224418" w:rsidRPr="00A02E1E">
              <w:rPr>
                <w:sz w:val="18"/>
                <w:szCs w:val="18"/>
              </w:rPr>
              <w:t>ax cooperation and public expenditure management</w:t>
            </w:r>
          </w:p>
          <w:p w14:paraId="2314CCA9" w14:textId="19C5A878" w:rsidR="002570CE" w:rsidRPr="00A02E1E" w:rsidRDefault="002570CE" w:rsidP="003B672F">
            <w:pPr>
              <w:pStyle w:val="Normal-sizedTableBullets"/>
              <w:numPr>
                <w:ilvl w:val="2"/>
                <w:numId w:val="10"/>
              </w:numPr>
              <w:spacing w:before="60" w:after="60"/>
              <w:ind w:left="881" w:hanging="284"/>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rPr>
              <w:t xml:space="preserve">The enhancement of </w:t>
            </w:r>
            <w:r w:rsidR="00224418" w:rsidRPr="00A02E1E">
              <w:rPr>
                <w:sz w:val="18"/>
                <w:szCs w:val="18"/>
              </w:rPr>
              <w:t>quality infrastructure investment</w:t>
            </w:r>
            <w:r w:rsidR="0026479A" w:rsidRPr="00A02E1E">
              <w:rPr>
                <w:sz w:val="18"/>
                <w:szCs w:val="18"/>
              </w:rPr>
              <w:t>,</w:t>
            </w:r>
            <w:r w:rsidR="00224418" w:rsidRPr="00A02E1E">
              <w:rPr>
                <w:sz w:val="18"/>
                <w:szCs w:val="18"/>
              </w:rPr>
              <w:t xml:space="preserve"> taking into account all aspects of </w:t>
            </w:r>
            <w:r w:rsidR="000C2567" w:rsidRPr="00A02E1E">
              <w:rPr>
                <w:sz w:val="18"/>
                <w:szCs w:val="18"/>
              </w:rPr>
              <w:t>economic, social and environmental sustainability</w:t>
            </w:r>
          </w:p>
          <w:p w14:paraId="0B88E659" w14:textId="6C879D16" w:rsidR="00783A84" w:rsidRPr="00A02E1E" w:rsidRDefault="002570CE" w:rsidP="003B672F">
            <w:pPr>
              <w:pStyle w:val="Normal-sizedTableBullets"/>
              <w:numPr>
                <w:ilvl w:val="2"/>
                <w:numId w:val="10"/>
              </w:numPr>
              <w:spacing w:before="60" w:after="60"/>
              <w:ind w:left="881" w:hanging="284"/>
              <w:cnfStyle w:val="000000000000" w:firstRow="0" w:lastRow="0" w:firstColumn="0" w:lastColumn="0" w:oddVBand="0" w:evenVBand="0" w:oddHBand="0" w:evenHBand="0" w:firstRowFirstColumn="0" w:firstRowLastColumn="0" w:lastRowFirstColumn="0" w:lastRowLastColumn="0"/>
              <w:rPr>
                <w:sz w:val="18"/>
                <w:szCs w:val="18"/>
              </w:rPr>
            </w:pPr>
            <w:r w:rsidRPr="00A02E1E">
              <w:rPr>
                <w:sz w:val="18"/>
                <w:szCs w:val="18"/>
              </w:rPr>
              <w:t xml:space="preserve">An increase in </w:t>
            </w:r>
            <w:r w:rsidR="000C2567" w:rsidRPr="00A02E1E">
              <w:rPr>
                <w:sz w:val="18"/>
                <w:szCs w:val="18"/>
              </w:rPr>
              <w:t>the effectiveness of financial markets in supporting sustainable development</w:t>
            </w:r>
          </w:p>
        </w:tc>
      </w:tr>
      <w:tr w:rsidR="00684417" w:rsidRPr="00041EA7" w14:paraId="67181CE4"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Align w:val="center"/>
          </w:tcPr>
          <w:p w14:paraId="0C44663C" w14:textId="45CCC2F1" w:rsidR="00684417" w:rsidRPr="00183E5F" w:rsidRDefault="00684417" w:rsidP="00791F21">
            <w:pPr>
              <w:rPr>
                <w:sz w:val="18"/>
                <w:szCs w:val="18"/>
              </w:rPr>
            </w:pPr>
            <w:r w:rsidRPr="00183E5F">
              <w:rPr>
                <w:sz w:val="18"/>
                <w:szCs w:val="18"/>
              </w:rPr>
              <w:lastRenderedPageBreak/>
              <w:t>UNESCWA</w:t>
            </w:r>
          </w:p>
        </w:tc>
        <w:tc>
          <w:tcPr>
            <w:tcW w:w="2127" w:type="dxa"/>
          </w:tcPr>
          <w:p w14:paraId="6B027C58" w14:textId="3AFDCE28" w:rsidR="00684417" w:rsidRPr="00183E5F" w:rsidRDefault="006261CE"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183E5F">
              <w:rPr>
                <w:sz w:val="18"/>
                <w:szCs w:val="18"/>
                <w:lang w:val="en-CA"/>
              </w:rPr>
              <w:t>Cluster 3</w:t>
            </w:r>
            <w:r w:rsidR="008E00E4" w:rsidRPr="00183E5F">
              <w:rPr>
                <w:sz w:val="18"/>
                <w:szCs w:val="18"/>
                <w:lang w:val="en-CA"/>
              </w:rPr>
              <w:t xml:space="preserve">: </w:t>
            </w:r>
            <w:r w:rsidRPr="00183E5F">
              <w:rPr>
                <w:sz w:val="18"/>
                <w:szCs w:val="18"/>
                <w:lang w:val="en-CA"/>
              </w:rPr>
              <w:t>Shared Economic Prosperity</w:t>
            </w:r>
          </w:p>
        </w:tc>
        <w:tc>
          <w:tcPr>
            <w:tcW w:w="6419" w:type="dxa"/>
          </w:tcPr>
          <w:p w14:paraId="5C75481A" w14:textId="5DED8445" w:rsidR="000A0323" w:rsidRPr="00BB3270" w:rsidRDefault="00A90405" w:rsidP="00C835E7">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lang w:val="en-CA"/>
              </w:rPr>
              <w:t>A</w:t>
            </w:r>
            <w:r w:rsidR="00C835E7" w:rsidRPr="00BB3270">
              <w:rPr>
                <w:sz w:val="18"/>
                <w:szCs w:val="18"/>
                <w:lang w:val="en-CA"/>
              </w:rPr>
              <w:t xml:space="preserve">chieve a </w:t>
            </w:r>
            <w:r w:rsidR="00C835E7" w:rsidRPr="00BB3270">
              <w:rPr>
                <w:sz w:val="18"/>
                <w:szCs w:val="18"/>
              </w:rPr>
              <w:t>basic standard of living for all people in the Arab region through sustained and integrated economic development</w:t>
            </w:r>
            <w:r w:rsidR="007B0A8F" w:rsidRPr="00BB3270">
              <w:rPr>
                <w:sz w:val="18"/>
                <w:szCs w:val="18"/>
              </w:rPr>
              <w:t xml:space="preserve"> involving:</w:t>
            </w:r>
          </w:p>
          <w:p w14:paraId="793F6EDD" w14:textId="662C37A3" w:rsidR="007B0A8F" w:rsidRPr="00BB3270" w:rsidRDefault="00BB3270"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Pr>
                <w:sz w:val="18"/>
                <w:szCs w:val="18"/>
              </w:rPr>
              <w:t xml:space="preserve">Detailed </w:t>
            </w:r>
            <w:r w:rsidR="00412C1D" w:rsidRPr="004737F1">
              <w:rPr>
                <w:sz w:val="18"/>
                <w:szCs w:val="18"/>
              </w:rPr>
              <w:t xml:space="preserve">diagnostic </w:t>
            </w:r>
            <w:r w:rsidR="00FE5AD5" w:rsidRPr="00BB3270">
              <w:rPr>
                <w:sz w:val="18"/>
                <w:szCs w:val="18"/>
              </w:rPr>
              <w:t xml:space="preserve">and analysis </w:t>
            </w:r>
            <w:r w:rsidR="00412C1D" w:rsidRPr="004737F1">
              <w:rPr>
                <w:sz w:val="18"/>
                <w:szCs w:val="18"/>
              </w:rPr>
              <w:t>of the financing for development landscape</w:t>
            </w:r>
            <w:r w:rsidR="00A824F3" w:rsidRPr="00BB3270">
              <w:rPr>
                <w:sz w:val="18"/>
                <w:szCs w:val="18"/>
              </w:rPr>
              <w:t xml:space="preserve"> </w:t>
            </w:r>
            <w:r w:rsidR="00A824F3" w:rsidRPr="004737F1">
              <w:rPr>
                <w:sz w:val="18"/>
                <w:szCs w:val="18"/>
              </w:rPr>
              <w:t xml:space="preserve">to overcome </w:t>
            </w:r>
            <w:r w:rsidR="00952F54" w:rsidRPr="00BB3270">
              <w:rPr>
                <w:sz w:val="18"/>
                <w:szCs w:val="18"/>
              </w:rPr>
              <w:t>identified</w:t>
            </w:r>
            <w:r w:rsidR="00A824F3" w:rsidRPr="004737F1">
              <w:rPr>
                <w:sz w:val="18"/>
                <w:szCs w:val="18"/>
              </w:rPr>
              <w:t xml:space="preserve"> financing challenges</w:t>
            </w:r>
          </w:p>
          <w:p w14:paraId="58549AB3" w14:textId="4567E413" w:rsidR="00952F54" w:rsidRPr="00BB3270" w:rsidRDefault="00832C58"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rPr>
              <w:t>S</w:t>
            </w:r>
            <w:r w:rsidRPr="004737F1">
              <w:rPr>
                <w:sz w:val="18"/>
                <w:szCs w:val="18"/>
              </w:rPr>
              <w:t>upport</w:t>
            </w:r>
            <w:r w:rsidRPr="00BB3270">
              <w:rPr>
                <w:sz w:val="18"/>
                <w:szCs w:val="18"/>
              </w:rPr>
              <w:t xml:space="preserve"> to</w:t>
            </w:r>
            <w:r w:rsidRPr="004737F1">
              <w:rPr>
                <w:sz w:val="18"/>
                <w:szCs w:val="18"/>
              </w:rPr>
              <w:t xml:space="preserve"> policymakers</w:t>
            </w:r>
            <w:r w:rsidRPr="00BB3270">
              <w:rPr>
                <w:sz w:val="18"/>
                <w:szCs w:val="18"/>
              </w:rPr>
              <w:t xml:space="preserve"> to</w:t>
            </w:r>
            <w:r w:rsidRPr="004737F1">
              <w:rPr>
                <w:sz w:val="18"/>
                <w:szCs w:val="18"/>
              </w:rPr>
              <w:t xml:space="preserve"> maximi</w:t>
            </w:r>
            <w:r w:rsidRPr="00BB3270">
              <w:rPr>
                <w:sz w:val="18"/>
                <w:szCs w:val="18"/>
              </w:rPr>
              <w:t>se</w:t>
            </w:r>
            <w:r w:rsidRPr="004737F1">
              <w:rPr>
                <w:sz w:val="18"/>
                <w:szCs w:val="18"/>
              </w:rPr>
              <w:t xml:space="preserve"> the efficiency of public spending and </w:t>
            </w:r>
            <w:r w:rsidR="00715596" w:rsidRPr="00BB3270">
              <w:rPr>
                <w:sz w:val="18"/>
                <w:szCs w:val="18"/>
              </w:rPr>
              <w:t xml:space="preserve">make </w:t>
            </w:r>
            <w:r w:rsidRPr="004737F1">
              <w:rPr>
                <w:sz w:val="18"/>
                <w:szCs w:val="18"/>
              </w:rPr>
              <w:t>the transition to S</w:t>
            </w:r>
            <w:r w:rsidR="00715596" w:rsidRPr="00BB3270">
              <w:rPr>
                <w:sz w:val="18"/>
                <w:szCs w:val="18"/>
              </w:rPr>
              <w:t>DG-</w:t>
            </w:r>
            <w:r w:rsidRPr="004737F1">
              <w:rPr>
                <w:sz w:val="18"/>
                <w:szCs w:val="18"/>
              </w:rPr>
              <w:t>centric budgeting</w:t>
            </w:r>
          </w:p>
          <w:p w14:paraId="37FFA1FE" w14:textId="1B96BDFB" w:rsidR="00C36F85" w:rsidRPr="00BB3270" w:rsidRDefault="00C36F85"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rPr>
              <w:t xml:space="preserve">Attention to </w:t>
            </w:r>
            <w:r w:rsidR="00007CA6" w:rsidRPr="004737F1">
              <w:rPr>
                <w:sz w:val="18"/>
                <w:szCs w:val="18"/>
              </w:rPr>
              <w:t xml:space="preserve">financing insolvencies, </w:t>
            </w:r>
            <w:r w:rsidRPr="00BB3270">
              <w:rPr>
                <w:sz w:val="18"/>
                <w:szCs w:val="18"/>
              </w:rPr>
              <w:t xml:space="preserve">with a focus on </w:t>
            </w:r>
            <w:r w:rsidR="00007CA6" w:rsidRPr="004737F1">
              <w:rPr>
                <w:sz w:val="18"/>
                <w:szCs w:val="18"/>
              </w:rPr>
              <w:t>domestic resource inefficiencies and tax-related illicit financial flows</w:t>
            </w:r>
            <w:r w:rsidR="00E0752F" w:rsidRPr="00BB3270">
              <w:rPr>
                <w:sz w:val="18"/>
                <w:szCs w:val="18"/>
              </w:rPr>
              <w:t>; w</w:t>
            </w:r>
            <w:r w:rsidR="00FF6873" w:rsidRPr="00BB3270">
              <w:rPr>
                <w:sz w:val="18"/>
                <w:szCs w:val="18"/>
                <w:lang w:val="en-CA"/>
              </w:rPr>
              <w:t xml:space="preserve">ork on </w:t>
            </w:r>
            <w:r w:rsidR="00FF6873" w:rsidRPr="004737F1">
              <w:rPr>
                <w:sz w:val="18"/>
                <w:szCs w:val="18"/>
              </w:rPr>
              <w:t>the potential impacts of global tax reforms</w:t>
            </w:r>
            <w:r w:rsidR="00E0752F" w:rsidRPr="00BB3270">
              <w:rPr>
                <w:sz w:val="18"/>
                <w:szCs w:val="18"/>
              </w:rPr>
              <w:t xml:space="preserve">; and </w:t>
            </w:r>
            <w:r w:rsidR="00E0752F" w:rsidRPr="004737F1">
              <w:rPr>
                <w:sz w:val="18"/>
                <w:szCs w:val="18"/>
              </w:rPr>
              <w:t>policy options and recommendations</w:t>
            </w:r>
          </w:p>
          <w:p w14:paraId="58AD7E43" w14:textId="0B7E57CA" w:rsidR="00FF6873" w:rsidRPr="00BB3270" w:rsidRDefault="00E0752F"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lang w:val="en-CA"/>
              </w:rPr>
              <w:t xml:space="preserve">Access to a </w:t>
            </w:r>
            <w:r w:rsidRPr="004737F1">
              <w:rPr>
                <w:sz w:val="18"/>
                <w:szCs w:val="18"/>
              </w:rPr>
              <w:t>suite of nationally-tailored dynamic tools to improve</w:t>
            </w:r>
            <w:r w:rsidRPr="00BB3270">
              <w:rPr>
                <w:sz w:val="18"/>
                <w:szCs w:val="18"/>
              </w:rPr>
              <w:t xml:space="preserve"> </w:t>
            </w:r>
            <w:r w:rsidRPr="004737F1">
              <w:rPr>
                <w:sz w:val="18"/>
                <w:szCs w:val="18"/>
              </w:rPr>
              <w:t>funding shortfalls</w:t>
            </w:r>
          </w:p>
          <w:p w14:paraId="29D34A5A" w14:textId="64D7CF6B" w:rsidR="00E0752F" w:rsidRPr="00BB3270" w:rsidRDefault="00416A4C"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lang w:val="en-CA"/>
              </w:rPr>
              <w:t>The developmen</w:t>
            </w:r>
            <w:r w:rsidR="001D05CE" w:rsidRPr="00BB3270">
              <w:rPr>
                <w:sz w:val="18"/>
                <w:szCs w:val="18"/>
                <w:lang w:val="en-CA"/>
              </w:rPr>
              <w:t xml:space="preserve">t of INFFs to address </w:t>
            </w:r>
            <w:r w:rsidR="00153CB7">
              <w:rPr>
                <w:sz w:val="18"/>
                <w:szCs w:val="18"/>
                <w:lang w:val="en-CA"/>
              </w:rPr>
              <w:t>f</w:t>
            </w:r>
            <w:r w:rsidR="001D05CE" w:rsidRPr="004737F1">
              <w:rPr>
                <w:sz w:val="18"/>
                <w:szCs w:val="18"/>
              </w:rPr>
              <w:t>iscal space constraints</w:t>
            </w:r>
          </w:p>
          <w:p w14:paraId="3712CB90" w14:textId="2B8852A4" w:rsidR="000A0323" w:rsidRPr="00BB3270" w:rsidRDefault="00E9341F" w:rsidP="003B672F">
            <w:pPr>
              <w:pStyle w:val="Normal-sizedTableBullets"/>
              <w:numPr>
                <w:ilvl w:val="1"/>
                <w:numId w:val="10"/>
              </w:numPr>
              <w:spacing w:before="60" w:after="60"/>
              <w:ind w:left="597" w:hanging="283"/>
              <w:cnfStyle w:val="000000000000" w:firstRow="0" w:lastRow="0" w:firstColumn="0" w:lastColumn="0" w:oddVBand="0" w:evenVBand="0" w:oddHBand="0" w:evenHBand="0" w:firstRowFirstColumn="0" w:firstRowLastColumn="0" w:lastRowFirstColumn="0" w:lastRowLastColumn="0"/>
              <w:rPr>
                <w:sz w:val="18"/>
                <w:szCs w:val="18"/>
                <w:lang w:val="en-CA"/>
              </w:rPr>
            </w:pPr>
            <w:r w:rsidRPr="00BB3270">
              <w:rPr>
                <w:sz w:val="18"/>
                <w:szCs w:val="18"/>
              </w:rPr>
              <w:t>C</w:t>
            </w:r>
            <w:r w:rsidRPr="004737F1">
              <w:rPr>
                <w:sz w:val="18"/>
                <w:szCs w:val="18"/>
              </w:rPr>
              <w:t xml:space="preserve">ountry-tailored financing simulations </w:t>
            </w:r>
            <w:r w:rsidR="00BB3270" w:rsidRPr="00BB3270">
              <w:rPr>
                <w:sz w:val="18"/>
                <w:szCs w:val="18"/>
              </w:rPr>
              <w:t>to address debt overhangs</w:t>
            </w:r>
          </w:p>
        </w:tc>
      </w:tr>
      <w:tr w:rsidR="004C1403" w:rsidRPr="00041EA7" w14:paraId="44C03689"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restart"/>
            <w:vAlign w:val="center"/>
          </w:tcPr>
          <w:p w14:paraId="56E5BC25" w14:textId="0A527F0F" w:rsidR="004C1403" w:rsidRPr="00183E5F" w:rsidRDefault="004C1403" w:rsidP="00791F21">
            <w:pPr>
              <w:rPr>
                <w:sz w:val="18"/>
                <w:szCs w:val="18"/>
              </w:rPr>
            </w:pPr>
            <w:r w:rsidRPr="00183E5F">
              <w:rPr>
                <w:sz w:val="18"/>
                <w:szCs w:val="18"/>
              </w:rPr>
              <w:t>UNCTAD</w:t>
            </w:r>
          </w:p>
        </w:tc>
        <w:tc>
          <w:tcPr>
            <w:tcW w:w="2127" w:type="dxa"/>
          </w:tcPr>
          <w:p w14:paraId="1510C0B0" w14:textId="195E99FB" w:rsidR="004C1403" w:rsidRPr="00183E5F"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Sub-programme 2: Investment and enterprise</w:t>
            </w:r>
          </w:p>
        </w:tc>
        <w:tc>
          <w:tcPr>
            <w:tcW w:w="6419" w:type="dxa"/>
          </w:tcPr>
          <w:p w14:paraId="466FA957" w14:textId="75D1DF20" w:rsidR="004C1403" w:rsidRPr="00183E5F" w:rsidRDefault="004C1403" w:rsidP="007917F2">
            <w:pPr>
              <w:pStyle w:val="Normal-sizedTableBullets"/>
              <w:spacing w:before="60" w:after="60"/>
              <w:cnfStyle w:val="000000000000" w:firstRow="0" w:lastRow="0" w:firstColumn="0" w:lastColumn="0" w:oddVBand="0" w:evenVBand="0" w:oddHBand="0" w:evenHBand="0" w:firstRowFirstColumn="0" w:firstRowLastColumn="0" w:lastRowFirstColumn="0" w:lastRowLastColumn="0"/>
            </w:pPr>
            <w:r>
              <w:rPr>
                <w:sz w:val="18"/>
                <w:szCs w:val="18"/>
                <w:lang w:val="en-CA"/>
              </w:rPr>
              <w:t xml:space="preserve">Advance inclusive growth and sustainable development through investment and enterprise development for productive capacity-building; economic diversification and job creation </w:t>
            </w:r>
          </w:p>
        </w:tc>
      </w:tr>
      <w:tr w:rsidR="004C1403" w:rsidRPr="00041EA7" w14:paraId="7DB3AE9F"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ign w:val="center"/>
          </w:tcPr>
          <w:p w14:paraId="5064EC02" w14:textId="77777777" w:rsidR="004C1403" w:rsidRPr="00183E5F" w:rsidRDefault="004C1403" w:rsidP="00791F21">
            <w:pPr>
              <w:rPr>
                <w:sz w:val="18"/>
                <w:szCs w:val="18"/>
              </w:rPr>
            </w:pPr>
          </w:p>
        </w:tc>
        <w:tc>
          <w:tcPr>
            <w:tcW w:w="2127" w:type="dxa"/>
          </w:tcPr>
          <w:p w14:paraId="4ABED9B9" w14:textId="0B2DF3C4"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Sub-programme 4: Technology and logistics</w:t>
            </w:r>
          </w:p>
        </w:tc>
        <w:tc>
          <w:tcPr>
            <w:tcW w:w="6419" w:type="dxa"/>
          </w:tcPr>
          <w:p w14:paraId="4F92C87E" w14:textId="71EE8C85"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w:t>
            </w:r>
            <w:r w:rsidRPr="00C47083">
              <w:rPr>
                <w:sz w:val="18"/>
                <w:szCs w:val="18"/>
              </w:rPr>
              <w:t>arness innovation and technology, including e-commerce and the digital econom</w:t>
            </w:r>
            <w:r>
              <w:rPr>
                <w:sz w:val="18"/>
                <w:szCs w:val="18"/>
              </w:rPr>
              <w:t>y</w:t>
            </w:r>
          </w:p>
          <w:p w14:paraId="3C61AF1A" w14:textId="5EF95A3B"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Pr="00C47083">
              <w:rPr>
                <w:sz w:val="18"/>
                <w:szCs w:val="18"/>
              </w:rPr>
              <w:t>mprove trade logistics</w:t>
            </w:r>
            <w:r w:rsidRPr="0069361C">
              <w:rPr>
                <w:sz w:val="18"/>
                <w:szCs w:val="18"/>
              </w:rPr>
              <w:t xml:space="preserve"> </w:t>
            </w:r>
          </w:p>
          <w:p w14:paraId="16B3759C" w14:textId="2CD15C89" w:rsidR="004C1403" w:rsidRPr="00B92401" w:rsidRDefault="004C1403" w:rsidP="00B9240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I</w:t>
            </w:r>
            <w:r w:rsidRPr="00C47083">
              <w:rPr>
                <w:sz w:val="18"/>
                <w:szCs w:val="18"/>
              </w:rPr>
              <w:t>ncrease human capacities, for inclusive and sustainable trade and development in developing countries and economies in transition</w:t>
            </w:r>
          </w:p>
        </w:tc>
      </w:tr>
      <w:tr w:rsidR="004C1403" w:rsidRPr="00041EA7" w14:paraId="05F40A6F" w14:textId="77777777" w:rsidTr="00F234A5">
        <w:trPr>
          <w:jc w:val="center"/>
        </w:trPr>
        <w:tc>
          <w:tcPr>
            <w:cnfStyle w:val="001000000000" w:firstRow="0" w:lastRow="0" w:firstColumn="1" w:lastColumn="0" w:oddVBand="0" w:evenVBand="0" w:oddHBand="0" w:evenHBand="0" w:firstRowFirstColumn="0" w:firstRowLastColumn="0" w:lastRowFirstColumn="0" w:lastRowLastColumn="0"/>
            <w:tcW w:w="1126" w:type="dxa"/>
            <w:vMerge/>
            <w:vAlign w:val="center"/>
          </w:tcPr>
          <w:p w14:paraId="72E119D4" w14:textId="77777777" w:rsidR="004C1403" w:rsidRPr="00183E5F" w:rsidRDefault="004C1403" w:rsidP="00791F21">
            <w:pPr>
              <w:rPr>
                <w:sz w:val="18"/>
                <w:szCs w:val="18"/>
              </w:rPr>
            </w:pPr>
          </w:p>
        </w:tc>
        <w:tc>
          <w:tcPr>
            <w:tcW w:w="2127" w:type="dxa"/>
          </w:tcPr>
          <w:p w14:paraId="40A8D7AC" w14:textId="59194003"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Sub-programme 5: Africa; LDCs; and Special programmes</w:t>
            </w:r>
          </w:p>
        </w:tc>
        <w:tc>
          <w:tcPr>
            <w:tcW w:w="6419" w:type="dxa"/>
          </w:tcPr>
          <w:p w14:paraId="2866AC7D" w14:textId="6633456D" w:rsidR="004C1403" w:rsidRDefault="004C1403" w:rsidP="00791F21">
            <w:pPr>
              <w:pStyle w:val="Normal-sizedTableBullets"/>
              <w:spacing w:before="60" w:after="60"/>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Enhance the effective integration of Africa; the LDCs; and other groups of countries in special situations </w:t>
            </w:r>
            <w:r w:rsidRPr="008A2252">
              <w:rPr>
                <w:sz w:val="18"/>
                <w:szCs w:val="18"/>
              </w:rPr>
              <w:t>into the global economy</w:t>
            </w:r>
            <w:r w:rsidR="00451CE6">
              <w:rPr>
                <w:sz w:val="18"/>
                <w:szCs w:val="18"/>
              </w:rPr>
              <w:t>,</w:t>
            </w:r>
            <w:r>
              <w:rPr>
                <w:sz w:val="18"/>
                <w:szCs w:val="18"/>
              </w:rPr>
              <w:t xml:space="preserve"> by</w:t>
            </w:r>
            <w:r w:rsidRPr="008A2252">
              <w:rPr>
                <w:sz w:val="18"/>
                <w:szCs w:val="18"/>
              </w:rPr>
              <w:t xml:space="preserve"> fostering structural transformation and developing domestic productive capacities in the targeted groups</w:t>
            </w:r>
          </w:p>
        </w:tc>
      </w:tr>
    </w:tbl>
    <w:p w14:paraId="75E3C277" w14:textId="65D01103" w:rsidR="00B475A0" w:rsidRPr="00EE7110" w:rsidRDefault="00EE7110" w:rsidP="00171095">
      <w:pPr>
        <w:pStyle w:val="BodyText"/>
        <w:rPr>
          <w:i/>
          <w:iCs/>
        </w:rPr>
      </w:pPr>
      <w:r>
        <w:rPr>
          <w:i/>
          <w:iCs/>
        </w:rPr>
        <w:t>Source: Multiple sources</w:t>
      </w:r>
      <w:r>
        <w:rPr>
          <w:rStyle w:val="FootnoteReference"/>
          <w:i/>
          <w:iCs/>
        </w:rPr>
        <w:footnoteReference w:id="80"/>
      </w:r>
    </w:p>
    <w:p w14:paraId="28299581" w14:textId="77777777" w:rsidR="009B30B1" w:rsidRDefault="009B30B1" w:rsidP="00171095">
      <w:pPr>
        <w:pStyle w:val="BodyText"/>
        <w:sectPr w:rsidR="009B30B1" w:rsidSect="004C6201">
          <w:type w:val="continuous"/>
          <w:pgSz w:w="12240" w:h="15840" w:code="1"/>
          <w:pgMar w:top="1276" w:right="1276" w:bottom="1134" w:left="1276" w:header="720" w:footer="720" w:gutter="0"/>
          <w:cols w:space="397"/>
          <w:docGrid w:linePitch="360"/>
        </w:sectPr>
      </w:pPr>
    </w:p>
    <w:p w14:paraId="437526E9" w14:textId="6262B7E0" w:rsidR="00A615AB" w:rsidRDefault="000B377A" w:rsidP="00A615AB">
      <w:pPr>
        <w:pStyle w:val="BodyText"/>
      </w:pPr>
      <w:r>
        <w:lastRenderedPageBreak/>
        <w:t xml:space="preserve">At the </w:t>
      </w:r>
      <w:r w:rsidR="00F3712C">
        <w:t>level</w:t>
      </w:r>
      <w:r w:rsidR="00C42857">
        <w:t xml:space="preserve"> of</w:t>
      </w:r>
      <w:r w:rsidR="00F3712C">
        <w:t xml:space="preserve"> the </w:t>
      </w:r>
      <w:r w:rsidR="00C42857">
        <w:t xml:space="preserve">Tier 3 entities, </w:t>
      </w:r>
      <w:r w:rsidR="00493A61">
        <w:t xml:space="preserve">there </w:t>
      </w:r>
      <w:r w:rsidR="009F58F1">
        <w:t xml:space="preserve">was </w:t>
      </w:r>
      <w:r w:rsidR="00493A61">
        <w:t xml:space="preserve">alignment between the </w:t>
      </w:r>
      <w:r w:rsidR="00071C20">
        <w:t xml:space="preserve">strategic </w:t>
      </w:r>
      <w:r w:rsidR="00BC3A27">
        <w:t>direction of each entity and the main objectives</w:t>
      </w:r>
      <w:r w:rsidR="00940B63">
        <w:t xml:space="preserve"> of the project</w:t>
      </w:r>
      <w:r w:rsidR="00BC3A27">
        <w:t xml:space="preserve">. </w:t>
      </w:r>
      <w:r w:rsidR="00A2431C">
        <w:t>To illustrat</w:t>
      </w:r>
      <w:r w:rsidR="006713F8">
        <w:t xml:space="preserve">e, </w:t>
      </w:r>
      <w:r w:rsidR="00A615AB">
        <w:t>g</w:t>
      </w:r>
      <w:r w:rsidR="00A615AB" w:rsidRPr="00A615AB">
        <w:t xml:space="preserve">iven the </w:t>
      </w:r>
      <w:r w:rsidR="00411775">
        <w:t xml:space="preserve">elements of focus </w:t>
      </w:r>
      <w:r w:rsidR="004F787F">
        <w:t>for</w:t>
      </w:r>
      <w:r w:rsidR="00A615AB" w:rsidRPr="00A615AB">
        <w:t xml:space="preserve"> the UNDP strategic portfolio, the UNDP mandate was relevant to the objectives of the INFF project.</w:t>
      </w:r>
      <w:r w:rsidR="00A615AB">
        <w:t xml:space="preserve"> </w:t>
      </w:r>
    </w:p>
    <w:p w14:paraId="6CA75514" w14:textId="37BF998A" w:rsidR="001E5449" w:rsidRDefault="004F787F" w:rsidP="00171095">
      <w:pPr>
        <w:pStyle w:val="BodyText"/>
      </w:pPr>
      <w:r>
        <w:t>First, th</w:t>
      </w:r>
      <w:r w:rsidR="000D66B6">
        <w:t xml:space="preserve">e </w:t>
      </w:r>
      <w:r w:rsidR="00823F78">
        <w:t xml:space="preserve">UNDP mandate involves </w:t>
      </w:r>
      <w:r w:rsidR="004D7566">
        <w:t>support</w:t>
      </w:r>
      <w:r w:rsidR="00512F09">
        <w:t>ing</w:t>
      </w:r>
      <w:r w:rsidR="00B13FC3">
        <w:t xml:space="preserve"> </w:t>
      </w:r>
      <w:r w:rsidR="004D7566">
        <w:t>countries</w:t>
      </w:r>
      <w:r w:rsidR="00B13FC3">
        <w:t xml:space="preserve"> </w:t>
      </w:r>
      <w:r w:rsidR="00015AF2">
        <w:t xml:space="preserve">in six </w:t>
      </w:r>
      <w:r w:rsidR="00512F09">
        <w:t>core development areas</w:t>
      </w:r>
      <w:r w:rsidR="00140A68">
        <w:t>,</w:t>
      </w:r>
      <w:r w:rsidR="00961505">
        <w:rPr>
          <w:rStyle w:val="FootnoteReference"/>
        </w:rPr>
        <w:footnoteReference w:id="81"/>
      </w:r>
      <w:r w:rsidR="00512F09">
        <w:t xml:space="preserve"> </w:t>
      </w:r>
      <w:r w:rsidR="00B13FC3">
        <w:t xml:space="preserve">to </w:t>
      </w:r>
      <w:r w:rsidR="00DE2824">
        <w:t xml:space="preserve">build their capacity </w:t>
      </w:r>
      <w:r w:rsidR="00B13FC3">
        <w:t>to</w:t>
      </w:r>
      <w:r w:rsidR="004D7566">
        <w:t xml:space="preserve"> achieve </w:t>
      </w:r>
      <w:r w:rsidR="00B13FC3">
        <w:t>the SDGs</w:t>
      </w:r>
      <w:r w:rsidR="00DF2C37">
        <w:t>.</w:t>
      </w:r>
      <w:r w:rsidR="00B13FC3">
        <w:rPr>
          <w:rStyle w:val="FootnoteReference"/>
        </w:rPr>
        <w:footnoteReference w:id="82"/>
      </w:r>
      <w:r w:rsidR="00B13FC3">
        <w:t xml:space="preserve"> </w:t>
      </w:r>
      <w:r w:rsidR="00C67740">
        <w:t xml:space="preserve">In </w:t>
      </w:r>
      <w:r w:rsidR="00945F7E">
        <w:t xml:space="preserve">response to </w:t>
      </w:r>
      <w:r w:rsidR="00C67740">
        <w:t xml:space="preserve">this objective, UNDP </w:t>
      </w:r>
      <w:r w:rsidR="00866698">
        <w:t>forms partnerships with country government and the pr</w:t>
      </w:r>
      <w:r w:rsidR="00636542">
        <w:t>iv</w:t>
      </w:r>
      <w:r w:rsidR="00866698">
        <w:t>ate sector (and other agencies, as</w:t>
      </w:r>
      <w:r w:rsidR="00636542">
        <w:t xml:space="preserve"> required</w:t>
      </w:r>
      <w:r w:rsidR="00866698">
        <w:t>)</w:t>
      </w:r>
      <w:r w:rsidR="00DF2C37">
        <w:t>,</w:t>
      </w:r>
      <w:r w:rsidR="00857A6E">
        <w:t xml:space="preserve"> to align development financing with the SDGs and </w:t>
      </w:r>
      <w:r w:rsidR="0060790D">
        <w:t xml:space="preserve">mobilise </w:t>
      </w:r>
      <w:r w:rsidR="00465B97">
        <w:t xml:space="preserve">funding </w:t>
      </w:r>
      <w:r w:rsidR="0060790D">
        <w:t>at scale</w:t>
      </w:r>
      <w:r w:rsidR="00BB00FD">
        <w:rPr>
          <w:rStyle w:val="FootnoteReference"/>
        </w:rPr>
        <w:footnoteReference w:id="83"/>
      </w:r>
      <w:r w:rsidR="0060790D">
        <w:t xml:space="preserve"> (i.e. </w:t>
      </w:r>
      <w:r w:rsidR="003F6E78">
        <w:t xml:space="preserve">to the </w:t>
      </w:r>
      <w:r w:rsidR="002843FB">
        <w:t>ma</w:t>
      </w:r>
      <w:r w:rsidR="006C70F4">
        <w:t xml:space="preserve">ximum </w:t>
      </w:r>
      <w:r w:rsidR="003F6E78">
        <w:t>amount required)</w:t>
      </w:r>
      <w:r w:rsidR="006C70F4">
        <w:t xml:space="preserve">. </w:t>
      </w:r>
    </w:p>
    <w:p w14:paraId="5AF623B4" w14:textId="22B2BFFA" w:rsidR="002877D6" w:rsidRDefault="00465B97" w:rsidP="00171095">
      <w:pPr>
        <w:pStyle w:val="BodyText"/>
      </w:pPr>
      <w:r>
        <w:t>Second, the</w:t>
      </w:r>
      <w:r w:rsidR="00E40754">
        <w:t xml:space="preserve"> UNDP mandate</w:t>
      </w:r>
      <w:r w:rsidR="00512335">
        <w:t xml:space="preserve"> involves </w:t>
      </w:r>
      <w:r w:rsidR="0015656D">
        <w:t xml:space="preserve">managing </w:t>
      </w:r>
      <w:hyperlink r:id="rId28" w:history="1">
        <w:r w:rsidR="0015656D" w:rsidRPr="00637AF7">
          <w:rPr>
            <w:rStyle w:val="Hyperlink"/>
          </w:rPr>
          <w:t>the Joint SD</w:t>
        </w:r>
        <w:r w:rsidR="00052448" w:rsidRPr="00637AF7">
          <w:rPr>
            <w:rStyle w:val="Hyperlink"/>
          </w:rPr>
          <w:t>G</w:t>
        </w:r>
        <w:r w:rsidR="0015656D" w:rsidRPr="00637AF7">
          <w:rPr>
            <w:rStyle w:val="Hyperlink"/>
          </w:rPr>
          <w:t xml:space="preserve"> Fund</w:t>
        </w:r>
      </w:hyperlink>
      <w:r w:rsidR="006D63CC">
        <w:t>,</w:t>
      </w:r>
      <w:r w:rsidR="0015656D">
        <w:t xml:space="preserve"> </w:t>
      </w:r>
      <w:r w:rsidR="006D63CC">
        <w:t xml:space="preserve">which </w:t>
      </w:r>
      <w:r w:rsidR="00691595">
        <w:t>has been</w:t>
      </w:r>
      <w:r w:rsidR="007C4D40">
        <w:t xml:space="preserve"> identified by </w:t>
      </w:r>
      <w:r w:rsidR="006F5CC8">
        <w:t xml:space="preserve">UN </w:t>
      </w:r>
      <w:r w:rsidR="007C4D40">
        <w:t xml:space="preserve">Member States as the </w:t>
      </w:r>
      <w:r w:rsidR="00852C83">
        <w:t>‘</w:t>
      </w:r>
      <w:r w:rsidR="00852C83" w:rsidRPr="00362049">
        <w:rPr>
          <w:lang w:val="en-GB"/>
        </w:rPr>
        <w:t>pre-eminent joint financing mechanism for development</w:t>
      </w:r>
      <w:r w:rsidR="006F5CC8">
        <w:rPr>
          <w:lang w:val="en-GB"/>
        </w:rPr>
        <w:t>.</w:t>
      </w:r>
      <w:r w:rsidR="00852C83">
        <w:rPr>
          <w:lang w:val="en-GB"/>
        </w:rPr>
        <w:t>’</w:t>
      </w:r>
      <w:r w:rsidR="006F5CC8">
        <w:rPr>
          <w:rStyle w:val="FootnoteReference"/>
          <w:lang w:val="en-GB"/>
        </w:rPr>
        <w:footnoteReference w:id="84"/>
      </w:r>
      <w:r w:rsidR="006F5CC8">
        <w:rPr>
          <w:lang w:val="en-GB"/>
        </w:rPr>
        <w:t xml:space="preserve"> </w:t>
      </w:r>
      <w:r w:rsidR="00D82FD8">
        <w:rPr>
          <w:lang w:val="en-GB"/>
        </w:rPr>
        <w:t xml:space="preserve">By supporting </w:t>
      </w:r>
      <w:r w:rsidR="006D63CC">
        <w:t xml:space="preserve">collaboration across </w:t>
      </w:r>
      <w:r w:rsidR="003644C9">
        <w:t xml:space="preserve">the UN System, through the UN Resident Coordinators and the UNCTs, </w:t>
      </w:r>
      <w:r w:rsidR="00D82FD8">
        <w:t>the Joint SDG Fund</w:t>
      </w:r>
      <w:r w:rsidR="00941DB7">
        <w:t xml:space="preserve"> contributes towards</w:t>
      </w:r>
      <w:r w:rsidR="00883A0D">
        <w:t>:</w:t>
      </w:r>
      <w:r w:rsidR="00E6349B">
        <w:t xml:space="preserve"> </w:t>
      </w:r>
      <w:r w:rsidR="00883A0D">
        <w:t xml:space="preserve">i) </w:t>
      </w:r>
      <w:r w:rsidR="00174F6C">
        <w:t>integrated policy</w:t>
      </w:r>
      <w:r w:rsidR="00883A0D">
        <w:t xml:space="preserve">; and ii) investment strategies </w:t>
      </w:r>
      <w:r w:rsidR="00E6349B">
        <w:t xml:space="preserve">and financing solutions </w:t>
      </w:r>
      <w:r w:rsidR="00883A0D">
        <w:t xml:space="preserve">for </w:t>
      </w:r>
      <w:r w:rsidR="00B1105E">
        <w:t>accelerated sustainable development that aligns with national priorities.</w:t>
      </w:r>
      <w:r w:rsidR="009954EC">
        <w:rPr>
          <w:rStyle w:val="FootnoteReference"/>
        </w:rPr>
        <w:footnoteReference w:id="85"/>
      </w:r>
      <w:r w:rsidR="00B1105E">
        <w:t xml:space="preserve"> </w:t>
      </w:r>
      <w:r w:rsidR="003A255E">
        <w:t xml:space="preserve">The Fund </w:t>
      </w:r>
      <w:r w:rsidR="00F564A0">
        <w:t xml:space="preserve">was </w:t>
      </w:r>
      <w:r w:rsidR="00BE6981">
        <w:t xml:space="preserve">further </w:t>
      </w:r>
      <w:r w:rsidR="009954EC">
        <w:t xml:space="preserve">designed to strengthen the leadership </w:t>
      </w:r>
      <w:r w:rsidR="004512DC">
        <w:t xml:space="preserve">and convening </w:t>
      </w:r>
      <w:r w:rsidR="009954EC">
        <w:t>role</w:t>
      </w:r>
      <w:r w:rsidR="004512DC">
        <w:t>s</w:t>
      </w:r>
      <w:r w:rsidR="009954EC">
        <w:t xml:space="preserve"> of the </w:t>
      </w:r>
      <w:r w:rsidR="004512DC">
        <w:t xml:space="preserve">UN </w:t>
      </w:r>
      <w:r w:rsidR="009954EC">
        <w:t xml:space="preserve">Resident Coordinator </w:t>
      </w:r>
      <w:r w:rsidR="004512DC">
        <w:t>and the UNCTs.</w:t>
      </w:r>
      <w:r w:rsidR="004512DC">
        <w:rPr>
          <w:rStyle w:val="FootnoteReference"/>
        </w:rPr>
        <w:footnoteReference w:id="86"/>
      </w:r>
      <w:r w:rsidR="004512DC">
        <w:t xml:space="preserve"> </w:t>
      </w:r>
    </w:p>
    <w:p w14:paraId="32B38987" w14:textId="77197311" w:rsidR="00A12E46" w:rsidRDefault="00A36E40" w:rsidP="00171095">
      <w:pPr>
        <w:pStyle w:val="BodyText"/>
      </w:pPr>
      <w:r>
        <w:t>Third, i</w:t>
      </w:r>
      <w:r w:rsidR="00EC643A">
        <w:t xml:space="preserve">n </w:t>
      </w:r>
      <w:r w:rsidR="003017FC">
        <w:t xml:space="preserve">support of INFF facilitation, UNDP </w:t>
      </w:r>
      <w:r w:rsidR="008C0F57">
        <w:t xml:space="preserve">has been </w:t>
      </w:r>
      <w:r w:rsidR="003017FC">
        <w:t xml:space="preserve">responsible for providing </w:t>
      </w:r>
      <w:r w:rsidR="008410E7">
        <w:t>leadership and technical expertise to Member States</w:t>
      </w:r>
      <w:r w:rsidR="00A12E46">
        <w:t>.</w:t>
      </w:r>
      <w:r w:rsidR="0041170D">
        <w:t xml:space="preserve"> T</w:t>
      </w:r>
      <w:r w:rsidR="00770ADE">
        <w:t xml:space="preserve">he aim </w:t>
      </w:r>
      <w:r w:rsidR="005D6550">
        <w:t xml:space="preserve">has been </w:t>
      </w:r>
      <w:r w:rsidR="00770ADE">
        <w:t xml:space="preserve">to support </w:t>
      </w:r>
      <w:r w:rsidR="005477E1">
        <w:t>INFF</w:t>
      </w:r>
      <w:r w:rsidR="00687793">
        <w:t xml:space="preserve"> development </w:t>
      </w:r>
      <w:r w:rsidR="005477E1">
        <w:t xml:space="preserve">that responds </w:t>
      </w:r>
      <w:r w:rsidR="00715E3B">
        <w:t xml:space="preserve">to </w:t>
      </w:r>
      <w:r w:rsidR="00E4662D">
        <w:t>the sustainable development context of each Member State.</w:t>
      </w:r>
      <w:r w:rsidR="004E0C57">
        <w:rPr>
          <w:rStyle w:val="FootnoteReference"/>
        </w:rPr>
        <w:footnoteReference w:id="87"/>
      </w:r>
      <w:r w:rsidR="00E4662D">
        <w:t xml:space="preserve"> </w:t>
      </w:r>
    </w:p>
    <w:p w14:paraId="4C2A50EB" w14:textId="762588CC" w:rsidR="0029449F" w:rsidRDefault="005D6550" w:rsidP="00534D19">
      <w:pPr>
        <w:pStyle w:val="BodyText"/>
      </w:pPr>
      <w:r>
        <w:t xml:space="preserve">Of note, </w:t>
      </w:r>
      <w:r w:rsidR="00BD73AD">
        <w:t>the</w:t>
      </w:r>
      <w:r w:rsidR="009B2C9D">
        <w:t xml:space="preserve"> UNDP mandate </w:t>
      </w:r>
      <w:r w:rsidR="00FD1043">
        <w:t xml:space="preserve">and the </w:t>
      </w:r>
      <w:r w:rsidR="009B2C9D">
        <w:t>INFF project objective</w:t>
      </w:r>
      <w:r w:rsidR="008D43ED">
        <w:t xml:space="preserve"> </w:t>
      </w:r>
      <w:r w:rsidR="00FD1043">
        <w:t>both facilitated country</w:t>
      </w:r>
      <w:r w:rsidR="00050A56">
        <w:t xml:space="preserve"> access to technical assi</w:t>
      </w:r>
      <w:r w:rsidR="00CF6684">
        <w:t>stance on the INFF methodology</w:t>
      </w:r>
      <w:r w:rsidR="00561F54">
        <w:t>,</w:t>
      </w:r>
      <w:r w:rsidR="00CF6684">
        <w:t xml:space="preserve"> to support design and implementation at the country level. </w:t>
      </w:r>
      <w:r w:rsidR="0025781D">
        <w:t xml:space="preserve">They differed, however, in the </w:t>
      </w:r>
      <w:r w:rsidR="004C55A2">
        <w:t>nature of the technical assistance that was provided</w:t>
      </w:r>
      <w:r w:rsidR="00672646">
        <w:t xml:space="preserve"> at the outset</w:t>
      </w:r>
      <w:r w:rsidR="004C55A2">
        <w:t xml:space="preserve">. The </w:t>
      </w:r>
      <w:r w:rsidR="00DB010A">
        <w:t>UNDP mandate has been structured around technical assistance</w:t>
      </w:r>
      <w:r w:rsidR="00B92C13">
        <w:t xml:space="preserve"> on the INFF </w:t>
      </w:r>
      <w:r w:rsidR="00F05FBC">
        <w:t>building blocks</w:t>
      </w:r>
      <w:r w:rsidR="007A3AFF">
        <w:t>, to support</w:t>
      </w:r>
      <w:r w:rsidR="00DB010A">
        <w:t xml:space="preserve"> contextual </w:t>
      </w:r>
      <w:r w:rsidR="001D5C5E">
        <w:t xml:space="preserve">country-level </w:t>
      </w:r>
      <w:r w:rsidR="00DB010A">
        <w:t>application</w:t>
      </w:r>
      <w:r w:rsidR="007A3AFF">
        <w:t xml:space="preserve">. Conversely, </w:t>
      </w:r>
      <w:r w:rsidR="00DB010A">
        <w:t xml:space="preserve">the INFF project provided </w:t>
      </w:r>
      <w:r w:rsidR="002526D7">
        <w:t xml:space="preserve">access to </w:t>
      </w:r>
      <w:r w:rsidR="00DB010A">
        <w:t xml:space="preserve">generalised </w:t>
      </w:r>
      <w:r w:rsidR="002526D7">
        <w:t xml:space="preserve">capacity-building and </w:t>
      </w:r>
      <w:r w:rsidR="002526D7">
        <w:t>trainings</w:t>
      </w:r>
      <w:r w:rsidR="00DB010A">
        <w:t xml:space="preserve"> </w:t>
      </w:r>
      <w:r w:rsidR="002F210D">
        <w:t>(i.e</w:t>
      </w:r>
      <w:r w:rsidR="00F72FE5">
        <w:t>.</w:t>
      </w:r>
      <w:r w:rsidR="002F210D">
        <w:t xml:space="preserve"> </w:t>
      </w:r>
      <w:r w:rsidR="00F72FE5">
        <w:t>non-</w:t>
      </w:r>
      <w:r w:rsidR="002F210D">
        <w:t>context-specific)</w:t>
      </w:r>
      <w:r w:rsidR="00321C91">
        <w:t xml:space="preserve"> based on </w:t>
      </w:r>
      <w:r w:rsidR="00F72FE5">
        <w:t xml:space="preserve">the areas of specialisation of the </w:t>
      </w:r>
      <w:r w:rsidR="00F347D9">
        <w:t>executing entities</w:t>
      </w:r>
      <w:r w:rsidR="00237C57">
        <w:t xml:space="preserve">. </w:t>
      </w:r>
      <w:r w:rsidR="009E55BF">
        <w:t xml:space="preserve">This does not negate follow-up support to </w:t>
      </w:r>
      <w:r w:rsidR="003974E7">
        <w:t xml:space="preserve">target countries in response to specific requests for technical  assistance. </w:t>
      </w:r>
      <w:r w:rsidR="00237C57">
        <w:t xml:space="preserve">While the </w:t>
      </w:r>
      <w:r w:rsidR="00631FAE">
        <w:t>executing entities provide</w:t>
      </w:r>
      <w:r w:rsidR="00EB01DC">
        <w:t>d</w:t>
      </w:r>
      <w:r w:rsidR="00631FAE">
        <w:t xml:space="preserve"> support </w:t>
      </w:r>
      <w:r w:rsidR="00EB01DC">
        <w:t>for built</w:t>
      </w:r>
      <w:r w:rsidR="008265B0">
        <w:t xml:space="preserve"> </w:t>
      </w:r>
      <w:r w:rsidR="00A67DA2">
        <w:t>country-level capacit</w:t>
      </w:r>
      <w:r w:rsidR="00EB01DC">
        <w:t xml:space="preserve">ies </w:t>
      </w:r>
      <w:r w:rsidR="00A67DA2">
        <w:t xml:space="preserve">for INFF </w:t>
      </w:r>
      <w:r w:rsidR="00605758">
        <w:t xml:space="preserve">development, </w:t>
      </w:r>
      <w:r w:rsidR="00F35681">
        <w:t>th</w:t>
      </w:r>
      <w:r w:rsidR="007A7B62">
        <w:t xml:space="preserve">e </w:t>
      </w:r>
      <w:r w:rsidR="009C4BAB">
        <w:t xml:space="preserve">topics </w:t>
      </w:r>
      <w:r w:rsidR="004042A6">
        <w:t xml:space="preserve">that were </w:t>
      </w:r>
      <w:r w:rsidR="009C4BAB">
        <w:t>covered dur</w:t>
      </w:r>
      <w:r w:rsidR="00FD4E1B">
        <w:t>ing</w:t>
      </w:r>
      <w:r w:rsidR="009C4BAB">
        <w:t xml:space="preserve"> workshops/ tra</w:t>
      </w:r>
      <w:r w:rsidR="00FD4E1B">
        <w:t xml:space="preserve">inings </w:t>
      </w:r>
      <w:r w:rsidR="005C7CA7">
        <w:t xml:space="preserve">did not all relate directly to the INFF </w:t>
      </w:r>
      <w:r w:rsidR="00F05FBC">
        <w:t>building blocks</w:t>
      </w:r>
      <w:r w:rsidR="005C7CA7">
        <w:t xml:space="preserve">. </w:t>
      </w:r>
      <w:r w:rsidR="009076D7">
        <w:t xml:space="preserve">They </w:t>
      </w:r>
      <w:r w:rsidR="00FD4E1B">
        <w:t xml:space="preserve">were </w:t>
      </w:r>
      <w:r w:rsidR="009076D7">
        <w:t>of use</w:t>
      </w:r>
      <w:r w:rsidR="0069113C">
        <w:t xml:space="preserve">, however, in </w:t>
      </w:r>
      <w:r w:rsidR="002D7F16">
        <w:t xml:space="preserve">aiding </w:t>
      </w:r>
      <w:r w:rsidR="00DD679D">
        <w:t xml:space="preserve">preparations at the level of </w:t>
      </w:r>
      <w:r w:rsidR="002D7F16">
        <w:t xml:space="preserve">the </w:t>
      </w:r>
      <w:r w:rsidR="0069113C">
        <w:t xml:space="preserve">target countries for </w:t>
      </w:r>
      <w:r w:rsidR="0029449F">
        <w:t>INFF design and implementation</w:t>
      </w:r>
      <w:r w:rsidR="00DD679D" w:rsidRPr="00DD679D">
        <w:t xml:space="preserve"> </w:t>
      </w:r>
      <w:r w:rsidR="00DD679D">
        <w:t>(i.e. through capacity-building).</w:t>
      </w:r>
    </w:p>
    <w:p w14:paraId="5FC50A3A" w14:textId="1F3078FB" w:rsidR="00CA68E8" w:rsidRPr="005E2EF6" w:rsidRDefault="00F12097" w:rsidP="00171095">
      <w:pPr>
        <w:pStyle w:val="BodyText"/>
      </w:pPr>
      <w:r>
        <w:t>Th</w:t>
      </w:r>
      <w:r w:rsidR="00DE0ED3">
        <w:t>e engagement of the Tier 3 entities</w:t>
      </w:r>
      <w:r w:rsidR="006D29CE">
        <w:t xml:space="preserve"> </w:t>
      </w:r>
      <w:r w:rsidR="00865ECE">
        <w:t xml:space="preserve">was of </w:t>
      </w:r>
      <w:r w:rsidR="00FC5CCA">
        <w:t>greater</w:t>
      </w:r>
      <w:r w:rsidR="00DE0ED3">
        <w:t xml:space="preserve"> relevance for the project</w:t>
      </w:r>
      <w:r w:rsidR="00056B46">
        <w:t xml:space="preserve"> </w:t>
      </w:r>
      <w:r w:rsidR="002D567A">
        <w:t xml:space="preserve">in the area of targeted coordination and logistical </w:t>
      </w:r>
      <w:r w:rsidR="00CD7936">
        <w:t xml:space="preserve">organisation. </w:t>
      </w:r>
      <w:r w:rsidR="00823D65">
        <w:t>W</w:t>
      </w:r>
      <w:r w:rsidR="00D97498">
        <w:t>h</w:t>
      </w:r>
      <w:r w:rsidR="00823D65">
        <w:t xml:space="preserve">ile </w:t>
      </w:r>
      <w:r w:rsidR="00D0221B">
        <w:t xml:space="preserve">the role of </w:t>
      </w:r>
      <w:r w:rsidR="002A1B32">
        <w:t xml:space="preserve">the Tier 2 </w:t>
      </w:r>
      <w:r w:rsidR="00823D65">
        <w:t xml:space="preserve">RECs </w:t>
      </w:r>
      <w:r w:rsidR="00D0221B">
        <w:t>involve</w:t>
      </w:r>
      <w:r w:rsidR="009808F9">
        <w:t>s</w:t>
      </w:r>
      <w:r w:rsidR="00D0221B">
        <w:t xml:space="preserve"> promoting </w:t>
      </w:r>
      <w:r w:rsidR="009808F9">
        <w:t xml:space="preserve">regional development, including through the convening of </w:t>
      </w:r>
      <w:r w:rsidR="00853436">
        <w:t>high-level discussions</w:t>
      </w:r>
      <w:r w:rsidR="009808F9">
        <w:t xml:space="preserve"> with country governments and </w:t>
      </w:r>
      <w:r w:rsidR="00D7754B">
        <w:t xml:space="preserve">State development partners, the Tier 3 entities </w:t>
      </w:r>
      <w:r w:rsidR="000760E5">
        <w:t xml:space="preserve">function at the country-specific level. They are </w:t>
      </w:r>
      <w:r w:rsidR="00E0364E">
        <w:t xml:space="preserve">positioned </w:t>
      </w:r>
      <w:r w:rsidR="00B60786">
        <w:t xml:space="preserve">for closer collaboration with </w:t>
      </w:r>
      <w:r w:rsidR="001A5706">
        <w:t>stakeholder</w:t>
      </w:r>
      <w:r w:rsidR="002B5171">
        <w:t xml:space="preserve"> entities</w:t>
      </w:r>
      <w:r w:rsidR="001A5706">
        <w:t xml:space="preserve"> in-country</w:t>
      </w:r>
      <w:r w:rsidR="00C83650">
        <w:t xml:space="preserve">, including </w:t>
      </w:r>
      <w:r w:rsidR="00B60786">
        <w:t>MDAs</w:t>
      </w:r>
      <w:r w:rsidR="002B5171">
        <w:t>. The relevance of the Tier 3 entities for project implementation, therefore,</w:t>
      </w:r>
      <w:r w:rsidR="00A175CC">
        <w:t xml:space="preserve"> was the</w:t>
      </w:r>
      <w:r w:rsidR="00F77E12">
        <w:t>ir</w:t>
      </w:r>
      <w:r w:rsidR="00AE23DF">
        <w:t xml:space="preserve"> </w:t>
      </w:r>
      <w:r w:rsidR="00A175CC">
        <w:t xml:space="preserve">capacity to facilitate access to </w:t>
      </w:r>
      <w:r w:rsidR="00E34F56">
        <w:t xml:space="preserve">country-based </w:t>
      </w:r>
      <w:r w:rsidR="00E34F56" w:rsidRPr="00835BCA">
        <w:t>stakeholders</w:t>
      </w:r>
      <w:r w:rsidR="00A534A7" w:rsidRPr="00835BCA">
        <w:t xml:space="preserve">. </w:t>
      </w:r>
      <w:r w:rsidR="00F74709" w:rsidRPr="00835BCA">
        <w:t>Each Tier 3 entity functioned as a liaison between the project and the</w:t>
      </w:r>
      <w:r w:rsidR="009F3A19" w:rsidRPr="00835BCA">
        <w:t xml:space="preserve"> target country in which it was located.</w:t>
      </w:r>
      <w:r w:rsidR="002A3D73">
        <w:t xml:space="preserve"> As the </w:t>
      </w:r>
      <w:r w:rsidR="00361E4E">
        <w:t>responsibilities of the UN Resident Coordinator includes</w:t>
      </w:r>
      <w:r w:rsidR="009B4DB6">
        <w:t xml:space="preserve"> </w:t>
      </w:r>
      <w:r w:rsidR="00733518">
        <w:t>leading the UN Country Team (UNCT</w:t>
      </w:r>
      <w:r w:rsidR="009B4DB6">
        <w:t xml:space="preserve">) </w:t>
      </w:r>
      <w:r w:rsidR="00DA65FD">
        <w:t xml:space="preserve">in consultations with the host country government, inter alia, </w:t>
      </w:r>
      <w:r w:rsidR="00073D1F">
        <w:t>support</w:t>
      </w:r>
      <w:r w:rsidR="00DA65FD">
        <w:t xml:space="preserve"> </w:t>
      </w:r>
      <w:r w:rsidR="00F35B31">
        <w:t>by the Resident Coordinator Office (</w:t>
      </w:r>
      <w:r w:rsidR="00497789">
        <w:t xml:space="preserve">UN </w:t>
      </w:r>
      <w:r w:rsidR="00F35B31">
        <w:t xml:space="preserve">RCO) </w:t>
      </w:r>
      <w:r w:rsidR="0069697D">
        <w:t xml:space="preserve">was relevant for </w:t>
      </w:r>
      <w:r w:rsidR="00985AAF">
        <w:t xml:space="preserve">project start-up. The facilitation of inception activities </w:t>
      </w:r>
      <w:r w:rsidR="00A258C1">
        <w:t xml:space="preserve">with MDAs </w:t>
      </w:r>
      <w:r w:rsidR="002426E2">
        <w:t xml:space="preserve">within the target countries </w:t>
      </w:r>
      <w:r w:rsidR="00985AAF">
        <w:t>(</w:t>
      </w:r>
      <w:r w:rsidR="00FA76B8">
        <w:t xml:space="preserve">high-level </w:t>
      </w:r>
      <w:r w:rsidR="00B541E7">
        <w:t>discussions</w:t>
      </w:r>
      <w:r w:rsidR="00FA76B8">
        <w:t xml:space="preserve"> and meetin</w:t>
      </w:r>
      <w:r w:rsidR="00845F30">
        <w:t>gs;</w:t>
      </w:r>
      <w:r w:rsidR="00F4733A">
        <w:t xml:space="preserve"> and</w:t>
      </w:r>
      <w:r w:rsidR="00845F30">
        <w:t xml:space="preserve"> </w:t>
      </w:r>
      <w:r w:rsidR="004E0ED9">
        <w:t xml:space="preserve">workshops) was necessary to </w:t>
      </w:r>
      <w:r w:rsidR="00B962C0">
        <w:t>p</w:t>
      </w:r>
      <w:r w:rsidR="002426E2">
        <w:t xml:space="preserve">rovide country-level stakeholders with </w:t>
      </w:r>
      <w:r w:rsidR="00316862">
        <w:t>an overview of the project, including INFFs</w:t>
      </w:r>
      <w:r w:rsidR="00C749F5">
        <w:t>,</w:t>
      </w:r>
      <w:r w:rsidR="00316862">
        <w:t xml:space="preserve"> </w:t>
      </w:r>
      <w:r w:rsidR="00F64A63">
        <w:t xml:space="preserve">to </w:t>
      </w:r>
      <w:r w:rsidR="00316862">
        <w:t xml:space="preserve">secure their ownership </w:t>
      </w:r>
      <w:r w:rsidR="008F6CEF">
        <w:t xml:space="preserve">of </w:t>
      </w:r>
      <w:r w:rsidR="00316862">
        <w:t xml:space="preserve">project activities and </w:t>
      </w:r>
      <w:r w:rsidR="007C6F53" w:rsidRPr="005E2EF6">
        <w:t>expected results.</w:t>
      </w:r>
      <w:r w:rsidR="000759D5" w:rsidRPr="005E2EF6">
        <w:t xml:space="preserve"> </w:t>
      </w:r>
      <w:r w:rsidR="00F4733A">
        <w:t xml:space="preserve">UN </w:t>
      </w:r>
      <w:r w:rsidR="00CC6BF0">
        <w:t xml:space="preserve">RCOs </w:t>
      </w:r>
      <w:r w:rsidR="00EC6C2F">
        <w:t xml:space="preserve">contributed to this process by </w:t>
      </w:r>
      <w:r w:rsidR="000A38EE">
        <w:t>identif</w:t>
      </w:r>
      <w:r w:rsidR="0094079F">
        <w:t xml:space="preserve">ying </w:t>
      </w:r>
      <w:r w:rsidR="000A38EE">
        <w:t xml:space="preserve">key stakeholders </w:t>
      </w:r>
      <w:r w:rsidR="00A20ECE">
        <w:t>for initial project engagement</w:t>
      </w:r>
      <w:r w:rsidR="00E8136A">
        <w:t>.</w:t>
      </w:r>
      <w:r w:rsidR="00570363">
        <w:t xml:space="preserve"> T</w:t>
      </w:r>
      <w:r w:rsidR="00845F30">
        <w:t xml:space="preserve">he RCO was a </w:t>
      </w:r>
      <w:r w:rsidR="00F54B5D">
        <w:t>cri</w:t>
      </w:r>
      <w:r w:rsidR="00B82CB6">
        <w:t>t</w:t>
      </w:r>
      <w:r w:rsidR="00F54B5D">
        <w:t xml:space="preserve">ical </w:t>
      </w:r>
      <w:r w:rsidR="00845F30">
        <w:t>first point of c</w:t>
      </w:r>
      <w:r w:rsidR="00775844">
        <w:t xml:space="preserve">ontact </w:t>
      </w:r>
      <w:r w:rsidR="00570363">
        <w:t xml:space="preserve">by Tier 2 entities to gain access to </w:t>
      </w:r>
      <w:r w:rsidR="00A91B47">
        <w:t>key decision-makers at the governmental level</w:t>
      </w:r>
      <w:r w:rsidR="00683302">
        <w:t>,</w:t>
      </w:r>
      <w:r w:rsidR="00A91B47">
        <w:t xml:space="preserve"> </w:t>
      </w:r>
      <w:r w:rsidR="00F54B5D">
        <w:t xml:space="preserve">to </w:t>
      </w:r>
      <w:r w:rsidR="00F90C9C">
        <w:t xml:space="preserve">initiate </w:t>
      </w:r>
      <w:r w:rsidR="00027C7D">
        <w:t xml:space="preserve">(and encourage) </w:t>
      </w:r>
      <w:r w:rsidR="00F24E1C">
        <w:t xml:space="preserve">the engagement of MDAs </w:t>
      </w:r>
      <w:r w:rsidR="00F90C9C">
        <w:t>in p</w:t>
      </w:r>
      <w:r w:rsidR="00F24E1C">
        <w:t>roject activities.</w:t>
      </w:r>
      <w:r w:rsidR="00B82CB6">
        <w:t xml:space="preserve"> </w:t>
      </w:r>
      <w:r w:rsidR="00F57E40">
        <w:t xml:space="preserve"> </w:t>
      </w:r>
    </w:p>
    <w:p w14:paraId="6F7DB72E" w14:textId="246BC33F" w:rsidR="00346C84" w:rsidRPr="005E2EF6" w:rsidRDefault="000759D5" w:rsidP="00346C84">
      <w:pPr>
        <w:pStyle w:val="BodyText"/>
        <w:rPr>
          <w:lang w:val="en-GB"/>
        </w:rPr>
      </w:pPr>
      <w:r w:rsidRPr="005E2EF6">
        <w:lastRenderedPageBreak/>
        <w:t xml:space="preserve">Examples of </w:t>
      </w:r>
      <w:r w:rsidR="00AE66AD" w:rsidRPr="005E2EF6">
        <w:t xml:space="preserve">the </w:t>
      </w:r>
      <w:r w:rsidR="00781C00" w:rsidRPr="005E2EF6">
        <w:t xml:space="preserve">collaborative </w:t>
      </w:r>
      <w:r w:rsidR="00AE66AD" w:rsidRPr="005E2EF6">
        <w:t xml:space="preserve">actions that were facilitated </w:t>
      </w:r>
      <w:r w:rsidR="00BF0863" w:rsidRPr="005E2EF6">
        <w:t xml:space="preserve">with the support of </w:t>
      </w:r>
      <w:r w:rsidR="00AE66AD" w:rsidRPr="005E2EF6">
        <w:t>Tier 3 entities</w:t>
      </w:r>
      <w:r w:rsidR="00E215B5" w:rsidRPr="005E2EF6">
        <w:t xml:space="preserve"> </w:t>
      </w:r>
      <w:r w:rsidR="000177A5" w:rsidRPr="005E2EF6">
        <w:t>in</w:t>
      </w:r>
      <w:r w:rsidR="00C421FF" w:rsidRPr="005E2EF6">
        <w:t>clude</w:t>
      </w:r>
      <w:r w:rsidR="00781C00" w:rsidRPr="005E2EF6">
        <w:t>:</w:t>
      </w:r>
    </w:p>
    <w:p w14:paraId="44E95F3D" w14:textId="05CE3D7E" w:rsidR="00346C84" w:rsidRPr="005E2EF6" w:rsidRDefault="003B0059" w:rsidP="003B672F">
      <w:pPr>
        <w:pStyle w:val="BodyText"/>
        <w:numPr>
          <w:ilvl w:val="0"/>
          <w:numId w:val="82"/>
        </w:numPr>
        <w:ind w:left="714" w:hanging="357"/>
        <w:rPr>
          <w:lang w:val="en-GB"/>
        </w:rPr>
      </w:pPr>
      <w:r w:rsidRPr="005E2EF6">
        <w:rPr>
          <w:lang w:val="en-GB"/>
        </w:rPr>
        <w:t xml:space="preserve">Four-day workshop on Open Budgets for Sustainable Development in Africa jointly organised by UNECA, </w:t>
      </w:r>
      <w:r w:rsidRPr="005E2EF6">
        <w:rPr>
          <w:b/>
          <w:bCs/>
          <w:lang w:val="en-GB"/>
        </w:rPr>
        <w:t>UNDP</w:t>
      </w:r>
      <w:r w:rsidRPr="005E2EF6">
        <w:rPr>
          <w:lang w:val="en-GB"/>
        </w:rPr>
        <w:t xml:space="preserve">, </w:t>
      </w:r>
      <w:r w:rsidRPr="005E2EF6">
        <w:rPr>
          <w:b/>
          <w:bCs/>
          <w:lang w:val="en-GB"/>
        </w:rPr>
        <w:t>UNICEF</w:t>
      </w:r>
      <w:r w:rsidRPr="005E2EF6">
        <w:rPr>
          <w:lang w:val="en-GB"/>
        </w:rPr>
        <w:t>, International Budget Partnership and UNDESA (September 2022)</w:t>
      </w:r>
      <w:r w:rsidR="00346C84" w:rsidRPr="005E2EF6">
        <w:rPr>
          <w:lang w:val="en-GB"/>
        </w:rPr>
        <w:t>;</w:t>
      </w:r>
    </w:p>
    <w:p w14:paraId="47F786FE" w14:textId="4FDD0DEB" w:rsidR="00346C84" w:rsidRPr="005E2EF6" w:rsidRDefault="00244063" w:rsidP="003B672F">
      <w:pPr>
        <w:pStyle w:val="BodyText"/>
        <w:numPr>
          <w:ilvl w:val="0"/>
          <w:numId w:val="82"/>
        </w:numPr>
        <w:ind w:left="714" w:hanging="357"/>
        <w:rPr>
          <w:lang w:val="en-GB"/>
        </w:rPr>
      </w:pPr>
      <w:r w:rsidRPr="005E2EF6">
        <w:rPr>
          <w:lang w:val="en-GB"/>
        </w:rPr>
        <w:t xml:space="preserve">Three-day online training workshop on </w:t>
      </w:r>
      <w:r w:rsidRPr="005E2EF6">
        <w:rPr>
          <w:i/>
          <w:iCs/>
          <w:lang w:val="en-GB"/>
        </w:rPr>
        <w:t>INFFs and the Alignment of SDG Planning and Budgeting</w:t>
      </w:r>
      <w:r w:rsidRPr="005E2EF6">
        <w:rPr>
          <w:lang w:val="en-GB"/>
        </w:rPr>
        <w:t xml:space="preserve">, organised by UNESCAP with the support of </w:t>
      </w:r>
      <w:r w:rsidRPr="005E2EF6">
        <w:rPr>
          <w:b/>
          <w:bCs/>
          <w:lang w:val="en-GB"/>
        </w:rPr>
        <w:t>UNDP</w:t>
      </w:r>
      <w:r w:rsidRPr="005E2EF6">
        <w:rPr>
          <w:lang w:val="en-GB"/>
        </w:rPr>
        <w:t xml:space="preserve">, </w:t>
      </w:r>
      <w:r w:rsidRPr="005E2EF6">
        <w:rPr>
          <w:b/>
          <w:bCs/>
          <w:lang w:val="en-GB"/>
        </w:rPr>
        <w:t>UNITAR</w:t>
      </w:r>
      <w:r w:rsidRPr="005E2EF6">
        <w:rPr>
          <w:lang w:val="en-GB"/>
        </w:rPr>
        <w:t xml:space="preserve"> and UNDESA, as a side event at the </w:t>
      </w:r>
      <w:r w:rsidRPr="005E2EF6">
        <w:rPr>
          <w:i/>
          <w:iCs/>
          <w:lang w:val="en-GB"/>
        </w:rPr>
        <w:t>2021 Asia-Pacific Forum on Sustainable Development</w:t>
      </w:r>
      <w:r w:rsidRPr="005E2EF6">
        <w:rPr>
          <w:lang w:val="en-GB"/>
        </w:rPr>
        <w:t xml:space="preserve"> (March 2021) for countries in the region</w:t>
      </w:r>
      <w:r w:rsidR="005770E0" w:rsidRPr="005E2EF6">
        <w:rPr>
          <w:lang w:val="en-GB"/>
        </w:rPr>
        <w:t>;</w:t>
      </w:r>
    </w:p>
    <w:p w14:paraId="03B49D54" w14:textId="70736D69" w:rsidR="00350B3C" w:rsidRPr="005E2EF6" w:rsidRDefault="00346C84" w:rsidP="003B672F">
      <w:pPr>
        <w:pStyle w:val="BodyText"/>
        <w:numPr>
          <w:ilvl w:val="0"/>
          <w:numId w:val="82"/>
        </w:numPr>
        <w:ind w:left="714" w:hanging="357"/>
        <w:rPr>
          <w:lang w:val="en-GB"/>
        </w:rPr>
      </w:pPr>
      <w:r w:rsidRPr="005E2EF6">
        <w:rPr>
          <w:lang w:val="en-GB"/>
        </w:rPr>
        <w:t>E</w:t>
      </w:r>
      <w:r w:rsidR="00140E43" w:rsidRPr="005E2EF6">
        <w:rPr>
          <w:lang w:val="en-GB"/>
        </w:rPr>
        <w:t>stablishment of a Joint National Task Force</w:t>
      </w:r>
      <w:r w:rsidR="00F64CAC" w:rsidRPr="005E2EF6">
        <w:rPr>
          <w:lang w:val="en-GB"/>
        </w:rPr>
        <w:t xml:space="preserve"> for the statistical measurement of illicit financial flows (IFFs)</w:t>
      </w:r>
      <w:r w:rsidR="00140E43" w:rsidRPr="005E2EF6">
        <w:rPr>
          <w:lang w:val="en-GB"/>
        </w:rPr>
        <w:t xml:space="preserve"> </w:t>
      </w:r>
      <w:r w:rsidR="00253484" w:rsidRPr="005E2EF6">
        <w:rPr>
          <w:lang w:val="en-GB"/>
        </w:rPr>
        <w:t xml:space="preserve">in </w:t>
      </w:r>
      <w:r w:rsidR="006F6628" w:rsidRPr="005E2EF6">
        <w:rPr>
          <w:lang w:val="en-GB"/>
        </w:rPr>
        <w:t>Egypt</w:t>
      </w:r>
      <w:r w:rsidR="008E65CA" w:rsidRPr="005E2EF6">
        <w:rPr>
          <w:lang w:val="en-GB"/>
        </w:rPr>
        <w:t>,</w:t>
      </w:r>
      <w:r w:rsidR="006F6628" w:rsidRPr="005E2EF6">
        <w:rPr>
          <w:lang w:val="en-GB"/>
        </w:rPr>
        <w:t xml:space="preserve"> </w:t>
      </w:r>
      <w:r w:rsidR="001D7588" w:rsidRPr="005E2EF6">
        <w:rPr>
          <w:lang w:val="en-GB"/>
        </w:rPr>
        <w:t>based on collabo</w:t>
      </w:r>
      <w:r w:rsidR="004E2870" w:rsidRPr="005E2EF6">
        <w:rPr>
          <w:lang w:val="en-GB"/>
        </w:rPr>
        <w:t xml:space="preserve">ration between UNESCWA; </w:t>
      </w:r>
      <w:r w:rsidR="00DD1531" w:rsidRPr="00DD1531">
        <w:rPr>
          <w:b/>
          <w:bCs/>
          <w:lang w:val="en-GB"/>
        </w:rPr>
        <w:t xml:space="preserve">UN </w:t>
      </w:r>
      <w:r w:rsidR="004E2870" w:rsidRPr="005E2EF6">
        <w:rPr>
          <w:b/>
          <w:bCs/>
          <w:lang w:val="en-GB"/>
        </w:rPr>
        <w:t>RCO</w:t>
      </w:r>
      <w:r w:rsidR="004E2870" w:rsidRPr="005E2EF6">
        <w:rPr>
          <w:lang w:val="en-GB"/>
        </w:rPr>
        <w:t>; and UNCTAD</w:t>
      </w:r>
      <w:r w:rsidR="00350B3C" w:rsidRPr="005E2EF6">
        <w:rPr>
          <w:lang w:val="en-GB"/>
        </w:rPr>
        <w:t>;</w:t>
      </w:r>
    </w:p>
    <w:p w14:paraId="7E02A453" w14:textId="0C10FD30" w:rsidR="00346C84" w:rsidRPr="005E2EF6" w:rsidRDefault="006C739B" w:rsidP="003B672F">
      <w:pPr>
        <w:pStyle w:val="BodyText"/>
        <w:numPr>
          <w:ilvl w:val="0"/>
          <w:numId w:val="82"/>
        </w:numPr>
        <w:ind w:left="714" w:hanging="357"/>
        <w:rPr>
          <w:lang w:val="en-GB"/>
        </w:rPr>
      </w:pPr>
      <w:r w:rsidRPr="005E2EF6">
        <w:rPr>
          <w:lang w:val="en-GB"/>
        </w:rPr>
        <w:t xml:space="preserve">Collaboration </w:t>
      </w:r>
      <w:r w:rsidR="003E5ADB" w:rsidRPr="005E2EF6">
        <w:rPr>
          <w:lang w:val="en-GB"/>
        </w:rPr>
        <w:t xml:space="preserve">between UNECA; </w:t>
      </w:r>
      <w:r w:rsidR="003E5ADB" w:rsidRPr="005E2EF6">
        <w:rPr>
          <w:b/>
          <w:bCs/>
          <w:lang w:val="en-GB"/>
        </w:rPr>
        <w:t>UNICEF</w:t>
      </w:r>
      <w:r w:rsidR="003E5ADB" w:rsidRPr="005E2EF6">
        <w:rPr>
          <w:lang w:val="en-GB"/>
        </w:rPr>
        <w:t xml:space="preserve">; </w:t>
      </w:r>
      <w:r w:rsidR="003E5ADB" w:rsidRPr="005E2EF6">
        <w:rPr>
          <w:b/>
          <w:bCs/>
          <w:lang w:val="en-GB"/>
        </w:rPr>
        <w:t>UNESCO</w:t>
      </w:r>
      <w:r w:rsidR="003E5ADB" w:rsidRPr="005E2EF6">
        <w:rPr>
          <w:lang w:val="en-GB"/>
        </w:rPr>
        <w:t xml:space="preserve">; </w:t>
      </w:r>
      <w:r w:rsidR="003E5ADB" w:rsidRPr="005E2EF6">
        <w:rPr>
          <w:b/>
          <w:bCs/>
          <w:lang w:val="en-GB"/>
        </w:rPr>
        <w:t>UNDP</w:t>
      </w:r>
      <w:r w:rsidR="003E5ADB" w:rsidRPr="005E2EF6">
        <w:rPr>
          <w:lang w:val="en-GB"/>
        </w:rPr>
        <w:t>; UNCTAD</w:t>
      </w:r>
      <w:r w:rsidR="00901A8F" w:rsidRPr="005E2EF6">
        <w:rPr>
          <w:lang w:val="en-GB"/>
        </w:rPr>
        <w:t xml:space="preserve">; and UNDESA to leverage partnerships for the co-organisation of regional workshops and the facilitation of </w:t>
      </w:r>
      <w:r w:rsidR="006321A6">
        <w:rPr>
          <w:lang w:val="en-GB"/>
        </w:rPr>
        <w:t>peer-learning</w:t>
      </w:r>
      <w:r w:rsidR="00346C84" w:rsidRPr="005E2EF6">
        <w:rPr>
          <w:lang w:val="en-GB"/>
        </w:rPr>
        <w:t xml:space="preserve">; </w:t>
      </w:r>
    </w:p>
    <w:p w14:paraId="4666ED20" w14:textId="716AF976" w:rsidR="00346C84" w:rsidRPr="005E2EF6" w:rsidRDefault="00E572B9" w:rsidP="003B672F">
      <w:pPr>
        <w:pStyle w:val="BodyText"/>
        <w:numPr>
          <w:ilvl w:val="0"/>
          <w:numId w:val="82"/>
        </w:numPr>
        <w:ind w:left="714" w:hanging="357"/>
        <w:rPr>
          <w:lang w:val="en-GB"/>
        </w:rPr>
      </w:pPr>
      <w:r w:rsidRPr="005E2EF6">
        <w:rPr>
          <w:lang w:val="en-GB"/>
        </w:rPr>
        <w:t>Discussions</w:t>
      </w:r>
      <w:r w:rsidR="004A28FB" w:rsidRPr="005E2EF6">
        <w:rPr>
          <w:lang w:val="en-GB"/>
        </w:rPr>
        <w:t xml:space="preserve"> </w:t>
      </w:r>
      <w:r w:rsidR="009E17FF" w:rsidRPr="005E2EF6">
        <w:rPr>
          <w:lang w:val="en-GB"/>
        </w:rPr>
        <w:t xml:space="preserve">on financing strategies </w:t>
      </w:r>
      <w:r w:rsidR="00C45FA8" w:rsidRPr="005E2EF6">
        <w:rPr>
          <w:lang w:val="en-GB"/>
        </w:rPr>
        <w:t>between UNECLAC and</w:t>
      </w:r>
      <w:r w:rsidR="00DA1BCC">
        <w:rPr>
          <w:lang w:val="en-GB"/>
        </w:rPr>
        <w:t xml:space="preserve"> </w:t>
      </w:r>
      <w:r w:rsidR="006C3349" w:rsidRPr="006C3349">
        <w:rPr>
          <w:b/>
          <w:bCs/>
          <w:lang w:val="en-GB"/>
        </w:rPr>
        <w:t>UN</w:t>
      </w:r>
      <w:r w:rsidR="00C45FA8" w:rsidRPr="006C3349">
        <w:rPr>
          <w:b/>
          <w:bCs/>
          <w:lang w:val="en-GB"/>
        </w:rPr>
        <w:t xml:space="preserve"> RCO</w:t>
      </w:r>
      <w:r w:rsidR="00CC22BA" w:rsidRPr="005E2EF6">
        <w:rPr>
          <w:lang w:val="en-GB"/>
        </w:rPr>
        <w:t xml:space="preserve"> Costa Rica</w:t>
      </w:r>
      <w:r w:rsidR="002823F3">
        <w:rPr>
          <w:lang w:val="en-GB"/>
        </w:rPr>
        <w:t xml:space="preserve">, </w:t>
      </w:r>
      <w:r w:rsidR="008E65CA" w:rsidRPr="005E2EF6">
        <w:rPr>
          <w:lang w:val="en-GB"/>
        </w:rPr>
        <w:t>t</w:t>
      </w:r>
      <w:r w:rsidR="00CC22BA" w:rsidRPr="005E2EF6">
        <w:rPr>
          <w:lang w:val="en-GB"/>
        </w:rPr>
        <w:t xml:space="preserve">o </w:t>
      </w:r>
      <w:r w:rsidR="00A33D68">
        <w:rPr>
          <w:lang w:val="en-GB"/>
        </w:rPr>
        <w:t xml:space="preserve">address </w:t>
      </w:r>
      <w:r w:rsidR="00CC22BA" w:rsidRPr="005E2EF6">
        <w:rPr>
          <w:lang w:val="en-GB"/>
        </w:rPr>
        <w:t>a request from the Costa Rica Ministry of Finance</w:t>
      </w:r>
      <w:r w:rsidR="00995B58" w:rsidRPr="005E2EF6">
        <w:rPr>
          <w:lang w:val="en-GB"/>
        </w:rPr>
        <w:t xml:space="preserve">; </w:t>
      </w:r>
    </w:p>
    <w:p w14:paraId="45DA6719" w14:textId="29F16BE6" w:rsidR="00A16F0C" w:rsidRDefault="00A16F0C" w:rsidP="003B672F">
      <w:pPr>
        <w:pStyle w:val="BodyText"/>
        <w:numPr>
          <w:ilvl w:val="0"/>
          <w:numId w:val="82"/>
        </w:numPr>
        <w:ind w:left="714" w:hanging="357"/>
        <w:rPr>
          <w:lang w:val="en-GB"/>
        </w:rPr>
      </w:pPr>
      <w:r w:rsidRPr="005E2EF6">
        <w:rPr>
          <w:lang w:val="en-GB"/>
        </w:rPr>
        <w:t xml:space="preserve">Effective cooperation between UNCTAD and </w:t>
      </w:r>
      <w:r w:rsidR="00A33D68" w:rsidRPr="00A33D68">
        <w:rPr>
          <w:b/>
          <w:bCs/>
          <w:lang w:val="en-GB"/>
        </w:rPr>
        <w:t>UN</w:t>
      </w:r>
      <w:r w:rsidR="00DA1BCC" w:rsidRPr="00A33D68">
        <w:rPr>
          <w:b/>
          <w:bCs/>
          <w:lang w:val="en-GB"/>
        </w:rPr>
        <w:t xml:space="preserve"> </w:t>
      </w:r>
      <w:r w:rsidRPr="005E2EF6">
        <w:rPr>
          <w:b/>
          <w:bCs/>
          <w:lang w:val="en-GB"/>
        </w:rPr>
        <w:t>RCO</w:t>
      </w:r>
      <w:r w:rsidR="00DA1BCC" w:rsidRPr="00DA1BCC">
        <w:rPr>
          <w:lang w:val="en-GB"/>
        </w:rPr>
        <w:t xml:space="preserve"> </w:t>
      </w:r>
      <w:r w:rsidRPr="005E2EF6">
        <w:rPr>
          <w:lang w:val="en-GB"/>
        </w:rPr>
        <w:t>Belarus</w:t>
      </w:r>
      <w:r w:rsidR="00F721BE">
        <w:rPr>
          <w:lang w:val="en-GB"/>
        </w:rPr>
        <w:t>,</w:t>
      </w:r>
      <w:r w:rsidR="00946686" w:rsidRPr="005E2EF6">
        <w:rPr>
          <w:lang w:val="en-GB"/>
        </w:rPr>
        <w:t xml:space="preserve"> to engage additional participants, local agencies and UN entities</w:t>
      </w:r>
      <w:r w:rsidR="00F721BE">
        <w:rPr>
          <w:lang w:val="en-GB"/>
        </w:rPr>
        <w:t>,</w:t>
      </w:r>
      <w:r w:rsidR="00946686" w:rsidRPr="005E2EF6">
        <w:rPr>
          <w:lang w:val="en-GB"/>
        </w:rPr>
        <w:t xml:space="preserve"> and provide logistical support for project implementation</w:t>
      </w:r>
    </w:p>
    <w:p w14:paraId="5935ADFD" w14:textId="6B8AE694" w:rsidR="00AE1139" w:rsidRPr="005E2EF6" w:rsidRDefault="00AC2292" w:rsidP="003B672F">
      <w:pPr>
        <w:pStyle w:val="BodyText"/>
        <w:numPr>
          <w:ilvl w:val="0"/>
          <w:numId w:val="82"/>
        </w:numPr>
        <w:ind w:left="714" w:hanging="357"/>
        <w:rPr>
          <w:lang w:val="en-GB"/>
        </w:rPr>
      </w:pPr>
      <w:r>
        <w:rPr>
          <w:lang w:val="en-GB"/>
        </w:rPr>
        <w:t xml:space="preserve">UNESCAP </w:t>
      </w:r>
      <w:r w:rsidR="006C150C">
        <w:rPr>
          <w:lang w:val="en-GB"/>
        </w:rPr>
        <w:t xml:space="preserve">Engagement with the Samoan Government through </w:t>
      </w:r>
      <w:r w:rsidR="00F721BE" w:rsidRPr="00F721BE">
        <w:rPr>
          <w:b/>
          <w:bCs/>
          <w:lang w:val="en-GB"/>
        </w:rPr>
        <w:t>UN</w:t>
      </w:r>
      <w:r w:rsidR="00F721BE">
        <w:rPr>
          <w:lang w:val="en-GB"/>
        </w:rPr>
        <w:t xml:space="preserve"> </w:t>
      </w:r>
      <w:r w:rsidR="006C150C" w:rsidRPr="00B82CB6">
        <w:rPr>
          <w:b/>
          <w:bCs/>
          <w:lang w:val="en-GB"/>
        </w:rPr>
        <w:t>RCO</w:t>
      </w:r>
      <w:r w:rsidR="006C150C">
        <w:rPr>
          <w:lang w:val="en-GB"/>
        </w:rPr>
        <w:t xml:space="preserve"> </w:t>
      </w:r>
      <w:r w:rsidR="002D7751">
        <w:rPr>
          <w:lang w:val="en-GB"/>
        </w:rPr>
        <w:t>a</w:t>
      </w:r>
      <w:r w:rsidR="006C150C">
        <w:rPr>
          <w:lang w:val="en-GB"/>
        </w:rPr>
        <w:t>n</w:t>
      </w:r>
      <w:r w:rsidR="002D7751">
        <w:rPr>
          <w:lang w:val="en-GB"/>
        </w:rPr>
        <w:t xml:space="preserve">d the Ministry of Finance in </w:t>
      </w:r>
      <w:r w:rsidR="006C150C">
        <w:rPr>
          <w:lang w:val="en-GB"/>
        </w:rPr>
        <w:t>202</w:t>
      </w:r>
      <w:r>
        <w:rPr>
          <w:lang w:val="en-GB"/>
        </w:rPr>
        <w:t>2</w:t>
      </w:r>
      <w:r w:rsidR="002D7751">
        <w:rPr>
          <w:lang w:val="en-GB"/>
        </w:rPr>
        <w:t>, to include Samoa as a replacement target country</w:t>
      </w:r>
    </w:p>
    <w:p w14:paraId="606E1CBB" w14:textId="5917D392" w:rsidR="002B5171" w:rsidRPr="005E2EF6" w:rsidRDefault="00346C84" w:rsidP="00E43D1E">
      <w:pPr>
        <w:pStyle w:val="BodyText"/>
        <w:jc w:val="right"/>
      </w:pPr>
      <w:r w:rsidRPr="005E2EF6">
        <w:rPr>
          <w:i/>
          <w:iCs/>
          <w:lang w:val="en-GB"/>
        </w:rPr>
        <w:t xml:space="preserve">Source: </w:t>
      </w:r>
      <w:r w:rsidR="00C421FF" w:rsidRPr="005E2EF6">
        <w:rPr>
          <w:i/>
          <w:iCs/>
          <w:lang w:val="en-GB"/>
        </w:rPr>
        <w:t>Final pro</w:t>
      </w:r>
      <w:r w:rsidR="00A16D50" w:rsidRPr="005E2EF6">
        <w:rPr>
          <w:i/>
          <w:iCs/>
          <w:lang w:val="en-GB"/>
        </w:rPr>
        <w:t>ject</w:t>
      </w:r>
      <w:r w:rsidR="00C421FF" w:rsidRPr="005E2EF6">
        <w:rPr>
          <w:i/>
          <w:iCs/>
          <w:lang w:val="en-GB"/>
        </w:rPr>
        <w:t xml:space="preserve"> report</w:t>
      </w:r>
      <w:r w:rsidR="00D33534" w:rsidRPr="005E2EF6">
        <w:rPr>
          <w:i/>
          <w:iCs/>
          <w:lang w:val="en-GB"/>
        </w:rPr>
        <w:t xml:space="preserve">, </w:t>
      </w:r>
      <w:r w:rsidR="00985AE2" w:rsidRPr="005E2EF6">
        <w:rPr>
          <w:i/>
          <w:iCs/>
          <w:lang w:val="en-GB"/>
        </w:rPr>
        <w:t xml:space="preserve">March </w:t>
      </w:r>
      <w:r w:rsidR="00D33534" w:rsidRPr="005E2EF6">
        <w:rPr>
          <w:i/>
          <w:iCs/>
          <w:lang w:val="en-GB"/>
        </w:rPr>
        <w:t>2025</w:t>
      </w:r>
      <w:r w:rsidR="00995B58" w:rsidRPr="005E2EF6">
        <w:rPr>
          <w:i/>
          <w:iCs/>
          <w:lang w:val="en-GB"/>
        </w:rPr>
        <w:t>.</w:t>
      </w:r>
    </w:p>
    <w:p w14:paraId="706E2EE4" w14:textId="5E47EF51" w:rsidR="002B5171" w:rsidRPr="005E2EF6" w:rsidRDefault="008D7440" w:rsidP="00171095">
      <w:pPr>
        <w:pStyle w:val="BodyText"/>
      </w:pPr>
      <w:r w:rsidRPr="005E2EF6">
        <w:t xml:space="preserve">The strategic alignment between the project and </w:t>
      </w:r>
      <w:r w:rsidR="00C109CD" w:rsidRPr="005E2EF6">
        <w:t xml:space="preserve">institutional </w:t>
      </w:r>
      <w:r w:rsidRPr="005E2EF6">
        <w:t xml:space="preserve">mandates </w:t>
      </w:r>
      <w:r w:rsidR="00C109CD" w:rsidRPr="005E2EF6">
        <w:t xml:space="preserve">across the three </w:t>
      </w:r>
      <w:r w:rsidR="009250F8">
        <w:t>t</w:t>
      </w:r>
      <w:r w:rsidR="00C109CD" w:rsidRPr="005E2EF6">
        <w:t xml:space="preserve">iers of </w:t>
      </w:r>
      <w:r w:rsidR="00DE21FA">
        <w:t>executing entities</w:t>
      </w:r>
      <w:r w:rsidR="00BB3A35" w:rsidRPr="005E2EF6">
        <w:t xml:space="preserve"> contributed towards collaboration between entities</w:t>
      </w:r>
      <w:r w:rsidR="002D324D" w:rsidRPr="005E2EF6">
        <w:t xml:space="preserve">, as well as </w:t>
      </w:r>
      <w:r w:rsidR="00BB3A35" w:rsidRPr="005E2EF6">
        <w:t xml:space="preserve">collaboration </w:t>
      </w:r>
      <w:r w:rsidR="002D324D" w:rsidRPr="005E2EF6">
        <w:t>across tiers.</w:t>
      </w:r>
      <w:r w:rsidRPr="005E2EF6">
        <w:t xml:space="preserve"> </w:t>
      </w:r>
    </w:p>
    <w:p w14:paraId="6F4F8A5B" w14:textId="35323DBF" w:rsidR="008F1FA1" w:rsidRPr="005E2EF6" w:rsidRDefault="008F1FA1" w:rsidP="00E15363">
      <w:pPr>
        <w:pStyle w:val="Heading2"/>
      </w:pPr>
      <w:bookmarkStart w:id="36" w:name="_Toc210730323"/>
      <w:r w:rsidRPr="005E2EF6">
        <w:t>Coherence</w:t>
      </w:r>
      <w:bookmarkEnd w:id="36"/>
    </w:p>
    <w:p w14:paraId="3FD92BEB" w14:textId="5FF174B9" w:rsidR="005D4BB0" w:rsidRPr="005E2EF6" w:rsidRDefault="00200D47" w:rsidP="00E54253">
      <w:pPr>
        <w:pStyle w:val="BodyText"/>
        <w:rPr>
          <w:b/>
          <w:bCs/>
        </w:rPr>
      </w:pPr>
      <w:r>
        <w:t xml:space="preserve">The coherence criterion was measured as </w:t>
      </w:r>
      <w:r w:rsidR="00F47651">
        <w:t xml:space="preserve">the compatibility of the INFF project with </w:t>
      </w:r>
      <w:r w:rsidR="005E53E5">
        <w:t xml:space="preserve">similar development interventions in the target countries, including at the </w:t>
      </w:r>
      <w:r w:rsidR="00011758">
        <w:t>sector-specific and institutional levels, as applicable.</w:t>
      </w:r>
      <w:r w:rsidR="005E2EF6">
        <w:t xml:space="preserve"> </w:t>
      </w:r>
      <w:r w:rsidR="005D4BB0" w:rsidRPr="006260C0">
        <w:t>Based on t</w:t>
      </w:r>
      <w:r w:rsidR="00011758" w:rsidRPr="006260C0">
        <w:t>he results of the evaluation</w:t>
      </w:r>
      <w:r w:rsidR="00011758" w:rsidRPr="00634C83">
        <w:rPr>
          <w:b/>
          <w:bCs/>
        </w:rPr>
        <w:t xml:space="preserve"> </w:t>
      </w:r>
      <w:r w:rsidR="005D4BB0" w:rsidRPr="00634C83">
        <w:rPr>
          <w:b/>
          <w:bCs/>
        </w:rPr>
        <w:t xml:space="preserve">there was strong evidence of </w:t>
      </w:r>
      <w:r w:rsidR="001F4E8D">
        <w:rPr>
          <w:b/>
          <w:bCs/>
        </w:rPr>
        <w:t xml:space="preserve">programmatic </w:t>
      </w:r>
      <w:r w:rsidR="005D4BB0" w:rsidRPr="00634C83">
        <w:rPr>
          <w:b/>
          <w:bCs/>
        </w:rPr>
        <w:t>coherence between the project and</w:t>
      </w:r>
      <w:r w:rsidR="005D4BB0" w:rsidRPr="005E2EF6">
        <w:rPr>
          <w:b/>
          <w:bCs/>
        </w:rPr>
        <w:t xml:space="preserve"> similar initiatives </w:t>
      </w:r>
      <w:r w:rsidR="00D71511">
        <w:rPr>
          <w:b/>
          <w:bCs/>
        </w:rPr>
        <w:t>on INFF development with</w:t>
      </w:r>
      <w:r w:rsidR="005D4BB0" w:rsidRPr="005E2EF6">
        <w:rPr>
          <w:b/>
          <w:bCs/>
        </w:rPr>
        <w:t xml:space="preserve">in the target countries. </w:t>
      </w:r>
      <w:r w:rsidR="004D0EDC">
        <w:rPr>
          <w:b/>
          <w:bCs/>
        </w:rPr>
        <w:t xml:space="preserve">There </w:t>
      </w:r>
      <w:r w:rsidR="00FF2091">
        <w:rPr>
          <w:b/>
          <w:bCs/>
        </w:rPr>
        <w:t>was</w:t>
      </w:r>
      <w:r w:rsidR="006C15C6">
        <w:rPr>
          <w:b/>
          <w:bCs/>
        </w:rPr>
        <w:t xml:space="preserve"> an </w:t>
      </w:r>
      <w:r w:rsidR="005313B5">
        <w:rPr>
          <w:b/>
          <w:bCs/>
        </w:rPr>
        <w:t>equivalent</w:t>
      </w:r>
      <w:r w:rsidR="006C15C6">
        <w:rPr>
          <w:b/>
          <w:bCs/>
        </w:rPr>
        <w:t xml:space="preserve"> </w:t>
      </w:r>
      <w:r w:rsidR="001F4E8D">
        <w:rPr>
          <w:b/>
          <w:bCs/>
        </w:rPr>
        <w:t xml:space="preserve">evidence of </w:t>
      </w:r>
      <w:r w:rsidR="006C15C6">
        <w:rPr>
          <w:b/>
          <w:bCs/>
        </w:rPr>
        <w:t xml:space="preserve">alignment between the project and the international development agenda, including the </w:t>
      </w:r>
      <w:r w:rsidR="003A2081">
        <w:rPr>
          <w:b/>
          <w:bCs/>
        </w:rPr>
        <w:t xml:space="preserve">FfD </w:t>
      </w:r>
      <w:r w:rsidR="006C15C6">
        <w:rPr>
          <w:b/>
          <w:bCs/>
        </w:rPr>
        <w:t>agenda</w:t>
      </w:r>
      <w:r w:rsidR="005313B5">
        <w:rPr>
          <w:b/>
          <w:bCs/>
        </w:rPr>
        <w:t xml:space="preserve">, as signified by the 2025 Sevilla Commitment. </w:t>
      </w:r>
      <w:r w:rsidR="001F4E8D">
        <w:rPr>
          <w:b/>
          <w:bCs/>
        </w:rPr>
        <w:t xml:space="preserve">In light of the commitment of individual target and non-project countries to the </w:t>
      </w:r>
      <w:r w:rsidR="001F4E8D" w:rsidRPr="005E2EF6">
        <w:rPr>
          <w:b/>
          <w:bCs/>
        </w:rPr>
        <w:t>2030 Agenda</w:t>
      </w:r>
      <w:r w:rsidR="001F4E8D">
        <w:rPr>
          <w:b/>
          <w:bCs/>
        </w:rPr>
        <w:t xml:space="preserve"> for Sustainable Development, project </w:t>
      </w:r>
      <w:r w:rsidR="001F4E8D" w:rsidRPr="00943F6A">
        <w:rPr>
          <w:b/>
          <w:bCs/>
        </w:rPr>
        <w:t>activities also contributed towards a conducive environment for knowledge-exchange and peer-learning</w:t>
      </w:r>
      <w:r w:rsidR="001F4E8D">
        <w:rPr>
          <w:b/>
          <w:bCs/>
        </w:rPr>
        <w:t xml:space="preserve"> on development financing. </w:t>
      </w:r>
      <w:r w:rsidR="005E2EF6" w:rsidRPr="005E2EF6">
        <w:rPr>
          <w:b/>
          <w:bCs/>
        </w:rPr>
        <w:t>Th</w:t>
      </w:r>
      <w:r w:rsidR="005A00D0">
        <w:rPr>
          <w:b/>
          <w:bCs/>
        </w:rPr>
        <w:t>ere was</w:t>
      </w:r>
      <w:r w:rsidR="00815EF7">
        <w:rPr>
          <w:b/>
          <w:bCs/>
        </w:rPr>
        <w:t xml:space="preserve"> </w:t>
      </w:r>
      <w:r w:rsidR="005A00D0">
        <w:rPr>
          <w:b/>
          <w:bCs/>
        </w:rPr>
        <w:t>some evidence of duplication</w:t>
      </w:r>
      <w:r w:rsidR="00815EF7">
        <w:rPr>
          <w:b/>
          <w:bCs/>
        </w:rPr>
        <w:t xml:space="preserve">, however, </w:t>
      </w:r>
      <w:r w:rsidR="00EB64C0">
        <w:rPr>
          <w:b/>
          <w:bCs/>
        </w:rPr>
        <w:t>between INFF project activities and project implementation under the Joint SDG Fund Programme.</w:t>
      </w:r>
    </w:p>
    <w:p w14:paraId="2F701EC7" w14:textId="0B830606" w:rsidR="00592FE6" w:rsidRDefault="002B6841" w:rsidP="00E54253">
      <w:pPr>
        <w:pStyle w:val="BodyText"/>
      </w:pPr>
      <w:r w:rsidRPr="003E3B67">
        <w:rPr>
          <w:b/>
          <w:bCs/>
        </w:rPr>
        <w:t xml:space="preserve">Finding </w:t>
      </w:r>
      <w:r w:rsidR="00D33534">
        <w:rPr>
          <w:b/>
          <w:bCs/>
        </w:rPr>
        <w:t>3</w:t>
      </w:r>
      <w:r w:rsidRPr="003E3B67">
        <w:rPr>
          <w:b/>
          <w:bCs/>
        </w:rPr>
        <w:t>:</w:t>
      </w:r>
      <w:r w:rsidR="003675AC">
        <w:t xml:space="preserve"> </w:t>
      </w:r>
      <w:r w:rsidR="00592FE6">
        <w:rPr>
          <w:szCs w:val="20"/>
        </w:rPr>
        <w:t xml:space="preserve">While the INFF project complemented parallel initiatives on INFF development </w:t>
      </w:r>
      <w:r w:rsidR="0063658A">
        <w:rPr>
          <w:szCs w:val="20"/>
        </w:rPr>
        <w:t xml:space="preserve">at </w:t>
      </w:r>
      <w:r w:rsidR="00592FE6">
        <w:rPr>
          <w:szCs w:val="20"/>
        </w:rPr>
        <w:t>the target countr</w:t>
      </w:r>
      <w:r w:rsidR="0063658A">
        <w:rPr>
          <w:szCs w:val="20"/>
        </w:rPr>
        <w:t>y level</w:t>
      </w:r>
      <w:r w:rsidR="00592FE6">
        <w:rPr>
          <w:szCs w:val="20"/>
        </w:rPr>
        <w:t>, there was some evidence of duplication with project</w:t>
      </w:r>
      <w:r w:rsidR="00C307A8">
        <w:rPr>
          <w:szCs w:val="20"/>
        </w:rPr>
        <w:t xml:space="preserve"> activities</w:t>
      </w:r>
      <w:r w:rsidR="00592FE6">
        <w:rPr>
          <w:szCs w:val="20"/>
        </w:rPr>
        <w:t xml:space="preserve"> that were implemented under the Joint SD</w:t>
      </w:r>
      <w:r w:rsidR="00C307A8">
        <w:rPr>
          <w:szCs w:val="20"/>
        </w:rPr>
        <w:t>G</w:t>
      </w:r>
      <w:r w:rsidR="00592FE6">
        <w:rPr>
          <w:szCs w:val="20"/>
        </w:rPr>
        <w:t xml:space="preserve"> Fund Programme</w:t>
      </w:r>
      <w:r w:rsidR="00C307A8">
        <w:rPr>
          <w:szCs w:val="20"/>
        </w:rPr>
        <w:t>.</w:t>
      </w:r>
    </w:p>
    <w:p w14:paraId="79D830A9" w14:textId="4A0A8963" w:rsidR="005B26AC" w:rsidRDefault="00B216BC" w:rsidP="001249D7">
      <w:pPr>
        <w:pStyle w:val="BodyText"/>
      </w:pPr>
      <w:r>
        <w:t>At the level of the target countries, p</w:t>
      </w:r>
      <w:r w:rsidR="00507A3D">
        <w:t>arallel project</w:t>
      </w:r>
      <w:r w:rsidR="00541D65">
        <w:t>s on INFF development</w:t>
      </w:r>
      <w:r w:rsidR="00324972">
        <w:t xml:space="preserve"> </w:t>
      </w:r>
      <w:r w:rsidR="00594E3F">
        <w:t>built on the outcomes of the 2019 High-level Dialogue on Financing for Development (HLDF)</w:t>
      </w:r>
      <w:r w:rsidR="00AF0AD7">
        <w:t>.</w:t>
      </w:r>
      <w:r w:rsidR="00594E3F">
        <w:rPr>
          <w:rStyle w:val="FootnoteReference"/>
        </w:rPr>
        <w:footnoteReference w:id="88"/>
      </w:r>
      <w:r w:rsidR="00594E3F">
        <w:t xml:space="preserve"> </w:t>
      </w:r>
      <w:r w:rsidR="00AF0AD7">
        <w:t>D</w:t>
      </w:r>
      <w:r w:rsidR="00594E3F">
        <w:t xml:space="preserve">uring </w:t>
      </w:r>
      <w:r w:rsidR="00581F05">
        <w:t xml:space="preserve">the 2019 HLPF, </w:t>
      </w:r>
      <w:r w:rsidR="00594E3F">
        <w:t xml:space="preserve">16 countries committed to pioneer the implementation of </w:t>
      </w:r>
      <w:r w:rsidR="000810BC">
        <w:t xml:space="preserve">the </w:t>
      </w:r>
      <w:r w:rsidR="00594E3F">
        <w:t>INFF methodology.</w:t>
      </w:r>
      <w:r w:rsidR="00A24713">
        <w:t xml:space="preserve"> </w:t>
      </w:r>
    </w:p>
    <w:p w14:paraId="7E7FDC94" w14:textId="77777777" w:rsidR="005B5E55" w:rsidRDefault="00591EA1" w:rsidP="009455A0">
      <w:pPr>
        <w:pStyle w:val="BodyText"/>
      </w:pPr>
      <w:r>
        <w:t>The parallel implementation of INFFs</w:t>
      </w:r>
      <w:r w:rsidR="00581F05">
        <w:t xml:space="preserve"> with</w:t>
      </w:r>
      <w:r w:rsidR="00442DAC">
        <w:t xml:space="preserve">in identified </w:t>
      </w:r>
      <w:r w:rsidR="001F3C3B">
        <w:t>target countr</w:t>
      </w:r>
      <w:r w:rsidR="00442DAC">
        <w:t>ies</w:t>
      </w:r>
      <w:r w:rsidR="001F3C3B">
        <w:t xml:space="preserve"> can be categorised under: i)</w:t>
      </w:r>
      <w:r w:rsidR="00FD6EB1" w:rsidRPr="00FD6EB1">
        <w:t xml:space="preserve"> </w:t>
      </w:r>
      <w:r w:rsidR="00A419FA">
        <w:t xml:space="preserve">donor funded </w:t>
      </w:r>
      <w:r w:rsidR="0057219E">
        <w:t xml:space="preserve">initiatives; ii) support to countries through the INFF facility; and iii) </w:t>
      </w:r>
      <w:r w:rsidR="00FD6EB1">
        <w:t>financial partnership with the Joint SDG Fun</w:t>
      </w:r>
      <w:r w:rsidR="00F34A60">
        <w:t>d (the Joint Programme)</w:t>
      </w:r>
      <w:r w:rsidR="00405C2D">
        <w:t xml:space="preserve">. </w:t>
      </w:r>
      <w:r w:rsidR="00AC3C7F">
        <w:t>Project e</w:t>
      </w:r>
      <w:r w:rsidR="004E5104">
        <w:t xml:space="preserve">xamples from each of these </w:t>
      </w:r>
      <w:r w:rsidR="00F35330">
        <w:t>categories are identified in the sub-sections that follow.</w:t>
      </w:r>
      <w:r w:rsidR="009455A0">
        <w:t xml:space="preserve"> </w:t>
      </w:r>
    </w:p>
    <w:p w14:paraId="35F6DEE7" w14:textId="23D35C12" w:rsidR="00AC3C7F" w:rsidRDefault="00AC3C7F" w:rsidP="009455A0">
      <w:pPr>
        <w:pStyle w:val="BodyText"/>
      </w:pPr>
      <w:r>
        <w:br w:type="page"/>
      </w:r>
    </w:p>
    <w:p w14:paraId="0DB037C6" w14:textId="58208C26" w:rsidR="001249D7" w:rsidRPr="00BA46C9" w:rsidRDefault="00BD700D" w:rsidP="00E54253">
      <w:pPr>
        <w:pStyle w:val="BodyText"/>
        <w:rPr>
          <w:i/>
          <w:iCs/>
        </w:rPr>
      </w:pPr>
      <w:r w:rsidRPr="00BA46C9">
        <w:rPr>
          <w:i/>
          <w:iCs/>
        </w:rPr>
        <w:lastRenderedPageBreak/>
        <w:t xml:space="preserve">Donor-funded </w:t>
      </w:r>
      <w:r w:rsidR="004E5104" w:rsidRPr="00BA46C9">
        <w:rPr>
          <w:i/>
          <w:iCs/>
        </w:rPr>
        <w:t>initiatives</w:t>
      </w:r>
      <w:r w:rsidR="003E2D02" w:rsidRPr="00BA46C9">
        <w:rPr>
          <w:i/>
          <w:iCs/>
        </w:rPr>
        <w:t>:</w:t>
      </w:r>
      <w:r w:rsidR="004E5104" w:rsidRPr="00BA46C9">
        <w:rPr>
          <w:i/>
          <w:iCs/>
        </w:rPr>
        <w:t xml:space="preserve"> </w:t>
      </w:r>
    </w:p>
    <w:p w14:paraId="120E0AD3" w14:textId="0614212A" w:rsidR="00233248" w:rsidRPr="00503EF6" w:rsidRDefault="00F35330" w:rsidP="00E54253">
      <w:pPr>
        <w:pStyle w:val="BodyText"/>
      </w:pPr>
      <w:hyperlink r:id="rId29" w:history="1">
        <w:r w:rsidRPr="00775519">
          <w:rPr>
            <w:rStyle w:val="Hyperlink"/>
            <w:i/>
            <w:iCs/>
          </w:rPr>
          <w:t>Support to INFFs in Small-island Developing States</w:t>
        </w:r>
        <w:r w:rsidR="000E7EA8" w:rsidRPr="00775519">
          <w:rPr>
            <w:rStyle w:val="Hyperlink"/>
            <w:i/>
            <w:iCs/>
          </w:rPr>
          <w:t>, 2022-2024</w:t>
        </w:r>
      </w:hyperlink>
      <w:r w:rsidR="00503EF6" w:rsidRPr="00503EF6">
        <w:t xml:space="preserve"> </w:t>
      </w:r>
      <w:r w:rsidRPr="00503EF6">
        <w:t>(the FINS project)</w:t>
      </w:r>
      <w:r w:rsidR="00503EF6">
        <w:rPr>
          <w:i/>
          <w:iCs/>
        </w:rPr>
        <w:t xml:space="preserve"> </w:t>
      </w:r>
      <w:r w:rsidR="00503EF6">
        <w:t>is a</w:t>
      </w:r>
      <w:r>
        <w:t xml:space="preserve"> parallel initiative that</w:t>
      </w:r>
      <w:r w:rsidR="00503EF6">
        <w:t xml:space="preserve"> </w:t>
      </w:r>
      <w:r w:rsidR="00B353B4">
        <w:t>has been managed by</w:t>
      </w:r>
      <w:r w:rsidR="003B6AA5">
        <w:t xml:space="preserve"> UNDESA</w:t>
      </w:r>
      <w:r w:rsidR="00014865">
        <w:t>-FSDO</w:t>
      </w:r>
      <w:r w:rsidR="00705F4E">
        <w:t>,</w:t>
      </w:r>
      <w:r w:rsidR="006B192C">
        <w:t xml:space="preserve"> with funding from the Government of Italy</w:t>
      </w:r>
      <w:r w:rsidR="007C2BBE">
        <w:t>.</w:t>
      </w:r>
      <w:r w:rsidR="00106233">
        <w:rPr>
          <w:rStyle w:val="FootnoteReference"/>
        </w:rPr>
        <w:footnoteReference w:id="89"/>
      </w:r>
      <w:r w:rsidR="007C2BBE">
        <w:t xml:space="preserve"> </w:t>
      </w:r>
      <w:r w:rsidR="00B810B5">
        <w:t>Th</w:t>
      </w:r>
      <w:r w:rsidR="00710EBC">
        <w:t xml:space="preserve">e FINS </w:t>
      </w:r>
      <w:r w:rsidR="00C07EED">
        <w:t xml:space="preserve">project </w:t>
      </w:r>
      <w:r w:rsidR="00B810B5">
        <w:t xml:space="preserve">has </w:t>
      </w:r>
      <w:r w:rsidR="000E7EA8">
        <w:t>b</w:t>
      </w:r>
      <w:r w:rsidR="00B810B5">
        <w:t xml:space="preserve">uilt on the momentum of the </w:t>
      </w:r>
      <w:r w:rsidR="00C9332B">
        <w:t xml:space="preserve">INFF project, </w:t>
      </w:r>
      <w:r w:rsidR="000E7EA8">
        <w:t xml:space="preserve">to address </w:t>
      </w:r>
      <w:r w:rsidR="00C9332B">
        <w:t xml:space="preserve">the identified need for </w:t>
      </w:r>
      <w:r w:rsidR="007C4FEA">
        <w:t xml:space="preserve">national capacity </w:t>
      </w:r>
      <w:r w:rsidR="00DD3329">
        <w:t>strengthen</w:t>
      </w:r>
      <w:r w:rsidR="007C4FEA">
        <w:t>ing</w:t>
      </w:r>
      <w:r w:rsidR="00DD3329">
        <w:t xml:space="preserve"> </w:t>
      </w:r>
      <w:r w:rsidR="00C9332B">
        <w:t xml:space="preserve">to facilitate the INFF methodology. </w:t>
      </w:r>
      <w:r w:rsidR="00FC1E9B">
        <w:t xml:space="preserve">It </w:t>
      </w:r>
      <w:r w:rsidR="007745CA">
        <w:t xml:space="preserve">has </w:t>
      </w:r>
      <w:r w:rsidR="00FC1E9B">
        <w:t>involve</w:t>
      </w:r>
      <w:r w:rsidR="007745CA">
        <w:t>d</w:t>
      </w:r>
      <w:r w:rsidR="00FC1E9B">
        <w:t xml:space="preserve"> </w:t>
      </w:r>
      <w:r w:rsidR="00A90C60">
        <w:t xml:space="preserve">providing </w:t>
      </w:r>
      <w:r w:rsidR="00E20A56">
        <w:t xml:space="preserve">technical assistance to SIDS for the development and implementation of </w:t>
      </w:r>
      <w:r w:rsidR="00A31B33">
        <w:t>INFFs</w:t>
      </w:r>
      <w:r w:rsidR="00CA18DA">
        <w:t>,</w:t>
      </w:r>
      <w:r w:rsidR="00A31B33">
        <w:t xml:space="preserve"> by assigning an </w:t>
      </w:r>
      <w:r w:rsidR="00A90C60">
        <w:t>embedded consultant</w:t>
      </w:r>
      <w:r w:rsidR="00A31B33">
        <w:t xml:space="preserve"> </w:t>
      </w:r>
      <w:r w:rsidR="00642534">
        <w:t>to a</w:t>
      </w:r>
      <w:r w:rsidR="00FB3E52">
        <w:t xml:space="preserve"> counterpart</w:t>
      </w:r>
      <w:r w:rsidR="00546085">
        <w:t>/ participating</w:t>
      </w:r>
      <w:r w:rsidR="00FB3E52">
        <w:t xml:space="preserve"> government ministry.</w:t>
      </w:r>
      <w:r w:rsidR="00EB352C">
        <w:t xml:space="preserve"> A</w:t>
      </w:r>
      <w:r w:rsidR="00F53194">
        <w:t>s of March 2025,</w:t>
      </w:r>
      <w:r w:rsidR="00BD40FC">
        <w:rPr>
          <w:rStyle w:val="FootnoteReference"/>
        </w:rPr>
        <w:footnoteReference w:id="90"/>
      </w:r>
      <w:r w:rsidR="00F53194">
        <w:t xml:space="preserve"> </w:t>
      </w:r>
      <w:r w:rsidR="003D0414">
        <w:t>an embedded consultant ha</w:t>
      </w:r>
      <w:r w:rsidR="002212BC">
        <w:t>s</w:t>
      </w:r>
      <w:r w:rsidR="003D0414">
        <w:t xml:space="preserve"> been assigned to </w:t>
      </w:r>
      <w:r w:rsidR="001F0AE9">
        <w:t xml:space="preserve">a government department in </w:t>
      </w:r>
      <w:r w:rsidR="00CD5502">
        <w:t>one target country</w:t>
      </w:r>
      <w:r w:rsidR="001F0AE9">
        <w:t xml:space="preserve">, </w:t>
      </w:r>
      <w:r w:rsidR="003D0414">
        <w:t xml:space="preserve">the </w:t>
      </w:r>
      <w:r w:rsidR="00B02BEE" w:rsidRPr="00AE7299">
        <w:rPr>
          <w:rFonts w:cs="Arial"/>
        </w:rPr>
        <w:t>Sustainable Development Department</w:t>
      </w:r>
      <w:r w:rsidR="00B02BEE">
        <w:rPr>
          <w:rFonts w:cs="Arial"/>
        </w:rPr>
        <w:t xml:space="preserve"> of the</w:t>
      </w:r>
      <w:r w:rsidR="00B02BEE" w:rsidRPr="00AE7299">
        <w:rPr>
          <w:rFonts w:cs="Arial"/>
        </w:rPr>
        <w:t xml:space="preserve"> </w:t>
      </w:r>
      <w:r w:rsidR="0075504B" w:rsidRPr="00AE7299">
        <w:rPr>
          <w:rFonts w:cs="Arial"/>
        </w:rPr>
        <w:t>Ministry of Economics, Planning and Development</w:t>
      </w:r>
      <w:r w:rsidR="0075504B">
        <w:rPr>
          <w:rFonts w:cs="Arial"/>
        </w:rPr>
        <w:t xml:space="preserve"> in the</w:t>
      </w:r>
      <w:r w:rsidR="0075504B" w:rsidRPr="00AE7299">
        <w:rPr>
          <w:rFonts w:cs="Arial"/>
        </w:rPr>
        <w:t xml:space="preserve"> Dominican Republic</w:t>
      </w:r>
      <w:r w:rsidR="0075504B">
        <w:rPr>
          <w:rFonts w:cs="Arial"/>
        </w:rPr>
        <w:t>.</w:t>
      </w:r>
      <w:r w:rsidR="006352CB">
        <w:rPr>
          <w:rFonts w:cs="Arial"/>
        </w:rPr>
        <w:t xml:space="preserve"> </w:t>
      </w:r>
    </w:p>
    <w:p w14:paraId="6D28C958" w14:textId="49543429" w:rsidR="0001737A" w:rsidRDefault="00C2022D" w:rsidP="0001737A">
      <w:pPr>
        <w:pStyle w:val="BodyText"/>
        <w:rPr>
          <w:rFonts w:cs="Arial"/>
        </w:rPr>
      </w:pPr>
      <w:r>
        <w:rPr>
          <w:rFonts w:cs="Arial"/>
        </w:rPr>
        <w:t xml:space="preserve">Technical assistance </w:t>
      </w:r>
      <w:r w:rsidR="0023076B">
        <w:rPr>
          <w:rFonts w:cs="Arial"/>
        </w:rPr>
        <w:t>t</w:t>
      </w:r>
      <w:r w:rsidR="00C34418">
        <w:rPr>
          <w:rFonts w:cs="Arial"/>
        </w:rPr>
        <w:t xml:space="preserve">o the Dominican Republic </w:t>
      </w:r>
      <w:r w:rsidR="006E2566">
        <w:rPr>
          <w:rFonts w:cs="Arial"/>
        </w:rPr>
        <w:t>under</w:t>
      </w:r>
      <w:r w:rsidR="006352CB">
        <w:rPr>
          <w:rFonts w:cs="Arial"/>
        </w:rPr>
        <w:t xml:space="preserve"> the </w:t>
      </w:r>
      <w:r w:rsidR="008C3669">
        <w:rPr>
          <w:rFonts w:cs="Arial"/>
        </w:rPr>
        <w:t>FINS</w:t>
      </w:r>
      <w:r w:rsidR="00335E94">
        <w:rPr>
          <w:rFonts w:cs="Arial"/>
        </w:rPr>
        <w:t xml:space="preserve"> project</w:t>
      </w:r>
      <w:r w:rsidR="009F2554">
        <w:rPr>
          <w:rFonts w:cs="Arial"/>
        </w:rPr>
        <w:t xml:space="preserve"> </w:t>
      </w:r>
      <w:r w:rsidR="003E0676">
        <w:rPr>
          <w:rFonts w:cs="Arial"/>
        </w:rPr>
        <w:t>has been c</w:t>
      </w:r>
      <w:r w:rsidR="002B04FF">
        <w:rPr>
          <w:rFonts w:cs="Arial"/>
        </w:rPr>
        <w:t>omplementary to</w:t>
      </w:r>
      <w:r w:rsidR="009A18F0">
        <w:rPr>
          <w:rFonts w:cs="Arial"/>
        </w:rPr>
        <w:t>,</w:t>
      </w:r>
      <w:r w:rsidR="00A01B9B">
        <w:rPr>
          <w:rFonts w:cs="Arial"/>
        </w:rPr>
        <w:t xml:space="preserve"> </w:t>
      </w:r>
      <w:r w:rsidR="009A18F0">
        <w:rPr>
          <w:rFonts w:cs="Arial"/>
        </w:rPr>
        <w:t xml:space="preserve">but distinct from, </w:t>
      </w:r>
      <w:r w:rsidR="00390CE5">
        <w:rPr>
          <w:rFonts w:cs="Arial"/>
        </w:rPr>
        <w:t xml:space="preserve">the support that was provided to target </w:t>
      </w:r>
      <w:r>
        <w:rPr>
          <w:rFonts w:cs="Arial"/>
        </w:rPr>
        <w:t>countries</w:t>
      </w:r>
      <w:r w:rsidR="00197AC5">
        <w:rPr>
          <w:rFonts w:cs="Arial"/>
        </w:rPr>
        <w:t xml:space="preserve"> under the INFF projec</w:t>
      </w:r>
      <w:r w:rsidR="008F5F42">
        <w:rPr>
          <w:rFonts w:cs="Arial"/>
        </w:rPr>
        <w:t>t.</w:t>
      </w:r>
      <w:r w:rsidR="003E0676">
        <w:rPr>
          <w:rFonts w:cs="Arial"/>
        </w:rPr>
        <w:t xml:space="preserve"> </w:t>
      </w:r>
      <w:r w:rsidR="00A27AEB">
        <w:rPr>
          <w:rFonts w:cs="Arial"/>
        </w:rPr>
        <w:t xml:space="preserve">While there </w:t>
      </w:r>
      <w:r w:rsidR="008F5F42">
        <w:rPr>
          <w:rFonts w:cs="Arial"/>
        </w:rPr>
        <w:t xml:space="preserve">have been </w:t>
      </w:r>
      <w:r w:rsidR="00A27AEB">
        <w:rPr>
          <w:rFonts w:cs="Arial"/>
        </w:rPr>
        <w:t>elements o</w:t>
      </w:r>
      <w:r w:rsidR="00C55B0A">
        <w:rPr>
          <w:rFonts w:cs="Arial"/>
        </w:rPr>
        <w:t>f commonality with the INFF project</w:t>
      </w:r>
      <w:r w:rsidR="00627595">
        <w:rPr>
          <w:rFonts w:cs="Arial"/>
        </w:rPr>
        <w:t xml:space="preserve">, the FINS project </w:t>
      </w:r>
      <w:r w:rsidR="00A80206">
        <w:rPr>
          <w:rFonts w:cs="Arial"/>
        </w:rPr>
        <w:t xml:space="preserve">has </w:t>
      </w:r>
      <w:r w:rsidR="00627595">
        <w:rPr>
          <w:rFonts w:cs="Arial"/>
        </w:rPr>
        <w:t>centre</w:t>
      </w:r>
      <w:r w:rsidR="00A80206">
        <w:rPr>
          <w:rFonts w:cs="Arial"/>
        </w:rPr>
        <w:t>d</w:t>
      </w:r>
      <w:r w:rsidR="00627595">
        <w:rPr>
          <w:rFonts w:cs="Arial"/>
        </w:rPr>
        <w:t xml:space="preserve"> on contextual INFF implementation. </w:t>
      </w:r>
      <w:r w:rsidR="00481E9C">
        <w:rPr>
          <w:rFonts w:cs="Arial"/>
        </w:rPr>
        <w:t xml:space="preserve">It </w:t>
      </w:r>
      <w:r w:rsidR="00A80206">
        <w:rPr>
          <w:rFonts w:cs="Arial"/>
        </w:rPr>
        <w:t xml:space="preserve">has </w:t>
      </w:r>
      <w:r w:rsidR="00240A91">
        <w:rPr>
          <w:rFonts w:cs="Arial"/>
        </w:rPr>
        <w:t>provide</w:t>
      </w:r>
      <w:r w:rsidR="00A80206">
        <w:rPr>
          <w:rFonts w:cs="Arial"/>
        </w:rPr>
        <w:t>d</w:t>
      </w:r>
      <w:r w:rsidR="00240A91">
        <w:rPr>
          <w:rFonts w:cs="Arial"/>
        </w:rPr>
        <w:t xml:space="preserve"> targeted support for sustainable development and SDG financing in small-island developing States (SIDS) and includes tailored mentoring and training. Although </w:t>
      </w:r>
      <w:r w:rsidR="003525C1">
        <w:rPr>
          <w:rFonts w:cs="Arial"/>
        </w:rPr>
        <w:t xml:space="preserve">its </w:t>
      </w:r>
      <w:r w:rsidR="00240A91">
        <w:rPr>
          <w:rFonts w:cs="Arial"/>
        </w:rPr>
        <w:t>training</w:t>
      </w:r>
      <w:r w:rsidR="00A80206">
        <w:rPr>
          <w:rFonts w:cs="Arial"/>
        </w:rPr>
        <w:t xml:space="preserve"> </w:t>
      </w:r>
      <w:r w:rsidR="003525C1">
        <w:rPr>
          <w:rFonts w:cs="Arial"/>
        </w:rPr>
        <w:t xml:space="preserve">component </w:t>
      </w:r>
      <w:r w:rsidR="00A80206">
        <w:rPr>
          <w:rFonts w:cs="Arial"/>
        </w:rPr>
        <w:t>has been</w:t>
      </w:r>
      <w:r w:rsidR="00240A91">
        <w:rPr>
          <w:rFonts w:cs="Arial"/>
        </w:rPr>
        <w:t xml:space="preserve"> provided at the global level, </w:t>
      </w:r>
      <w:r w:rsidR="00F14671">
        <w:rPr>
          <w:rFonts w:cs="Arial"/>
        </w:rPr>
        <w:t xml:space="preserve">the project </w:t>
      </w:r>
      <w:r w:rsidR="00A80206">
        <w:rPr>
          <w:rFonts w:cs="Arial"/>
        </w:rPr>
        <w:t>has b</w:t>
      </w:r>
      <w:r w:rsidR="00240A91">
        <w:rPr>
          <w:rFonts w:cs="Arial"/>
        </w:rPr>
        <w:t xml:space="preserve">een designed to address the specific needs of </w:t>
      </w:r>
      <w:r w:rsidR="00F14671">
        <w:rPr>
          <w:rFonts w:cs="Arial"/>
        </w:rPr>
        <w:t xml:space="preserve">individual </w:t>
      </w:r>
      <w:r w:rsidR="00240A91">
        <w:rPr>
          <w:rFonts w:cs="Arial"/>
        </w:rPr>
        <w:t>SIDS.</w:t>
      </w:r>
      <w:r w:rsidR="00240A91">
        <w:rPr>
          <w:rStyle w:val="FootnoteReference"/>
          <w:rFonts w:cs="Arial"/>
        </w:rPr>
        <w:footnoteReference w:id="91"/>
      </w:r>
      <w:r w:rsidR="00471109">
        <w:rPr>
          <w:rFonts w:cs="Arial"/>
        </w:rPr>
        <w:t xml:space="preserve"> </w:t>
      </w:r>
    </w:p>
    <w:p w14:paraId="2452339A" w14:textId="26F7EA1F" w:rsidR="00E84CA9" w:rsidRDefault="00A80206" w:rsidP="00E54253">
      <w:pPr>
        <w:pStyle w:val="BodyText"/>
        <w:rPr>
          <w:rFonts w:cs="Arial"/>
        </w:rPr>
      </w:pPr>
      <w:r>
        <w:rPr>
          <w:rFonts w:cs="Arial"/>
        </w:rPr>
        <w:t>In contra</w:t>
      </w:r>
      <w:r w:rsidR="00CC555F">
        <w:rPr>
          <w:rFonts w:cs="Arial"/>
        </w:rPr>
        <w:t xml:space="preserve">st, </w:t>
      </w:r>
      <w:r w:rsidR="00AD5E81">
        <w:rPr>
          <w:rFonts w:cs="Arial"/>
        </w:rPr>
        <w:t xml:space="preserve">the </w:t>
      </w:r>
      <w:r w:rsidR="00342C3B">
        <w:rPr>
          <w:rFonts w:cs="Arial"/>
        </w:rPr>
        <w:t>INFF project</w:t>
      </w:r>
      <w:r w:rsidR="00CC555F">
        <w:rPr>
          <w:rFonts w:cs="Arial"/>
        </w:rPr>
        <w:t xml:space="preserve"> </w:t>
      </w:r>
      <w:r w:rsidR="00F14671">
        <w:rPr>
          <w:rFonts w:cs="Arial"/>
        </w:rPr>
        <w:t xml:space="preserve">provided general support </w:t>
      </w:r>
      <w:r w:rsidR="00AF3DAD">
        <w:rPr>
          <w:rFonts w:cs="Arial"/>
        </w:rPr>
        <w:t xml:space="preserve">on INFF development to </w:t>
      </w:r>
      <w:r w:rsidR="00F07876">
        <w:rPr>
          <w:rFonts w:cs="Arial"/>
        </w:rPr>
        <w:t>target countries</w:t>
      </w:r>
      <w:r w:rsidR="006749C1">
        <w:rPr>
          <w:rFonts w:cs="Arial"/>
        </w:rPr>
        <w:t xml:space="preserve">, in the form of </w:t>
      </w:r>
      <w:r w:rsidR="005D7777">
        <w:rPr>
          <w:rFonts w:cs="Arial"/>
        </w:rPr>
        <w:t>capacity-building</w:t>
      </w:r>
      <w:r w:rsidR="00DC6448">
        <w:rPr>
          <w:rFonts w:cs="Arial"/>
        </w:rPr>
        <w:t xml:space="preserve">; </w:t>
      </w:r>
      <w:r w:rsidR="005D7777">
        <w:rPr>
          <w:rFonts w:cs="Arial"/>
        </w:rPr>
        <w:t>trainings</w:t>
      </w:r>
      <w:r w:rsidR="007D7236">
        <w:rPr>
          <w:rFonts w:cs="Arial"/>
        </w:rPr>
        <w:t xml:space="preserve">; </w:t>
      </w:r>
      <w:r w:rsidR="006321A6">
        <w:rPr>
          <w:rFonts w:cs="Arial"/>
        </w:rPr>
        <w:t>knowledge-exchange</w:t>
      </w:r>
      <w:r w:rsidR="00E71E13">
        <w:rPr>
          <w:rFonts w:cs="Arial"/>
        </w:rPr>
        <w:t>;</w:t>
      </w:r>
      <w:r w:rsidR="007D7236">
        <w:rPr>
          <w:rFonts w:cs="Arial"/>
        </w:rPr>
        <w:t xml:space="preserve"> and </w:t>
      </w:r>
      <w:r w:rsidR="006321A6">
        <w:rPr>
          <w:rFonts w:cs="Arial"/>
        </w:rPr>
        <w:t>peer-learning</w:t>
      </w:r>
      <w:r w:rsidR="006A6C08">
        <w:rPr>
          <w:rFonts w:cs="Arial"/>
        </w:rPr>
        <w:t>.</w:t>
      </w:r>
      <w:r w:rsidR="00CB63CB">
        <w:rPr>
          <w:rFonts w:cs="Arial"/>
        </w:rPr>
        <w:t xml:space="preserve"> </w:t>
      </w:r>
      <w:r w:rsidR="007D7236">
        <w:rPr>
          <w:rFonts w:cs="Arial"/>
        </w:rPr>
        <w:t>As an example, t</w:t>
      </w:r>
      <w:r w:rsidR="00CB63CB">
        <w:rPr>
          <w:rFonts w:cs="Arial"/>
        </w:rPr>
        <w:t xml:space="preserve">he global guidance documents that were developed </w:t>
      </w:r>
      <w:r w:rsidR="0076637F">
        <w:rPr>
          <w:rFonts w:cs="Arial"/>
        </w:rPr>
        <w:t xml:space="preserve">for </w:t>
      </w:r>
      <w:r w:rsidR="00CB63CB">
        <w:rPr>
          <w:rFonts w:cs="Arial"/>
        </w:rPr>
        <w:t>the INFF project w</w:t>
      </w:r>
      <w:r w:rsidR="004C743E">
        <w:rPr>
          <w:rFonts w:cs="Arial"/>
        </w:rPr>
        <w:t>ere</w:t>
      </w:r>
      <w:r w:rsidR="00CB63CB">
        <w:rPr>
          <w:rFonts w:cs="Arial"/>
        </w:rPr>
        <w:t xml:space="preserve"> generalisable across countries and did not accommodate contextual application.</w:t>
      </w:r>
      <w:r w:rsidR="00CB63CB">
        <w:rPr>
          <w:rStyle w:val="FootnoteReference"/>
          <w:rFonts w:cs="Arial"/>
        </w:rPr>
        <w:footnoteReference w:id="92"/>
      </w:r>
      <w:r w:rsidR="004C743E">
        <w:rPr>
          <w:rFonts w:cs="Arial"/>
        </w:rPr>
        <w:t xml:space="preserve"> </w:t>
      </w:r>
      <w:r w:rsidR="00A0049D">
        <w:rPr>
          <w:rFonts w:cs="Arial"/>
        </w:rPr>
        <w:t xml:space="preserve">In response to requests from individual </w:t>
      </w:r>
      <w:r w:rsidR="00976F7C">
        <w:rPr>
          <w:rFonts w:cs="Arial"/>
        </w:rPr>
        <w:t>countries</w:t>
      </w:r>
      <w:r w:rsidR="004C743E">
        <w:rPr>
          <w:rFonts w:cs="Arial"/>
        </w:rPr>
        <w:t xml:space="preserve">, </w:t>
      </w:r>
      <w:r w:rsidR="00335677">
        <w:rPr>
          <w:rFonts w:cs="Arial"/>
        </w:rPr>
        <w:t xml:space="preserve">however, </w:t>
      </w:r>
      <w:r w:rsidR="00976F7C">
        <w:rPr>
          <w:rFonts w:cs="Arial"/>
        </w:rPr>
        <w:t xml:space="preserve">the project addressed </w:t>
      </w:r>
      <w:r w:rsidR="00756DBF">
        <w:rPr>
          <w:rFonts w:cs="Arial"/>
        </w:rPr>
        <w:t>issues that were of</w:t>
      </w:r>
      <w:r w:rsidR="005F7351">
        <w:rPr>
          <w:rFonts w:cs="Arial"/>
        </w:rPr>
        <w:t xml:space="preserve"> contextual</w:t>
      </w:r>
      <w:r w:rsidR="00756DBF">
        <w:rPr>
          <w:rFonts w:cs="Arial"/>
        </w:rPr>
        <w:t xml:space="preserve"> relevance to </w:t>
      </w:r>
      <w:r w:rsidR="00634030">
        <w:rPr>
          <w:rFonts w:cs="Arial"/>
        </w:rPr>
        <w:t>each country</w:t>
      </w:r>
      <w:r w:rsidR="005F7351">
        <w:rPr>
          <w:rFonts w:cs="Arial"/>
        </w:rPr>
        <w:t xml:space="preserve"> (e.g. </w:t>
      </w:r>
      <w:r w:rsidR="005F22A4">
        <w:rPr>
          <w:rFonts w:cs="Arial"/>
        </w:rPr>
        <w:t>the digi</w:t>
      </w:r>
      <w:r w:rsidR="00395DBC">
        <w:rPr>
          <w:rFonts w:cs="Arial"/>
        </w:rPr>
        <w:t xml:space="preserve">talisation of tax administration within the </w:t>
      </w:r>
      <w:r w:rsidR="00384B53">
        <w:rPr>
          <w:rFonts w:cs="Arial"/>
        </w:rPr>
        <w:t xml:space="preserve">Pakistan </w:t>
      </w:r>
      <w:r w:rsidR="00395DBC">
        <w:rPr>
          <w:rFonts w:cs="Arial"/>
        </w:rPr>
        <w:t xml:space="preserve">Federal </w:t>
      </w:r>
      <w:r w:rsidR="00384B53">
        <w:rPr>
          <w:rFonts w:cs="Arial"/>
        </w:rPr>
        <w:t>Board of Revenue</w:t>
      </w:r>
      <w:r w:rsidR="009A264E">
        <w:rPr>
          <w:rFonts w:cs="Arial"/>
        </w:rPr>
        <w:t>, based on a request for technical assistance in this area</w:t>
      </w:r>
      <w:r w:rsidR="00384B53">
        <w:rPr>
          <w:rFonts w:cs="Arial"/>
        </w:rPr>
        <w:t>)</w:t>
      </w:r>
      <w:r w:rsidR="00441304">
        <w:rPr>
          <w:rFonts w:cs="Arial"/>
        </w:rPr>
        <w:t>.</w:t>
      </w:r>
      <w:r w:rsidR="00634030">
        <w:rPr>
          <w:rFonts w:cs="Arial"/>
        </w:rPr>
        <w:t xml:space="preserve"> </w:t>
      </w:r>
      <w:r w:rsidR="00481A5A">
        <w:rPr>
          <w:rFonts w:cs="Arial"/>
        </w:rPr>
        <w:t xml:space="preserve">While </w:t>
      </w:r>
      <w:r w:rsidR="00C36E39">
        <w:rPr>
          <w:rFonts w:cs="Arial"/>
        </w:rPr>
        <w:t>t</w:t>
      </w:r>
      <w:r w:rsidR="00CB2B8E">
        <w:rPr>
          <w:rFonts w:cs="Arial"/>
        </w:rPr>
        <w:t xml:space="preserve">his allowed </w:t>
      </w:r>
      <w:r w:rsidR="00441304">
        <w:rPr>
          <w:rFonts w:cs="Arial"/>
        </w:rPr>
        <w:t xml:space="preserve">the project to support </w:t>
      </w:r>
      <w:r w:rsidR="00CB2B8E">
        <w:rPr>
          <w:rFonts w:cs="Arial"/>
        </w:rPr>
        <w:t>the development of knowledge products</w:t>
      </w:r>
      <w:r w:rsidR="00E0744C">
        <w:rPr>
          <w:rFonts w:cs="Arial"/>
        </w:rPr>
        <w:t xml:space="preserve"> on these </w:t>
      </w:r>
      <w:r w:rsidR="00E0744C">
        <w:rPr>
          <w:rFonts w:cs="Arial"/>
        </w:rPr>
        <w:t>issues</w:t>
      </w:r>
      <w:r w:rsidR="00C36E39">
        <w:rPr>
          <w:rFonts w:cs="Arial"/>
        </w:rPr>
        <w:t xml:space="preserve">, </w:t>
      </w:r>
      <w:r w:rsidR="004675AD">
        <w:rPr>
          <w:rFonts w:cs="Arial"/>
        </w:rPr>
        <w:t xml:space="preserve">it did not facilitate </w:t>
      </w:r>
      <w:r w:rsidR="00C703E3">
        <w:rPr>
          <w:rFonts w:cs="Arial"/>
        </w:rPr>
        <w:t xml:space="preserve">specific </w:t>
      </w:r>
      <w:r w:rsidR="00E84CA9">
        <w:rPr>
          <w:rFonts w:cs="Arial"/>
        </w:rPr>
        <w:t xml:space="preserve">contextual </w:t>
      </w:r>
      <w:r w:rsidR="00A5369F">
        <w:rPr>
          <w:rFonts w:cs="Arial"/>
        </w:rPr>
        <w:t xml:space="preserve">guidance </w:t>
      </w:r>
      <w:r w:rsidR="00E84CA9">
        <w:rPr>
          <w:rFonts w:cs="Arial"/>
        </w:rPr>
        <w:t xml:space="preserve">for </w:t>
      </w:r>
      <w:r w:rsidR="0074566F">
        <w:rPr>
          <w:rFonts w:cs="Arial"/>
        </w:rPr>
        <w:t xml:space="preserve">INFF </w:t>
      </w:r>
      <w:r w:rsidR="00E84CA9">
        <w:rPr>
          <w:rFonts w:cs="Arial"/>
        </w:rPr>
        <w:t>design and implement</w:t>
      </w:r>
      <w:r w:rsidR="0074566F">
        <w:rPr>
          <w:rFonts w:cs="Arial"/>
        </w:rPr>
        <w:t>ation</w:t>
      </w:r>
      <w:r w:rsidR="00E84CA9">
        <w:rPr>
          <w:rFonts w:cs="Arial"/>
        </w:rPr>
        <w:t xml:space="preserve">. </w:t>
      </w:r>
    </w:p>
    <w:p w14:paraId="6852261A" w14:textId="6B12EDAB" w:rsidR="00A62E12" w:rsidRDefault="00124884" w:rsidP="00E54253">
      <w:pPr>
        <w:pStyle w:val="BodyText"/>
        <w:rPr>
          <w:rFonts w:cs="Arial"/>
        </w:rPr>
      </w:pPr>
      <w:r>
        <w:rPr>
          <w:rFonts w:cs="Arial"/>
        </w:rPr>
        <w:t xml:space="preserve">A common element of </w:t>
      </w:r>
      <w:r w:rsidR="00C733ED">
        <w:rPr>
          <w:rFonts w:cs="Arial"/>
        </w:rPr>
        <w:t xml:space="preserve">the INFF and FINS </w:t>
      </w:r>
      <w:r>
        <w:rPr>
          <w:rFonts w:cs="Arial"/>
        </w:rPr>
        <w:t>projects, however, has been the use of</w:t>
      </w:r>
      <w:r w:rsidR="00A23466">
        <w:rPr>
          <w:rFonts w:cs="Arial"/>
        </w:rPr>
        <w:t xml:space="preserve"> </w:t>
      </w:r>
      <w:r w:rsidR="00590E60">
        <w:rPr>
          <w:rFonts w:cs="Arial"/>
        </w:rPr>
        <w:t>knowledge</w:t>
      </w:r>
      <w:r w:rsidR="00C703E3">
        <w:rPr>
          <w:rFonts w:cs="Arial"/>
        </w:rPr>
        <w:t>-</w:t>
      </w:r>
      <w:r w:rsidR="00930E5F">
        <w:rPr>
          <w:rFonts w:cs="Arial"/>
        </w:rPr>
        <w:t>exchange</w:t>
      </w:r>
      <w:r w:rsidR="00590E60">
        <w:rPr>
          <w:rFonts w:cs="Arial"/>
        </w:rPr>
        <w:t xml:space="preserve"> and </w:t>
      </w:r>
      <w:r w:rsidR="006321A6">
        <w:rPr>
          <w:rFonts w:cs="Arial"/>
        </w:rPr>
        <w:t>peer-learning</w:t>
      </w:r>
      <w:r w:rsidR="007544F2">
        <w:rPr>
          <w:rFonts w:cs="Arial"/>
        </w:rPr>
        <w:t xml:space="preserve"> </w:t>
      </w:r>
      <w:r w:rsidR="00BF6628">
        <w:rPr>
          <w:rFonts w:cs="Arial"/>
        </w:rPr>
        <w:t>to disseminat</w:t>
      </w:r>
      <w:r w:rsidR="00DD729F">
        <w:rPr>
          <w:rFonts w:cs="Arial"/>
        </w:rPr>
        <w:t xml:space="preserve">e </w:t>
      </w:r>
      <w:r w:rsidR="005A0649">
        <w:rPr>
          <w:rFonts w:cs="Arial"/>
        </w:rPr>
        <w:t>best practices and implementation experience</w:t>
      </w:r>
      <w:r w:rsidR="00BF6628">
        <w:rPr>
          <w:rFonts w:cs="Arial"/>
        </w:rPr>
        <w:t xml:space="preserve"> on </w:t>
      </w:r>
      <w:r w:rsidR="00D923B3">
        <w:rPr>
          <w:rFonts w:cs="Arial"/>
        </w:rPr>
        <w:t xml:space="preserve">the </w:t>
      </w:r>
      <w:r w:rsidR="005A0649">
        <w:rPr>
          <w:rFonts w:cs="Arial"/>
        </w:rPr>
        <w:t>INFF</w:t>
      </w:r>
      <w:r w:rsidR="00D923B3">
        <w:rPr>
          <w:rFonts w:cs="Arial"/>
        </w:rPr>
        <w:t xml:space="preserve"> methodology</w:t>
      </w:r>
      <w:r w:rsidR="002B4760">
        <w:rPr>
          <w:rFonts w:cs="Arial"/>
        </w:rPr>
        <w:t xml:space="preserve"> (including best practices; challenges; lessons learned; etc.)</w:t>
      </w:r>
      <w:r w:rsidR="00D923B3">
        <w:rPr>
          <w:rFonts w:cs="Arial"/>
        </w:rPr>
        <w:t>.</w:t>
      </w:r>
      <w:r w:rsidR="0097457A">
        <w:rPr>
          <w:rFonts w:cs="Arial"/>
        </w:rPr>
        <w:t xml:space="preserve"> </w:t>
      </w:r>
      <w:r w:rsidR="00CB2B02">
        <w:rPr>
          <w:rFonts w:cs="Arial"/>
        </w:rPr>
        <w:t xml:space="preserve">INFF project implementation has </w:t>
      </w:r>
      <w:r w:rsidR="006C0FA7">
        <w:rPr>
          <w:rFonts w:cs="Arial"/>
        </w:rPr>
        <w:t xml:space="preserve">used a </w:t>
      </w:r>
      <w:r w:rsidR="00A62E12">
        <w:rPr>
          <w:rFonts w:cs="Arial"/>
        </w:rPr>
        <w:t xml:space="preserve">hybrid </w:t>
      </w:r>
      <w:r w:rsidR="006C0FA7">
        <w:rPr>
          <w:rFonts w:cs="Arial"/>
        </w:rPr>
        <w:t xml:space="preserve">approach to </w:t>
      </w:r>
      <w:r w:rsidR="00A62E12">
        <w:rPr>
          <w:rFonts w:cs="Arial"/>
        </w:rPr>
        <w:t>trainings</w:t>
      </w:r>
      <w:r w:rsidR="00F30E44">
        <w:rPr>
          <w:rFonts w:cs="Arial"/>
        </w:rPr>
        <w:t xml:space="preserve">/ workshops/ capacity-building, to engage participants from the </w:t>
      </w:r>
      <w:r w:rsidR="004F719B">
        <w:rPr>
          <w:rFonts w:cs="Arial"/>
        </w:rPr>
        <w:t>target countries and regions</w:t>
      </w:r>
      <w:r w:rsidR="00E657A4">
        <w:rPr>
          <w:rFonts w:cs="Arial"/>
        </w:rPr>
        <w:t xml:space="preserve">, and has supported the production and dissemination of </w:t>
      </w:r>
      <w:r w:rsidR="000E5B57">
        <w:rPr>
          <w:rFonts w:cs="Arial"/>
        </w:rPr>
        <w:t>resources (tools</w:t>
      </w:r>
      <w:r w:rsidR="002F72C9">
        <w:rPr>
          <w:rFonts w:cs="Arial"/>
        </w:rPr>
        <w:t>;</w:t>
      </w:r>
      <w:r w:rsidR="000E5B57">
        <w:rPr>
          <w:rFonts w:cs="Arial"/>
        </w:rPr>
        <w:t xml:space="preserve"> </w:t>
      </w:r>
      <w:r w:rsidR="004328DB">
        <w:rPr>
          <w:rFonts w:cs="Arial"/>
        </w:rPr>
        <w:t>guidance material;</w:t>
      </w:r>
      <w:r w:rsidR="002F72C9">
        <w:rPr>
          <w:rFonts w:cs="Arial"/>
        </w:rPr>
        <w:t xml:space="preserve"> analytical documents;</w:t>
      </w:r>
      <w:r w:rsidR="004328DB">
        <w:rPr>
          <w:rFonts w:cs="Arial"/>
        </w:rPr>
        <w:t xml:space="preserve"> etc.)</w:t>
      </w:r>
      <w:r w:rsidR="002F72C9">
        <w:rPr>
          <w:rFonts w:cs="Arial"/>
        </w:rPr>
        <w:t xml:space="preserve"> </w:t>
      </w:r>
      <w:r w:rsidR="00B11032">
        <w:rPr>
          <w:rFonts w:cs="Arial"/>
        </w:rPr>
        <w:t xml:space="preserve">for </w:t>
      </w:r>
      <w:r w:rsidR="000E5B57">
        <w:rPr>
          <w:rFonts w:cs="Arial"/>
        </w:rPr>
        <w:t>INFF development</w:t>
      </w:r>
      <w:r w:rsidR="002F72C9">
        <w:rPr>
          <w:rFonts w:cs="Arial"/>
        </w:rPr>
        <w:t xml:space="preserve">. </w:t>
      </w:r>
      <w:r w:rsidR="003E5717">
        <w:rPr>
          <w:rFonts w:cs="Arial"/>
        </w:rPr>
        <w:t>The final global workshop was also used to share information</w:t>
      </w:r>
      <w:r w:rsidR="008B2FAA">
        <w:rPr>
          <w:rFonts w:cs="Arial"/>
        </w:rPr>
        <w:t xml:space="preserve"> </w:t>
      </w:r>
      <w:r w:rsidR="003E5717">
        <w:rPr>
          <w:rFonts w:cs="Arial"/>
        </w:rPr>
        <w:t xml:space="preserve">and experience on the </w:t>
      </w:r>
      <w:r w:rsidR="008B5437">
        <w:rPr>
          <w:rFonts w:cs="Arial"/>
        </w:rPr>
        <w:t xml:space="preserve">development of </w:t>
      </w:r>
      <w:r w:rsidR="002348CC">
        <w:rPr>
          <w:rFonts w:cs="Arial"/>
        </w:rPr>
        <w:t xml:space="preserve">the INFF tool. </w:t>
      </w:r>
      <w:r w:rsidR="00414E77">
        <w:rPr>
          <w:rFonts w:cs="Arial"/>
        </w:rPr>
        <w:t>A</w:t>
      </w:r>
      <w:r w:rsidR="00115BCF">
        <w:rPr>
          <w:rFonts w:cs="Arial"/>
        </w:rPr>
        <w:t xml:space="preserve"> virtual </w:t>
      </w:r>
      <w:r w:rsidR="00414E77">
        <w:rPr>
          <w:rFonts w:cs="Arial"/>
        </w:rPr>
        <w:t>Knowledge Platform has also been used as a</w:t>
      </w:r>
      <w:r w:rsidR="00455BF6">
        <w:rPr>
          <w:rFonts w:cs="Arial"/>
        </w:rPr>
        <w:t>n informational</w:t>
      </w:r>
      <w:r w:rsidR="00414E77">
        <w:rPr>
          <w:rFonts w:cs="Arial"/>
        </w:rPr>
        <w:t xml:space="preserve"> reposi</w:t>
      </w:r>
      <w:r w:rsidR="00455BF6">
        <w:rPr>
          <w:rFonts w:cs="Arial"/>
        </w:rPr>
        <w:t xml:space="preserve">tory on the INFF methodology. </w:t>
      </w:r>
      <w:r w:rsidR="001130C4">
        <w:rPr>
          <w:rFonts w:cs="Arial"/>
        </w:rPr>
        <w:t xml:space="preserve">There has been </w:t>
      </w:r>
      <w:r w:rsidR="00A80AC5">
        <w:rPr>
          <w:rFonts w:cs="Arial"/>
        </w:rPr>
        <w:t xml:space="preserve">similar support for knowledge sharing and </w:t>
      </w:r>
      <w:r w:rsidR="006321A6">
        <w:rPr>
          <w:rFonts w:cs="Arial"/>
        </w:rPr>
        <w:t>peer-learning</w:t>
      </w:r>
      <w:r w:rsidR="00A80AC5">
        <w:rPr>
          <w:rFonts w:cs="Arial"/>
        </w:rPr>
        <w:t xml:space="preserve"> </w:t>
      </w:r>
      <w:r w:rsidR="000F68C1">
        <w:rPr>
          <w:rFonts w:cs="Arial"/>
        </w:rPr>
        <w:t xml:space="preserve">under the FINS project, </w:t>
      </w:r>
      <w:r w:rsidR="00A80AC5">
        <w:rPr>
          <w:rFonts w:cs="Arial"/>
        </w:rPr>
        <w:t xml:space="preserve">at </w:t>
      </w:r>
      <w:r w:rsidR="000F68C1">
        <w:rPr>
          <w:rFonts w:cs="Arial"/>
        </w:rPr>
        <w:t xml:space="preserve">both </w:t>
      </w:r>
      <w:r w:rsidR="00A80AC5">
        <w:rPr>
          <w:rFonts w:cs="Arial"/>
        </w:rPr>
        <w:t>the regional and global levels</w:t>
      </w:r>
      <w:r w:rsidR="00F00A91">
        <w:rPr>
          <w:rFonts w:cs="Arial"/>
        </w:rPr>
        <w:t xml:space="preserve">, </w:t>
      </w:r>
      <w:r w:rsidR="00B11032">
        <w:rPr>
          <w:rFonts w:cs="Arial"/>
        </w:rPr>
        <w:t xml:space="preserve">including through the use of a virtual </w:t>
      </w:r>
      <w:r w:rsidR="00B11032" w:rsidRPr="00E37B45">
        <w:rPr>
          <w:rFonts w:cs="Arial"/>
          <w:i/>
          <w:iCs/>
        </w:rPr>
        <w:t>FINS Xchange</w:t>
      </w:r>
      <w:r w:rsidR="00B11032">
        <w:rPr>
          <w:rFonts w:cs="Arial"/>
        </w:rPr>
        <w:t xml:space="preserve"> platform.</w:t>
      </w:r>
      <w:r w:rsidR="00B11032">
        <w:rPr>
          <w:rStyle w:val="FootnoteReference"/>
          <w:rFonts w:cs="Arial"/>
        </w:rPr>
        <w:footnoteReference w:id="93"/>
      </w:r>
      <w:r w:rsidR="00014437">
        <w:rPr>
          <w:rFonts w:cs="Arial"/>
        </w:rPr>
        <w:t xml:space="preserve"> </w:t>
      </w:r>
    </w:p>
    <w:p w14:paraId="10BFD620" w14:textId="4C176E8D" w:rsidR="00FB107A" w:rsidRDefault="000F3A09" w:rsidP="00A5506B">
      <w:pPr>
        <w:pStyle w:val="BodyText"/>
        <w:rPr>
          <w:rFonts w:cs="Arial"/>
        </w:rPr>
      </w:pPr>
      <w:r>
        <w:rPr>
          <w:rFonts w:cs="Arial"/>
        </w:rPr>
        <w:t xml:space="preserve">In line with the </w:t>
      </w:r>
      <w:r w:rsidR="00713E91">
        <w:rPr>
          <w:rFonts w:cs="Arial"/>
        </w:rPr>
        <w:t xml:space="preserve">dual </w:t>
      </w:r>
      <w:r w:rsidR="00610DAF">
        <w:rPr>
          <w:rFonts w:cs="Arial"/>
        </w:rPr>
        <w:t xml:space="preserve">focus on </w:t>
      </w:r>
      <w:r w:rsidR="007548B6">
        <w:rPr>
          <w:rFonts w:cs="Arial"/>
        </w:rPr>
        <w:t xml:space="preserve">capacity strengthening; </w:t>
      </w:r>
      <w:r w:rsidR="00A5506B">
        <w:rPr>
          <w:rFonts w:cs="Arial"/>
        </w:rPr>
        <w:t>knowledge</w:t>
      </w:r>
      <w:r w:rsidR="00914EA5">
        <w:rPr>
          <w:rFonts w:cs="Arial"/>
        </w:rPr>
        <w:t>-</w:t>
      </w:r>
      <w:r w:rsidR="00930E5F">
        <w:rPr>
          <w:rFonts w:cs="Arial"/>
        </w:rPr>
        <w:t>exchange</w:t>
      </w:r>
      <w:r w:rsidR="007548B6">
        <w:rPr>
          <w:rFonts w:cs="Arial"/>
        </w:rPr>
        <w:t>;</w:t>
      </w:r>
      <w:r w:rsidR="00930E5F">
        <w:rPr>
          <w:rFonts w:cs="Arial"/>
        </w:rPr>
        <w:t xml:space="preserve"> </w:t>
      </w:r>
      <w:r w:rsidR="00A5506B">
        <w:rPr>
          <w:rFonts w:cs="Arial"/>
        </w:rPr>
        <w:t xml:space="preserve">and </w:t>
      </w:r>
      <w:r w:rsidR="006321A6">
        <w:rPr>
          <w:rFonts w:cs="Arial"/>
        </w:rPr>
        <w:t>peer-learning</w:t>
      </w:r>
      <w:r w:rsidR="007548B6">
        <w:rPr>
          <w:rFonts w:cs="Arial"/>
        </w:rPr>
        <w:t xml:space="preserve">, there has been </w:t>
      </w:r>
      <w:r w:rsidR="00A5506B">
        <w:rPr>
          <w:rFonts w:cs="Arial"/>
        </w:rPr>
        <w:t>some mea</w:t>
      </w:r>
      <w:r w:rsidR="00FB107A">
        <w:rPr>
          <w:rFonts w:cs="Arial"/>
        </w:rPr>
        <w:t>sure o</w:t>
      </w:r>
      <w:r w:rsidR="00E470A4">
        <w:rPr>
          <w:rFonts w:cs="Arial"/>
        </w:rPr>
        <w:t>f overlap</w:t>
      </w:r>
      <w:r w:rsidR="00C30D06">
        <w:rPr>
          <w:rFonts w:cs="Arial"/>
        </w:rPr>
        <w:t xml:space="preserve"> between the two projects</w:t>
      </w:r>
      <w:r w:rsidR="00944F65">
        <w:rPr>
          <w:rFonts w:cs="Arial"/>
        </w:rPr>
        <w:t xml:space="preserve">. Within the context of the Dominican Republic, however, </w:t>
      </w:r>
      <w:r w:rsidR="00F23912">
        <w:rPr>
          <w:rFonts w:cs="Arial"/>
        </w:rPr>
        <w:t xml:space="preserve">the FINS project has </w:t>
      </w:r>
      <w:r w:rsidR="00E2080B">
        <w:rPr>
          <w:rFonts w:cs="Arial"/>
        </w:rPr>
        <w:t>not</w:t>
      </w:r>
      <w:r w:rsidR="00D52622">
        <w:rPr>
          <w:rFonts w:cs="Arial"/>
        </w:rPr>
        <w:t xml:space="preserve"> </w:t>
      </w:r>
      <w:r w:rsidR="00E2080B">
        <w:rPr>
          <w:rFonts w:cs="Arial"/>
        </w:rPr>
        <w:t xml:space="preserve">duplicated </w:t>
      </w:r>
      <w:r w:rsidR="00F23912">
        <w:rPr>
          <w:rFonts w:cs="Arial"/>
        </w:rPr>
        <w:t>th</w:t>
      </w:r>
      <w:r w:rsidR="0067488C">
        <w:rPr>
          <w:rFonts w:cs="Arial"/>
        </w:rPr>
        <w:t xml:space="preserve">e </w:t>
      </w:r>
      <w:r w:rsidR="00D52622">
        <w:rPr>
          <w:rFonts w:cs="Arial"/>
        </w:rPr>
        <w:t xml:space="preserve">support that was provided </w:t>
      </w:r>
      <w:r w:rsidR="003275FE">
        <w:rPr>
          <w:rFonts w:cs="Arial"/>
        </w:rPr>
        <w:t xml:space="preserve">by </w:t>
      </w:r>
      <w:r w:rsidR="00095BAC">
        <w:rPr>
          <w:rFonts w:cs="Arial"/>
        </w:rPr>
        <w:t xml:space="preserve">the </w:t>
      </w:r>
      <w:r w:rsidR="00F23912">
        <w:rPr>
          <w:rFonts w:cs="Arial"/>
        </w:rPr>
        <w:t>INFF project</w:t>
      </w:r>
      <w:r w:rsidR="00095BAC">
        <w:rPr>
          <w:rFonts w:cs="Arial"/>
        </w:rPr>
        <w:t>, but has provided complementary activities</w:t>
      </w:r>
      <w:r w:rsidR="0067488C">
        <w:rPr>
          <w:rFonts w:cs="Arial"/>
        </w:rPr>
        <w:t xml:space="preserve">. </w:t>
      </w:r>
      <w:r w:rsidR="00332001">
        <w:rPr>
          <w:rFonts w:cs="Arial"/>
        </w:rPr>
        <w:t>From the outset, p</w:t>
      </w:r>
      <w:r w:rsidR="0067488C">
        <w:rPr>
          <w:rFonts w:cs="Arial"/>
        </w:rPr>
        <w:t xml:space="preserve">roject implementation under the FINS project </w:t>
      </w:r>
      <w:r w:rsidR="000374B7">
        <w:rPr>
          <w:rFonts w:cs="Arial"/>
        </w:rPr>
        <w:t xml:space="preserve">has </w:t>
      </w:r>
      <w:r w:rsidR="00D104E1">
        <w:rPr>
          <w:rFonts w:cs="Arial"/>
        </w:rPr>
        <w:t xml:space="preserve">been driven by </w:t>
      </w:r>
      <w:r w:rsidR="007D3ECC">
        <w:rPr>
          <w:rFonts w:cs="Arial"/>
        </w:rPr>
        <w:t>the need for an INFF that is contextually informed</w:t>
      </w:r>
      <w:r w:rsidR="0051456B">
        <w:rPr>
          <w:rFonts w:cs="Arial"/>
        </w:rPr>
        <w:t xml:space="preserve"> by the situation of development financing in the Dominican Republic.</w:t>
      </w:r>
      <w:r w:rsidR="005861A5">
        <w:rPr>
          <w:rFonts w:cs="Arial"/>
        </w:rPr>
        <w:t xml:space="preserve"> </w:t>
      </w:r>
      <w:r w:rsidR="00723651">
        <w:rPr>
          <w:rFonts w:cs="Arial"/>
        </w:rPr>
        <w:t xml:space="preserve">Given the </w:t>
      </w:r>
      <w:r w:rsidR="00897A77">
        <w:rPr>
          <w:rFonts w:cs="Arial"/>
        </w:rPr>
        <w:t xml:space="preserve">contextual focus </w:t>
      </w:r>
      <w:r w:rsidR="00F45A45">
        <w:rPr>
          <w:rFonts w:cs="Arial"/>
        </w:rPr>
        <w:t xml:space="preserve">of </w:t>
      </w:r>
      <w:r w:rsidR="005B4138">
        <w:rPr>
          <w:rFonts w:cs="Arial"/>
        </w:rPr>
        <w:t>the FINS project</w:t>
      </w:r>
      <w:r w:rsidR="00897A77">
        <w:rPr>
          <w:rFonts w:cs="Arial"/>
        </w:rPr>
        <w:t>,</w:t>
      </w:r>
      <w:r w:rsidR="00F45A45">
        <w:rPr>
          <w:rFonts w:cs="Arial"/>
        </w:rPr>
        <w:t xml:space="preserve"> however,</w:t>
      </w:r>
      <w:r w:rsidR="00897A77">
        <w:rPr>
          <w:rFonts w:cs="Arial"/>
        </w:rPr>
        <w:t xml:space="preserve"> a</w:t>
      </w:r>
      <w:r w:rsidR="00F5270E">
        <w:rPr>
          <w:rFonts w:cs="Arial"/>
        </w:rPr>
        <w:t xml:space="preserve"> </w:t>
      </w:r>
      <w:r w:rsidR="00D17E00">
        <w:rPr>
          <w:rFonts w:cs="Arial"/>
        </w:rPr>
        <w:t xml:space="preserve">question emerges </w:t>
      </w:r>
      <w:r w:rsidR="00FE3C5C">
        <w:rPr>
          <w:rFonts w:cs="Arial"/>
        </w:rPr>
        <w:t xml:space="preserve">on </w:t>
      </w:r>
      <w:r w:rsidR="000F6A4D">
        <w:rPr>
          <w:rFonts w:cs="Arial"/>
        </w:rPr>
        <w:t xml:space="preserve">the </w:t>
      </w:r>
      <w:r w:rsidR="00FE3C5C">
        <w:rPr>
          <w:rFonts w:cs="Arial"/>
        </w:rPr>
        <w:t>added value of the INFF project</w:t>
      </w:r>
      <w:r w:rsidR="000F6A4D">
        <w:rPr>
          <w:rFonts w:cs="Arial"/>
        </w:rPr>
        <w:t xml:space="preserve"> to the Dominican Republic</w:t>
      </w:r>
      <w:r w:rsidR="00FE3C5C">
        <w:rPr>
          <w:rFonts w:cs="Arial"/>
        </w:rPr>
        <w:t xml:space="preserve">, </w:t>
      </w:r>
      <w:r w:rsidR="00C1663B">
        <w:rPr>
          <w:rFonts w:cs="Arial"/>
        </w:rPr>
        <w:t xml:space="preserve">in terms of whether </w:t>
      </w:r>
      <w:r w:rsidR="00E646B8">
        <w:rPr>
          <w:rFonts w:cs="Arial"/>
        </w:rPr>
        <w:t xml:space="preserve">there </w:t>
      </w:r>
      <w:r w:rsidR="00C1663B">
        <w:rPr>
          <w:rFonts w:cs="Arial"/>
        </w:rPr>
        <w:t xml:space="preserve">was </w:t>
      </w:r>
      <w:r w:rsidR="00E646B8">
        <w:rPr>
          <w:rFonts w:cs="Arial"/>
        </w:rPr>
        <w:t xml:space="preserve">need for an </w:t>
      </w:r>
      <w:r w:rsidR="00897A77">
        <w:rPr>
          <w:rFonts w:cs="Arial"/>
        </w:rPr>
        <w:t>INFF project</w:t>
      </w:r>
      <w:r w:rsidR="00E646B8">
        <w:rPr>
          <w:rFonts w:cs="Arial"/>
        </w:rPr>
        <w:t xml:space="preserve"> in this country</w:t>
      </w:r>
      <w:r w:rsidR="00C1663B">
        <w:rPr>
          <w:rFonts w:cs="Arial"/>
        </w:rPr>
        <w:t>.</w:t>
      </w:r>
      <w:r w:rsidR="00897A77">
        <w:rPr>
          <w:rFonts w:cs="Arial"/>
        </w:rPr>
        <w:t xml:space="preserve"> </w:t>
      </w:r>
      <w:r w:rsidR="002E30D1">
        <w:rPr>
          <w:rFonts w:cs="Arial"/>
        </w:rPr>
        <w:t>A reiteration of the r</w:t>
      </w:r>
      <w:r w:rsidR="002944A3">
        <w:rPr>
          <w:rFonts w:cs="Arial"/>
        </w:rPr>
        <w:t xml:space="preserve">ationale for </w:t>
      </w:r>
      <w:r w:rsidR="002E30D1">
        <w:rPr>
          <w:rFonts w:cs="Arial"/>
        </w:rPr>
        <w:t>the involvement of the Dominican Republic in the INFF project is required, here</w:t>
      </w:r>
      <w:r w:rsidR="004A0B88">
        <w:rPr>
          <w:rFonts w:cs="Arial"/>
        </w:rPr>
        <w:t xml:space="preserve">, i.e. </w:t>
      </w:r>
      <w:r w:rsidR="00DA4CE4">
        <w:rPr>
          <w:rFonts w:cs="Arial"/>
        </w:rPr>
        <w:t xml:space="preserve">it was necessary to replace </w:t>
      </w:r>
      <w:r w:rsidR="00746D2A">
        <w:rPr>
          <w:rFonts w:cs="Arial"/>
        </w:rPr>
        <w:t xml:space="preserve">a target country within the region using the </w:t>
      </w:r>
      <w:r w:rsidR="00330D38">
        <w:rPr>
          <w:rFonts w:cs="Arial"/>
        </w:rPr>
        <w:t xml:space="preserve">project </w:t>
      </w:r>
      <w:r w:rsidR="00746D2A">
        <w:rPr>
          <w:rFonts w:cs="Arial"/>
        </w:rPr>
        <w:t>selection criteria.</w:t>
      </w:r>
      <w:r w:rsidR="00FA1C7C">
        <w:rPr>
          <w:rFonts w:cs="Arial"/>
        </w:rPr>
        <w:t xml:space="preserve"> The Dominican Republic was selected because it met one or more of the selection criteria. </w:t>
      </w:r>
      <w:r w:rsidR="007B06D6">
        <w:rPr>
          <w:rFonts w:cs="Arial"/>
        </w:rPr>
        <w:t xml:space="preserve">Further to </w:t>
      </w:r>
      <w:r w:rsidR="00FA1C7C">
        <w:rPr>
          <w:rFonts w:cs="Arial"/>
        </w:rPr>
        <w:t xml:space="preserve">the replacement process, </w:t>
      </w:r>
      <w:r w:rsidR="007B06D6">
        <w:rPr>
          <w:rFonts w:cs="Arial"/>
        </w:rPr>
        <w:t xml:space="preserve">the FINS project has built on the </w:t>
      </w:r>
      <w:r w:rsidR="00476E8F">
        <w:rPr>
          <w:rFonts w:cs="Arial"/>
        </w:rPr>
        <w:t>work of the INFF project in the Dominican Republic.</w:t>
      </w:r>
      <w:r w:rsidR="000E5B78">
        <w:rPr>
          <w:rFonts w:cs="Arial"/>
        </w:rPr>
        <w:t xml:space="preserve"> As </w:t>
      </w:r>
      <w:r w:rsidR="000E5B78">
        <w:rPr>
          <w:rFonts w:cs="Arial"/>
        </w:rPr>
        <w:lastRenderedPageBreak/>
        <w:t xml:space="preserve">of </w:t>
      </w:r>
      <w:r w:rsidR="00781E5A">
        <w:rPr>
          <w:rFonts w:cs="Arial"/>
        </w:rPr>
        <w:t xml:space="preserve">June </w:t>
      </w:r>
      <w:r w:rsidR="000E5B78">
        <w:rPr>
          <w:rFonts w:cs="Arial"/>
        </w:rPr>
        <w:t>2025</w:t>
      </w:r>
      <w:r w:rsidR="00781E5A">
        <w:rPr>
          <w:rFonts w:cs="Arial"/>
        </w:rPr>
        <w:t xml:space="preserve"> the Domin</w:t>
      </w:r>
      <w:r w:rsidR="0078408A">
        <w:rPr>
          <w:rFonts w:cs="Arial"/>
        </w:rPr>
        <w:t>i</w:t>
      </w:r>
      <w:r w:rsidR="00781E5A">
        <w:rPr>
          <w:rFonts w:cs="Arial"/>
        </w:rPr>
        <w:t xml:space="preserve">can Republic has </w:t>
      </w:r>
      <w:r w:rsidR="0078408A">
        <w:rPr>
          <w:rFonts w:cs="Arial"/>
        </w:rPr>
        <w:t>commenced INFF development.</w:t>
      </w:r>
      <w:r w:rsidR="0078408A">
        <w:rPr>
          <w:rStyle w:val="FootnoteReference"/>
          <w:rFonts w:cs="Arial"/>
        </w:rPr>
        <w:footnoteReference w:id="94"/>
      </w:r>
    </w:p>
    <w:p w14:paraId="746B07BB" w14:textId="73AD64DE" w:rsidR="00BF4D19" w:rsidRPr="00BA46C9" w:rsidRDefault="004A2D63" w:rsidP="00E54253">
      <w:pPr>
        <w:pStyle w:val="BodyText"/>
        <w:rPr>
          <w:i/>
          <w:iCs/>
        </w:rPr>
      </w:pPr>
      <w:r w:rsidRPr="00BA46C9">
        <w:rPr>
          <w:i/>
          <w:iCs/>
        </w:rPr>
        <w:t>I</w:t>
      </w:r>
      <w:r w:rsidR="00726A32" w:rsidRPr="00BA46C9">
        <w:rPr>
          <w:i/>
          <w:iCs/>
        </w:rPr>
        <w:t>NFF Facility</w:t>
      </w:r>
      <w:r w:rsidR="0024743D" w:rsidRPr="00BA46C9">
        <w:rPr>
          <w:i/>
          <w:iCs/>
        </w:rPr>
        <w:t xml:space="preserve">-supported </w:t>
      </w:r>
      <w:r w:rsidR="001B17FE" w:rsidRPr="00BA46C9">
        <w:rPr>
          <w:i/>
          <w:iCs/>
        </w:rPr>
        <w:t>programming</w:t>
      </w:r>
      <w:r w:rsidR="003E2D02" w:rsidRPr="00BA46C9">
        <w:rPr>
          <w:i/>
          <w:iCs/>
        </w:rPr>
        <w:t>:</w:t>
      </w:r>
      <w:r w:rsidR="001B17FE" w:rsidRPr="00BA46C9">
        <w:rPr>
          <w:i/>
          <w:iCs/>
        </w:rPr>
        <w:t xml:space="preserve"> </w:t>
      </w:r>
    </w:p>
    <w:p w14:paraId="21EE8798" w14:textId="0EF62B5B" w:rsidR="009214E8" w:rsidRDefault="0024743D" w:rsidP="00E54253">
      <w:pPr>
        <w:pStyle w:val="BodyText"/>
      </w:pPr>
      <w:r>
        <w:t xml:space="preserve">The INFF Facility is </w:t>
      </w:r>
      <w:r w:rsidR="00A74ADB">
        <w:t>a joint</w:t>
      </w:r>
      <w:r w:rsidR="009163D0">
        <w:t xml:space="preserve"> </w:t>
      </w:r>
      <w:r w:rsidR="00A74ADB">
        <w:t>initiative of</w:t>
      </w:r>
      <w:r w:rsidR="009163D0">
        <w:t xml:space="preserve"> </w:t>
      </w:r>
      <w:r w:rsidR="00157D59">
        <w:t xml:space="preserve">the </w:t>
      </w:r>
      <w:r w:rsidR="006A46F7">
        <w:t xml:space="preserve">UN (UNDP; </w:t>
      </w:r>
      <w:r w:rsidR="00A74ADB">
        <w:t xml:space="preserve">UNDESA; </w:t>
      </w:r>
      <w:r w:rsidR="006A46F7">
        <w:t>UNICEF</w:t>
      </w:r>
      <w:r w:rsidR="003C7566">
        <w:t xml:space="preserve">); </w:t>
      </w:r>
      <w:r w:rsidR="006A46F7">
        <w:t xml:space="preserve">the </w:t>
      </w:r>
      <w:r w:rsidR="00157D59">
        <w:t>E</w:t>
      </w:r>
      <w:r w:rsidR="006A46F7">
        <w:t xml:space="preserve">uropean </w:t>
      </w:r>
      <w:r w:rsidR="00157D59">
        <w:t>U</w:t>
      </w:r>
      <w:r w:rsidR="006A46F7">
        <w:t>nion</w:t>
      </w:r>
      <w:r w:rsidR="00157D59">
        <w:t xml:space="preserve"> </w:t>
      </w:r>
      <w:r w:rsidR="003C7566">
        <w:t>(EU); the Governments of Italy</w:t>
      </w:r>
      <w:r w:rsidR="00860EB7">
        <w:t>, Spain</w:t>
      </w:r>
      <w:r w:rsidR="003C7566">
        <w:t xml:space="preserve"> and Sweden</w:t>
      </w:r>
      <w:r w:rsidR="00860EB7">
        <w:t>; and the OECD.</w:t>
      </w:r>
      <w:r w:rsidR="002A5AFB">
        <w:rPr>
          <w:rStyle w:val="FootnoteReference"/>
        </w:rPr>
        <w:footnoteReference w:id="95"/>
      </w:r>
      <w:r w:rsidR="00860EB7">
        <w:t xml:space="preserve"> </w:t>
      </w:r>
      <w:r w:rsidR="00757ACB">
        <w:t>It was established in 2019</w:t>
      </w:r>
      <w:r w:rsidR="0078394C">
        <w:t xml:space="preserve"> as an outcome of the </w:t>
      </w:r>
      <w:r w:rsidR="00805865">
        <w:t>HLDF</w:t>
      </w:r>
      <w:r w:rsidR="00C35569">
        <w:t xml:space="preserve"> and has been informed by the 2015 Addis Agenda and the </w:t>
      </w:r>
      <w:r w:rsidR="0080679C">
        <w:t xml:space="preserve">deliberations of the IATF. </w:t>
      </w:r>
      <w:r w:rsidR="00505976">
        <w:t>Secretariat s</w:t>
      </w:r>
      <w:r w:rsidR="0091334D">
        <w:t xml:space="preserve">ervices </w:t>
      </w:r>
      <w:r w:rsidR="00505976">
        <w:t xml:space="preserve">for the Facility </w:t>
      </w:r>
      <w:r w:rsidR="002950D4">
        <w:t>are</w:t>
      </w:r>
      <w:r w:rsidR="00505976">
        <w:t xml:space="preserve"> provided by </w:t>
      </w:r>
      <w:r w:rsidR="00423A90">
        <w:t xml:space="preserve">the UN and the OECD. </w:t>
      </w:r>
    </w:p>
    <w:p w14:paraId="15FB183D" w14:textId="71ADE982" w:rsidR="00976525" w:rsidRDefault="004E37B8" w:rsidP="00E54253">
      <w:pPr>
        <w:pStyle w:val="BodyText"/>
      </w:pPr>
      <w:r>
        <w:t xml:space="preserve">In </w:t>
      </w:r>
      <w:r w:rsidR="009214E8">
        <w:t xml:space="preserve">support </w:t>
      </w:r>
      <w:r>
        <w:t xml:space="preserve">of </w:t>
      </w:r>
      <w:r w:rsidR="009214E8">
        <w:t xml:space="preserve">the transformation of national financing systems for accelerated contributions towards the SDGs, the </w:t>
      </w:r>
      <w:r w:rsidR="00507331">
        <w:t xml:space="preserve">INFF is managed in coordination with UNCTs. </w:t>
      </w:r>
      <w:r w:rsidR="001126F0">
        <w:t xml:space="preserve">The </w:t>
      </w:r>
      <w:r w:rsidR="00B64F0E">
        <w:t>approach of the Facility involves brokering and providing access to technical assistance</w:t>
      </w:r>
      <w:r w:rsidR="001D700A">
        <w:t xml:space="preserve"> and </w:t>
      </w:r>
      <w:r w:rsidR="006321A6">
        <w:t>knowledge-exchange</w:t>
      </w:r>
      <w:r w:rsidR="00BA79BA">
        <w:t xml:space="preserve"> </w:t>
      </w:r>
      <w:r w:rsidR="009605C4">
        <w:t xml:space="preserve">on INFF implementation, </w:t>
      </w:r>
      <w:r w:rsidR="000A7BD1">
        <w:t>in respon</w:t>
      </w:r>
      <w:r w:rsidR="00781A4A">
        <w:t>se</w:t>
      </w:r>
      <w:r w:rsidR="000A7BD1">
        <w:t xml:space="preserve"> to </w:t>
      </w:r>
      <w:r w:rsidR="009605C4">
        <w:t xml:space="preserve">country </w:t>
      </w:r>
      <w:r w:rsidR="00781A4A">
        <w:t>demand</w:t>
      </w:r>
      <w:r w:rsidR="009605C4">
        <w:t>.</w:t>
      </w:r>
      <w:r w:rsidR="00781A4A">
        <w:rPr>
          <w:rStyle w:val="FootnoteReference"/>
        </w:rPr>
        <w:footnoteReference w:id="96"/>
      </w:r>
      <w:r w:rsidR="00781A4A">
        <w:t xml:space="preserve"> </w:t>
      </w:r>
      <w:r w:rsidR="00644EF4">
        <w:t xml:space="preserve">As </w:t>
      </w:r>
      <w:r w:rsidR="002231B6">
        <w:t xml:space="preserve">a </w:t>
      </w:r>
      <w:r w:rsidR="00DE736A">
        <w:t xml:space="preserve">major feature of this process, </w:t>
      </w:r>
      <w:r w:rsidR="00CC6965">
        <w:t xml:space="preserve">INFF </w:t>
      </w:r>
      <w:r w:rsidR="00976525">
        <w:t xml:space="preserve">development </w:t>
      </w:r>
      <w:r w:rsidR="002231B6">
        <w:t xml:space="preserve">and </w:t>
      </w:r>
      <w:r w:rsidR="00CC6965">
        <w:t xml:space="preserve">implementation is country-led. </w:t>
      </w:r>
      <w:r w:rsidR="00850842">
        <w:t>The INFF Facility has p</w:t>
      </w:r>
      <w:r w:rsidR="00B521DB">
        <w:t xml:space="preserve">roduced guidance </w:t>
      </w:r>
      <w:r w:rsidR="005C14A6">
        <w:t xml:space="preserve">material </w:t>
      </w:r>
      <w:r w:rsidR="00B521DB">
        <w:t>and a</w:t>
      </w:r>
      <w:r w:rsidR="00B24E6F">
        <w:t xml:space="preserve"> </w:t>
      </w:r>
      <w:r w:rsidR="005C14A6">
        <w:t>virtual INFF Knowledge Platform to inform this process.</w:t>
      </w:r>
      <w:r w:rsidR="002E7091">
        <w:rPr>
          <w:rStyle w:val="FootnoteReference"/>
        </w:rPr>
        <w:footnoteReference w:id="97"/>
      </w:r>
    </w:p>
    <w:p w14:paraId="248F35A4" w14:textId="4A91BF1C" w:rsidR="002A61E2" w:rsidRDefault="005F706E" w:rsidP="00E54253">
      <w:pPr>
        <w:pStyle w:val="BodyText"/>
      </w:pPr>
      <w:r>
        <w:t>At the level of the target countries,</w:t>
      </w:r>
      <w:r w:rsidR="0054419D">
        <w:t xml:space="preserve"> Burkina Faso </w:t>
      </w:r>
      <w:r w:rsidR="00045F1E">
        <w:t xml:space="preserve">was included </w:t>
      </w:r>
      <w:r w:rsidR="0054419D">
        <w:t>among</w:t>
      </w:r>
      <w:r w:rsidR="00FF6A56">
        <w:t xml:space="preserve"> the </w:t>
      </w:r>
      <w:r w:rsidR="00B17103">
        <w:t xml:space="preserve">16 </w:t>
      </w:r>
      <w:r w:rsidR="00FF6A56">
        <w:t xml:space="preserve">countries that </w:t>
      </w:r>
      <w:r w:rsidR="001B23B4">
        <w:t xml:space="preserve">had </w:t>
      </w:r>
      <w:r w:rsidR="00FF6A56">
        <w:t xml:space="preserve">expressed interest in pioneering the </w:t>
      </w:r>
      <w:r w:rsidR="00426102">
        <w:t>INFF methodology.</w:t>
      </w:r>
      <w:r w:rsidR="00FE7BBA">
        <w:rPr>
          <w:rStyle w:val="FootnoteReference"/>
        </w:rPr>
        <w:footnoteReference w:id="98"/>
      </w:r>
      <w:r w:rsidR="00426102">
        <w:t xml:space="preserve"> </w:t>
      </w:r>
      <w:r w:rsidR="00C72B6A">
        <w:t xml:space="preserve">As of </w:t>
      </w:r>
      <w:r w:rsidR="00ED0E23">
        <w:t xml:space="preserve">project </w:t>
      </w:r>
      <w:r w:rsidR="00FB1F70">
        <w:t>start</w:t>
      </w:r>
      <w:r w:rsidR="00BA1B50">
        <w:t>-up</w:t>
      </w:r>
      <w:r w:rsidR="00120946">
        <w:t xml:space="preserve">, </w:t>
      </w:r>
      <w:r w:rsidR="009211E5">
        <w:t xml:space="preserve">Burkina Faso had </w:t>
      </w:r>
      <w:r w:rsidR="00C80543">
        <w:t xml:space="preserve">already accommodated a </w:t>
      </w:r>
      <w:r w:rsidR="00B10A39">
        <w:t>Mainstreaming, Acceleration and Policy Support (</w:t>
      </w:r>
      <w:r w:rsidR="00340956">
        <w:t>MAPS</w:t>
      </w:r>
      <w:r w:rsidR="00B10A39">
        <w:t>) country</w:t>
      </w:r>
      <w:r w:rsidR="00340956">
        <w:t xml:space="preserve"> mission </w:t>
      </w:r>
      <w:r w:rsidR="00A40D44">
        <w:t xml:space="preserve">in </w:t>
      </w:r>
      <w:r w:rsidR="00DD14A7">
        <w:t xml:space="preserve">November </w:t>
      </w:r>
      <w:r w:rsidR="00A40D44">
        <w:t>2017</w:t>
      </w:r>
      <w:r w:rsidR="00EE14F0">
        <w:t>.</w:t>
      </w:r>
      <w:r w:rsidR="00EE14F0">
        <w:rPr>
          <w:rStyle w:val="FootnoteReference"/>
        </w:rPr>
        <w:footnoteReference w:id="99"/>
      </w:r>
      <w:r w:rsidR="00EE14F0">
        <w:t xml:space="preserve"> </w:t>
      </w:r>
      <w:r w:rsidR="00453343">
        <w:t xml:space="preserve">MAPS </w:t>
      </w:r>
      <w:r w:rsidR="00F207E3">
        <w:t xml:space="preserve">country missions are </w:t>
      </w:r>
      <w:r w:rsidR="004A420A">
        <w:t xml:space="preserve">facilitated by UNDP to support </w:t>
      </w:r>
      <w:r w:rsidR="00093E9B">
        <w:t>countr</w:t>
      </w:r>
      <w:r w:rsidR="00FA56F1">
        <w:t xml:space="preserve">y-level achievement of the SDGs </w:t>
      </w:r>
      <w:r w:rsidR="00911D45">
        <w:t>based on a multidimensional approach.</w:t>
      </w:r>
      <w:r w:rsidR="00911D45">
        <w:rPr>
          <w:rStyle w:val="FootnoteReference"/>
        </w:rPr>
        <w:footnoteReference w:id="100"/>
      </w:r>
      <w:r w:rsidR="00911D45">
        <w:t xml:space="preserve"> </w:t>
      </w:r>
      <w:r w:rsidR="00DD14A7">
        <w:t xml:space="preserve">By December 2020, Burkina Faso had </w:t>
      </w:r>
      <w:r w:rsidR="00734DBB">
        <w:t xml:space="preserve">developed </w:t>
      </w:r>
      <w:r w:rsidR="00DE6428">
        <w:t xml:space="preserve">a roadmap </w:t>
      </w:r>
      <w:r w:rsidR="00B4019C">
        <w:t xml:space="preserve">that included an </w:t>
      </w:r>
      <w:r w:rsidR="00C14053">
        <w:t xml:space="preserve">overview </w:t>
      </w:r>
      <w:r w:rsidR="00173D67">
        <w:t xml:space="preserve">of </w:t>
      </w:r>
      <w:r w:rsidR="00B4019C">
        <w:t xml:space="preserve">the strengths </w:t>
      </w:r>
      <w:r w:rsidR="00744C9C">
        <w:t xml:space="preserve">of the national institutional framework </w:t>
      </w:r>
      <w:r w:rsidR="00B4019C">
        <w:t xml:space="preserve">and </w:t>
      </w:r>
      <w:r w:rsidR="00D348E4">
        <w:t xml:space="preserve">the </w:t>
      </w:r>
      <w:r w:rsidR="00B4019C">
        <w:t>areas</w:t>
      </w:r>
      <w:r w:rsidR="00D348E4">
        <w:t xml:space="preserve"> that were</w:t>
      </w:r>
      <w:r w:rsidR="00B4019C">
        <w:t xml:space="preserve"> in need of strengthening. </w:t>
      </w:r>
      <w:r w:rsidR="00221B95">
        <w:t xml:space="preserve">The </w:t>
      </w:r>
      <w:r w:rsidR="00D348E4">
        <w:t xml:space="preserve">aim </w:t>
      </w:r>
      <w:r w:rsidR="00221B95">
        <w:t xml:space="preserve">was to </w:t>
      </w:r>
      <w:r w:rsidR="004016FB">
        <w:t xml:space="preserve">identify </w:t>
      </w:r>
      <w:r w:rsidR="008724E0">
        <w:t xml:space="preserve">the main drivers of accelerated national contributions </w:t>
      </w:r>
      <w:r w:rsidR="00BC55A3">
        <w:t>for SDG ach</w:t>
      </w:r>
      <w:r w:rsidR="004E0718">
        <w:t>ievement</w:t>
      </w:r>
      <w:r w:rsidR="004016FB">
        <w:t xml:space="preserve">, and establish </w:t>
      </w:r>
      <w:r w:rsidR="00B87BD2">
        <w:t>a trajectory for</w:t>
      </w:r>
      <w:r w:rsidR="008724E0">
        <w:t xml:space="preserve"> </w:t>
      </w:r>
      <w:r w:rsidR="004E0718">
        <w:t>the process</w:t>
      </w:r>
      <w:r w:rsidR="00B87BD2">
        <w:t xml:space="preserve">. </w:t>
      </w:r>
    </w:p>
    <w:p w14:paraId="691E2335" w14:textId="023BE212" w:rsidR="004C7752" w:rsidRDefault="006517E6" w:rsidP="00E54253">
      <w:pPr>
        <w:pStyle w:val="BodyText"/>
      </w:pPr>
      <w:r>
        <w:t>To facilitate accelerated contributions to the SDGs</w:t>
      </w:r>
      <w:r w:rsidR="00AF5FB8">
        <w:t xml:space="preserve">, the </w:t>
      </w:r>
      <w:r w:rsidR="00BC7B17">
        <w:t xml:space="preserve">Government of Burkina Faso recommended </w:t>
      </w:r>
      <w:r w:rsidR="000850FF">
        <w:t xml:space="preserve">a merging of </w:t>
      </w:r>
      <w:r w:rsidR="00BC55A3">
        <w:t>social; economic; and humanitarian drivers</w:t>
      </w:r>
      <w:r w:rsidR="00766C28">
        <w:t xml:space="preserve">. </w:t>
      </w:r>
      <w:r w:rsidR="00E403E5">
        <w:t>The</w:t>
      </w:r>
      <w:r w:rsidR="00AE212A">
        <w:t xml:space="preserve"> government also identified </w:t>
      </w:r>
      <w:r w:rsidR="00E403E5">
        <w:t xml:space="preserve">a need </w:t>
      </w:r>
      <w:r w:rsidR="00AE212A">
        <w:t xml:space="preserve">to </w:t>
      </w:r>
      <w:r w:rsidR="004668E5">
        <w:t>revisit</w:t>
      </w:r>
      <w:r w:rsidR="00AE212A">
        <w:t xml:space="preserve"> </w:t>
      </w:r>
      <w:r w:rsidR="004668E5">
        <w:t xml:space="preserve">the national development plan, </w:t>
      </w:r>
      <w:r w:rsidR="00596FC4">
        <w:t xml:space="preserve">based on </w:t>
      </w:r>
      <w:r w:rsidR="00E403E5">
        <w:t>joint planning across stakeholder entities</w:t>
      </w:r>
      <w:r w:rsidR="00D87510">
        <w:t>,</w:t>
      </w:r>
      <w:r w:rsidR="00AD7E03">
        <w:t xml:space="preserve"> to develop a framework for medium-term implementation and results achievement.</w:t>
      </w:r>
      <w:r w:rsidR="00883ADD">
        <w:t xml:space="preserve"> </w:t>
      </w:r>
      <w:r w:rsidR="00C33BDF">
        <w:t>Further to the commencement of the INFF project</w:t>
      </w:r>
      <w:r w:rsidR="005F2B52">
        <w:t xml:space="preserve">, therefore, </w:t>
      </w:r>
      <w:r w:rsidR="00586CFE">
        <w:t xml:space="preserve">the Government of </w:t>
      </w:r>
      <w:r w:rsidR="0072496B">
        <w:t xml:space="preserve">Burkina Faso </w:t>
      </w:r>
      <w:r w:rsidR="00845482">
        <w:t xml:space="preserve">finalised </w:t>
      </w:r>
      <w:r w:rsidR="004713DA">
        <w:t xml:space="preserve">the </w:t>
      </w:r>
      <w:r w:rsidR="001354EF">
        <w:t>national development plan</w:t>
      </w:r>
      <w:r w:rsidR="00D13769">
        <w:rPr>
          <w:rStyle w:val="FootnoteReference"/>
        </w:rPr>
        <w:footnoteReference w:id="101"/>
      </w:r>
      <w:r w:rsidR="001354EF">
        <w:t xml:space="preserve"> and established a </w:t>
      </w:r>
      <w:r w:rsidR="00D13769">
        <w:t>National Committee for INFF Development</w:t>
      </w:r>
      <w:r w:rsidR="00E35FD6">
        <w:t>.</w:t>
      </w:r>
      <w:r w:rsidR="00AF6E8C">
        <w:t xml:space="preserve"> </w:t>
      </w:r>
      <w:r w:rsidR="004713DA">
        <w:t>A</w:t>
      </w:r>
      <w:r w:rsidR="000C6D20">
        <w:t xml:space="preserve"> development financ</w:t>
      </w:r>
      <w:r w:rsidR="005B4302">
        <w:t>e</w:t>
      </w:r>
      <w:r w:rsidR="000C6D20">
        <w:t xml:space="preserve"> assessment</w:t>
      </w:r>
      <w:r w:rsidR="005B4302">
        <w:t xml:space="preserve"> (DFA)</w:t>
      </w:r>
      <w:r w:rsidR="000C6D20">
        <w:t xml:space="preserve"> </w:t>
      </w:r>
      <w:r w:rsidR="004713DA">
        <w:t xml:space="preserve">for Burkina Faso was also completed </w:t>
      </w:r>
      <w:r w:rsidR="000C6D20">
        <w:t>in December 2022</w:t>
      </w:r>
      <w:r w:rsidR="002B08EC">
        <w:t xml:space="preserve"> with </w:t>
      </w:r>
      <w:r w:rsidR="002C428F">
        <w:t xml:space="preserve">the </w:t>
      </w:r>
      <w:r w:rsidR="002B08EC">
        <w:t xml:space="preserve">support </w:t>
      </w:r>
      <w:r w:rsidR="002C428F">
        <w:t>of U</w:t>
      </w:r>
      <w:r w:rsidR="002B08EC">
        <w:t>NDP</w:t>
      </w:r>
      <w:r w:rsidR="000C6D20">
        <w:t>.</w:t>
      </w:r>
      <w:r w:rsidR="00A6701D">
        <w:rPr>
          <w:rStyle w:val="FootnoteReference"/>
        </w:rPr>
        <w:footnoteReference w:id="102"/>
      </w:r>
      <w:r w:rsidR="000C6D20">
        <w:t xml:space="preserve"> </w:t>
      </w:r>
    </w:p>
    <w:p w14:paraId="2EF97055" w14:textId="034FB554" w:rsidR="0015769D" w:rsidRDefault="007101F7" w:rsidP="00E54253">
      <w:pPr>
        <w:pStyle w:val="BodyText"/>
      </w:pPr>
      <w:r>
        <w:t>A</w:t>
      </w:r>
      <w:r w:rsidR="00103E4E">
        <w:t xml:space="preserve">lthough the </w:t>
      </w:r>
      <w:hyperlink r:id="rId30" w:history="1">
        <w:r w:rsidR="00030AE4" w:rsidRPr="00AC2B24">
          <w:rPr>
            <w:rStyle w:val="Hyperlink"/>
          </w:rPr>
          <w:t xml:space="preserve">2022 </w:t>
        </w:r>
        <w:r w:rsidR="00AC2B24" w:rsidRPr="00AC2B24">
          <w:rPr>
            <w:rStyle w:val="Hyperlink"/>
          </w:rPr>
          <w:t xml:space="preserve">Burkina Faso </w:t>
        </w:r>
        <w:r w:rsidR="00103E4E" w:rsidRPr="00AC2B24">
          <w:rPr>
            <w:rStyle w:val="Hyperlink"/>
          </w:rPr>
          <w:t>DFA</w:t>
        </w:r>
      </w:hyperlink>
      <w:r w:rsidR="00BD7B90">
        <w:t xml:space="preserve"> </w:t>
      </w:r>
      <w:r w:rsidR="00B64A04">
        <w:t xml:space="preserve">can be categorised under the Inception Phase of the INFF </w:t>
      </w:r>
      <w:r w:rsidR="00F05FBC">
        <w:t>building blocks</w:t>
      </w:r>
      <w:r w:rsidR="00CD55E4">
        <w:t>, it is identified</w:t>
      </w:r>
      <w:r w:rsidR="00434A52">
        <w:t xml:space="preserve"> within the current analysis as a parallel programme activity, as it was not conducted </w:t>
      </w:r>
      <w:r w:rsidR="004713DA">
        <w:t xml:space="preserve">as </w:t>
      </w:r>
      <w:r w:rsidR="008360D8">
        <w:t xml:space="preserve">part of </w:t>
      </w:r>
      <w:r w:rsidR="00434A52">
        <w:t xml:space="preserve">the INFF project. </w:t>
      </w:r>
      <w:r w:rsidR="008360D8">
        <w:t>T</w:t>
      </w:r>
      <w:r w:rsidR="004070D7">
        <w:t xml:space="preserve">he results of the DFA </w:t>
      </w:r>
      <w:r w:rsidR="00FC032B">
        <w:t xml:space="preserve">highlighted gaps in </w:t>
      </w:r>
      <w:r w:rsidR="00897A05">
        <w:t>public and private development financing</w:t>
      </w:r>
      <w:r w:rsidR="00922949">
        <w:t xml:space="preserve"> </w:t>
      </w:r>
      <w:r w:rsidR="00897A05">
        <w:t xml:space="preserve">as major challenges to </w:t>
      </w:r>
      <w:r w:rsidR="0021693B">
        <w:t xml:space="preserve">SDG achievement in Burkina Faso. </w:t>
      </w:r>
      <w:r w:rsidR="00E47953">
        <w:t>There was also a</w:t>
      </w:r>
      <w:r w:rsidR="00A55280">
        <w:t>n</w:t>
      </w:r>
      <w:r w:rsidR="00E47953">
        <w:t xml:space="preserve"> </w:t>
      </w:r>
      <w:r w:rsidR="002F0F0E">
        <w:t xml:space="preserve">acknowledgement that the DFA </w:t>
      </w:r>
      <w:r w:rsidR="00A34855">
        <w:t xml:space="preserve">was </w:t>
      </w:r>
      <w:r w:rsidR="00732C68">
        <w:t>important for</w:t>
      </w:r>
      <w:r w:rsidR="00931808">
        <w:t>: i)</w:t>
      </w:r>
      <w:r w:rsidR="00BD6DCB">
        <w:t xml:space="preserve"> identif</w:t>
      </w:r>
      <w:r w:rsidR="00922949">
        <w:t xml:space="preserve">ying </w:t>
      </w:r>
      <w:r w:rsidR="008F37C9">
        <w:t xml:space="preserve">opportunities </w:t>
      </w:r>
      <w:r w:rsidR="005F5F75">
        <w:t xml:space="preserve">for </w:t>
      </w:r>
      <w:r w:rsidR="008F37C9">
        <w:t xml:space="preserve">and constraints </w:t>
      </w:r>
      <w:r w:rsidR="00931808">
        <w:t xml:space="preserve">to </w:t>
      </w:r>
      <w:r w:rsidR="008F37C9">
        <w:t xml:space="preserve">the mobilisation and management of development financing; and ii) </w:t>
      </w:r>
      <w:r w:rsidR="00B535C1">
        <w:t>develop</w:t>
      </w:r>
      <w:r w:rsidR="005F5F75">
        <w:t>ing</w:t>
      </w:r>
      <w:r w:rsidR="00B535C1">
        <w:t xml:space="preserve"> </w:t>
      </w:r>
      <w:r w:rsidR="00DE3550">
        <w:t xml:space="preserve">an </w:t>
      </w:r>
      <w:r w:rsidR="00B535C1">
        <w:t>INFF r</w:t>
      </w:r>
      <w:r w:rsidR="00DE3550">
        <w:t>o</w:t>
      </w:r>
      <w:r w:rsidR="00B535C1">
        <w:t xml:space="preserve">admap and </w:t>
      </w:r>
      <w:r w:rsidR="00DE3550">
        <w:t>financing strategy</w:t>
      </w:r>
      <w:r w:rsidR="0021693B">
        <w:t>.</w:t>
      </w:r>
      <w:r w:rsidR="00E9216F">
        <w:rPr>
          <w:rStyle w:val="FootnoteReference"/>
        </w:rPr>
        <w:footnoteReference w:id="103"/>
      </w:r>
      <w:r w:rsidR="0021693B">
        <w:t xml:space="preserve"> </w:t>
      </w:r>
    </w:p>
    <w:p w14:paraId="1AD25FBA" w14:textId="390E14A4" w:rsidR="00401360" w:rsidRDefault="0012680D" w:rsidP="00E54253">
      <w:pPr>
        <w:pStyle w:val="BodyText"/>
      </w:pPr>
      <w:r>
        <w:t>Based on this context, the</w:t>
      </w:r>
      <w:r w:rsidR="00801DAC">
        <w:t>re was evidence of</w:t>
      </w:r>
      <w:r w:rsidR="00C20783">
        <w:t xml:space="preserve"> coherence between the objectives of the </w:t>
      </w:r>
      <w:r w:rsidR="002E0184">
        <w:t>IN</w:t>
      </w:r>
      <w:r w:rsidR="00A71BA5">
        <w:t xml:space="preserve">FF </w:t>
      </w:r>
      <w:r w:rsidR="00C20783">
        <w:t>project and the</w:t>
      </w:r>
      <w:r w:rsidR="008F497A">
        <w:t xml:space="preserve"> </w:t>
      </w:r>
      <w:r w:rsidR="004D0EC1">
        <w:t>goals</w:t>
      </w:r>
      <w:r w:rsidR="004C21AF">
        <w:t xml:space="preserve"> </w:t>
      </w:r>
      <w:r w:rsidR="008F497A">
        <w:t>of the</w:t>
      </w:r>
      <w:r w:rsidR="00C20783">
        <w:t xml:space="preserve"> 2022 DFA</w:t>
      </w:r>
      <w:r w:rsidR="006A4F57">
        <w:t xml:space="preserve">. </w:t>
      </w:r>
      <w:r w:rsidR="000F58EE">
        <w:t xml:space="preserve">The project </w:t>
      </w:r>
      <w:r w:rsidR="007D539D">
        <w:t xml:space="preserve">also </w:t>
      </w:r>
      <w:r w:rsidR="00801DAC">
        <w:t>fit</w:t>
      </w:r>
      <w:r w:rsidR="000F58EE">
        <w:t xml:space="preserve">ted logically into the </w:t>
      </w:r>
      <w:r w:rsidR="004C2400">
        <w:t xml:space="preserve">national </w:t>
      </w:r>
      <w:r w:rsidR="0039100B">
        <w:t>sustainable development landscape</w:t>
      </w:r>
      <w:r w:rsidR="00E80AB8">
        <w:t xml:space="preserve">, </w:t>
      </w:r>
      <w:r w:rsidR="004C2400">
        <w:t xml:space="preserve">given the </w:t>
      </w:r>
      <w:r w:rsidR="00904873">
        <w:t xml:space="preserve">investment by the government in strategic </w:t>
      </w:r>
      <w:r w:rsidR="001E1799">
        <w:t xml:space="preserve">assessment and </w:t>
      </w:r>
      <w:r w:rsidR="00904873">
        <w:t>planning</w:t>
      </w:r>
      <w:r w:rsidR="00B2092B">
        <w:t>,</w:t>
      </w:r>
      <w:r w:rsidR="001E1799">
        <w:t xml:space="preserve"> to inform </w:t>
      </w:r>
      <w:r w:rsidR="00785813">
        <w:t xml:space="preserve">national contributions towards the SDGs. </w:t>
      </w:r>
      <w:r w:rsidR="007D539D">
        <w:t xml:space="preserve">This was </w:t>
      </w:r>
      <w:r w:rsidR="00426EC8">
        <w:t xml:space="preserve">an </w:t>
      </w:r>
      <w:r w:rsidR="00091D2F">
        <w:t xml:space="preserve">also </w:t>
      </w:r>
      <w:r w:rsidR="00426EC8">
        <w:t xml:space="preserve">indication </w:t>
      </w:r>
      <w:r w:rsidR="007D539D">
        <w:t xml:space="preserve">of the complementarity between the project and </w:t>
      </w:r>
      <w:r w:rsidR="002F7D99">
        <w:t>s</w:t>
      </w:r>
      <w:r w:rsidR="00777D9D">
        <w:t>t</w:t>
      </w:r>
      <w:r w:rsidR="002F7D99">
        <w:t>rategic</w:t>
      </w:r>
      <w:r w:rsidR="00777D9D">
        <w:t xml:space="preserve"> </w:t>
      </w:r>
      <w:r w:rsidR="00F50571">
        <w:t>national</w:t>
      </w:r>
      <w:r w:rsidR="0086510F">
        <w:t xml:space="preserve"> </w:t>
      </w:r>
      <w:r w:rsidR="002646CB">
        <w:t>directives for development financing</w:t>
      </w:r>
      <w:r w:rsidR="005A6E4A">
        <w:t>, with emphasis on INFF design and implementation</w:t>
      </w:r>
      <w:r w:rsidR="007078FD">
        <w:t>.</w:t>
      </w:r>
      <w:r w:rsidR="00A316C3">
        <w:t xml:space="preserve"> </w:t>
      </w:r>
    </w:p>
    <w:p w14:paraId="06DE1270" w14:textId="7252FADA" w:rsidR="00CF6D66" w:rsidRDefault="003D48B9" w:rsidP="00E54253">
      <w:pPr>
        <w:pStyle w:val="BodyText"/>
      </w:pPr>
      <w:r>
        <w:lastRenderedPageBreak/>
        <w:t xml:space="preserve">The element of complementarity was further </w:t>
      </w:r>
      <w:r w:rsidR="00EB43E9">
        <w:t>de</w:t>
      </w:r>
      <w:r w:rsidR="00475EFE">
        <w:t xml:space="preserve">monstrated in </w:t>
      </w:r>
      <w:r w:rsidR="00EB43E9">
        <w:t xml:space="preserve">the responsiveness of the </w:t>
      </w:r>
      <w:r w:rsidR="002C1497">
        <w:t xml:space="preserve">project </w:t>
      </w:r>
      <w:r w:rsidR="001C34F7">
        <w:t xml:space="preserve">to the </w:t>
      </w:r>
      <w:r w:rsidR="00C80D0B">
        <w:t>gap in country level capacit</w:t>
      </w:r>
      <w:r w:rsidR="00664E8A">
        <w:t xml:space="preserve">y for </w:t>
      </w:r>
      <w:r w:rsidR="00C80D0B">
        <w:t xml:space="preserve">development financing. </w:t>
      </w:r>
      <w:r w:rsidR="00E85208">
        <w:t xml:space="preserve">To illustrate, </w:t>
      </w:r>
      <w:r w:rsidR="001C34F7">
        <w:t xml:space="preserve">the </w:t>
      </w:r>
      <w:r w:rsidR="00DC629A">
        <w:t xml:space="preserve">Government of </w:t>
      </w:r>
      <w:r w:rsidR="00AB0C4D">
        <w:t xml:space="preserve">Burkina Faso requested </w:t>
      </w:r>
      <w:r w:rsidR="003870CB">
        <w:t>support</w:t>
      </w:r>
      <w:r w:rsidR="00F42664">
        <w:t xml:space="preserve"> f</w:t>
      </w:r>
      <w:r w:rsidR="00DC629A">
        <w:t xml:space="preserve">rom UNECA and UNCTAD </w:t>
      </w:r>
      <w:r w:rsidR="00356AEF">
        <w:t xml:space="preserve">to </w:t>
      </w:r>
      <w:r w:rsidR="00EE6995">
        <w:t>strengthen the nationa</w:t>
      </w:r>
      <w:r w:rsidR="00E1538C">
        <w:t>l capacity to detect; measure and combat illicit financial flows.</w:t>
      </w:r>
      <w:r w:rsidR="00E1538C">
        <w:rPr>
          <w:rStyle w:val="FootnoteReference"/>
        </w:rPr>
        <w:footnoteReference w:id="104"/>
      </w:r>
      <w:r w:rsidR="00E1538C">
        <w:t xml:space="preserve"> </w:t>
      </w:r>
      <w:r w:rsidR="00BD6583">
        <w:t xml:space="preserve">This request emerged in response to national workshops </w:t>
      </w:r>
      <w:r w:rsidR="00E03F09">
        <w:t>in Ouagadougou</w:t>
      </w:r>
      <w:r w:rsidR="00C202AF">
        <w:t>, which were facilitated under the</w:t>
      </w:r>
      <w:r w:rsidR="00BD6583">
        <w:t xml:space="preserve"> </w:t>
      </w:r>
      <w:r w:rsidR="00BA17C5">
        <w:t>INFF project</w:t>
      </w:r>
      <w:r w:rsidR="0059438B">
        <w:t xml:space="preserve"> in 2022: </w:t>
      </w:r>
      <w:r w:rsidR="00284BE7">
        <w:t>i) an inception workshop</w:t>
      </w:r>
      <w:r w:rsidR="00EF3303">
        <w:t>/ training for the National Steering Committee for INFF Development</w:t>
      </w:r>
      <w:r w:rsidR="00284BE7">
        <w:t xml:space="preserve">; and ii) a workshop to validate the DFA and </w:t>
      </w:r>
      <w:r w:rsidR="00F30460">
        <w:t xml:space="preserve">the INFF implementation roadmap. </w:t>
      </w:r>
      <w:r w:rsidR="00F17122">
        <w:t>A coor</w:t>
      </w:r>
      <w:r w:rsidR="00B10D57">
        <w:t>dinated response by UNECA and UNCTAD</w:t>
      </w:r>
      <w:r w:rsidR="00BE2494">
        <w:t>,</w:t>
      </w:r>
      <w:r w:rsidR="000E44C9">
        <w:t xml:space="preserve"> </w:t>
      </w:r>
      <w:r w:rsidR="00B10D57">
        <w:t>to</w:t>
      </w:r>
      <w:r w:rsidR="00F954B5">
        <w:t xml:space="preserve"> </w:t>
      </w:r>
      <w:r w:rsidR="00281390">
        <w:t>the request from the government</w:t>
      </w:r>
      <w:r w:rsidR="00F954B5">
        <w:t>,</w:t>
      </w:r>
      <w:r w:rsidR="00281390">
        <w:t xml:space="preserve"> allowed Bur</w:t>
      </w:r>
      <w:r w:rsidR="00444181">
        <w:t>kina Faso to gain access to</w:t>
      </w:r>
      <w:r w:rsidR="00B15EEC">
        <w:t xml:space="preserve"> workshops on</w:t>
      </w:r>
      <w:r w:rsidR="00BA3338">
        <w:t>: i)</w:t>
      </w:r>
      <w:r w:rsidR="00444181">
        <w:t xml:space="preserve"> </w:t>
      </w:r>
      <w:r w:rsidR="00F70C00">
        <w:t>measu</w:t>
      </w:r>
      <w:r w:rsidR="002F54A0">
        <w:t>ring</w:t>
      </w:r>
      <w:r w:rsidR="00F70C00">
        <w:t xml:space="preserve"> and addressing </w:t>
      </w:r>
      <w:r w:rsidR="002F54A0">
        <w:t>illicit financial flows</w:t>
      </w:r>
      <w:r w:rsidR="00B15EEC">
        <w:t xml:space="preserve">, including within the extractive sector (to mitigate terrorism and financing risks); </w:t>
      </w:r>
      <w:r w:rsidR="000E44C9">
        <w:t xml:space="preserve">and </w:t>
      </w:r>
      <w:r w:rsidR="00BA3338">
        <w:t xml:space="preserve">ii) </w:t>
      </w:r>
      <w:r w:rsidR="005C66F1">
        <w:t>trade gap analysis</w:t>
      </w:r>
      <w:r w:rsidR="00533BE3">
        <w:t xml:space="preserve">. </w:t>
      </w:r>
      <w:r w:rsidR="00533BE3">
        <w:rPr>
          <w:rStyle w:val="FootnoteReference"/>
        </w:rPr>
        <w:footnoteReference w:id="105"/>
      </w:r>
      <w:r w:rsidR="00CF6D66">
        <w:t xml:space="preserve"> </w:t>
      </w:r>
      <w:r w:rsidR="000A0490">
        <w:t>C</w:t>
      </w:r>
      <w:r w:rsidR="00DF2A03">
        <w:t>ollaboration between the project and UNDP</w:t>
      </w:r>
      <w:r w:rsidR="00461C93">
        <w:t xml:space="preserve"> also contributed towards </w:t>
      </w:r>
      <w:r w:rsidR="00C061F0">
        <w:t xml:space="preserve">a commitment </w:t>
      </w:r>
      <w:r w:rsidR="0063612E">
        <w:t>by</w:t>
      </w:r>
      <w:r w:rsidR="00DF2A03">
        <w:t xml:space="preserve"> </w:t>
      </w:r>
      <w:r w:rsidR="00C061F0">
        <w:t>UNDP to f</w:t>
      </w:r>
      <w:r w:rsidR="0063612E">
        <w:t>inance t</w:t>
      </w:r>
      <w:r w:rsidR="00827EF9">
        <w:t xml:space="preserve">he development of </w:t>
      </w:r>
      <w:r w:rsidR="0063612E">
        <w:t xml:space="preserve">the INFF </w:t>
      </w:r>
      <w:r w:rsidR="00827EF9">
        <w:t>financing strategy</w:t>
      </w:r>
      <w:r w:rsidR="0063612E">
        <w:t xml:space="preserve"> </w:t>
      </w:r>
      <w:r w:rsidR="00897FBA">
        <w:t>for</w:t>
      </w:r>
      <w:r w:rsidR="0063612E">
        <w:t xml:space="preserve"> Burkina Faso</w:t>
      </w:r>
      <w:r w:rsidR="00827EF9">
        <w:t>.</w:t>
      </w:r>
    </w:p>
    <w:p w14:paraId="6290B7C7" w14:textId="0427594C" w:rsidR="00863F41" w:rsidRPr="00BA46C9" w:rsidRDefault="00863F41" w:rsidP="00863F41">
      <w:pPr>
        <w:pStyle w:val="BodyText"/>
        <w:rPr>
          <w:i/>
          <w:iCs/>
        </w:rPr>
      </w:pPr>
      <w:r w:rsidRPr="00BA46C9">
        <w:rPr>
          <w:i/>
          <w:iCs/>
        </w:rPr>
        <w:t>Joint SDG Fund support</w:t>
      </w:r>
      <w:r w:rsidR="005549C6" w:rsidRPr="00BA46C9">
        <w:rPr>
          <w:i/>
          <w:iCs/>
        </w:rPr>
        <w:t>:</w:t>
      </w:r>
      <w:r w:rsidRPr="00BA46C9">
        <w:rPr>
          <w:i/>
          <w:iCs/>
        </w:rPr>
        <w:t xml:space="preserve"> </w:t>
      </w:r>
    </w:p>
    <w:p w14:paraId="50AA2E18" w14:textId="3D243DBD" w:rsidR="001B0E9D" w:rsidRDefault="00EE1312" w:rsidP="000E2B97">
      <w:pPr>
        <w:pStyle w:val="BodyText"/>
      </w:pPr>
      <w:r w:rsidRPr="004E0000">
        <w:t xml:space="preserve">There </w:t>
      </w:r>
      <w:r w:rsidR="000E2B97" w:rsidRPr="004E0000">
        <w:t>are</w:t>
      </w:r>
      <w:r w:rsidRPr="004E0000">
        <w:t xml:space="preserve"> several exampl</w:t>
      </w:r>
      <w:r>
        <w:t xml:space="preserve">es of </w:t>
      </w:r>
      <w:r w:rsidR="003E4E6C">
        <w:t xml:space="preserve">parallel projects </w:t>
      </w:r>
      <w:r w:rsidR="00BD7DE4">
        <w:t xml:space="preserve">within </w:t>
      </w:r>
      <w:r w:rsidR="003E4E6C">
        <w:t>the target countries</w:t>
      </w:r>
      <w:r w:rsidR="00BD7DE4">
        <w:t xml:space="preserve">, which </w:t>
      </w:r>
      <w:r w:rsidR="000E2B97">
        <w:t xml:space="preserve">were </w:t>
      </w:r>
      <w:r w:rsidR="00AA1F47">
        <w:t>funded</w:t>
      </w:r>
      <w:r w:rsidR="00123919">
        <w:t xml:space="preserve"> </w:t>
      </w:r>
      <w:r w:rsidR="006F7DE1">
        <w:t xml:space="preserve">by </w:t>
      </w:r>
      <w:r w:rsidR="005071F1" w:rsidRPr="009531F0">
        <w:t>the Joint SDG Fund</w:t>
      </w:r>
      <w:r w:rsidR="00AA1F47">
        <w:t>.</w:t>
      </w:r>
      <w:r w:rsidR="00123919">
        <w:rPr>
          <w:rStyle w:val="FootnoteReference"/>
        </w:rPr>
        <w:footnoteReference w:id="106"/>
      </w:r>
      <w:r w:rsidR="00AA1F47">
        <w:t xml:space="preserve"> </w:t>
      </w:r>
      <w:r w:rsidR="007B58C7">
        <w:t>In the following examples of parallel projects, each project was led by the government of the target country, with the support of the UNCT</w:t>
      </w:r>
      <w:r w:rsidR="00AC435A">
        <w:t>.</w:t>
      </w:r>
      <w:r w:rsidR="00AC435A" w:rsidRPr="00AC435A">
        <w:t xml:space="preserve"> </w:t>
      </w:r>
      <w:r w:rsidR="000D74FA">
        <w:t xml:space="preserve">The </w:t>
      </w:r>
      <w:r w:rsidR="00AC435A">
        <w:t xml:space="preserve">grants </w:t>
      </w:r>
      <w:r w:rsidR="000D74FA">
        <w:t xml:space="preserve">that were provided </w:t>
      </w:r>
      <w:r w:rsidR="005A6E80">
        <w:t xml:space="preserve">for these projects supported activity implementation over the </w:t>
      </w:r>
      <w:r w:rsidR="00B51C67">
        <w:t xml:space="preserve">period </w:t>
      </w:r>
      <w:r w:rsidR="00AC435A">
        <w:t>2020-2022</w:t>
      </w:r>
      <w:r w:rsidR="007B58C7">
        <w:t xml:space="preserve">. Executing entities for the INFF project were </w:t>
      </w:r>
      <w:r w:rsidR="00B51C67">
        <w:t xml:space="preserve">also </w:t>
      </w:r>
      <w:r w:rsidR="007B58C7">
        <w:t>included among the project partners for three of these projects, i.e. UNCTAD</w:t>
      </w:r>
      <w:r w:rsidR="00D84B60">
        <w:t xml:space="preserve"> and UNESCWA</w:t>
      </w:r>
      <w:r w:rsidR="007B58C7">
        <w:t xml:space="preserve"> (Egypt); UNECA (Zambia); and UNESCAP (Samoa).</w:t>
      </w:r>
    </w:p>
    <w:p w14:paraId="615AF3A7" w14:textId="77777777" w:rsidR="00CB05E5" w:rsidRPr="009053F6" w:rsidRDefault="00CB05E5" w:rsidP="00CB05E5">
      <w:pPr>
        <w:pStyle w:val="BodyText"/>
        <w:ind w:left="720"/>
      </w:pPr>
      <w:r w:rsidRPr="009053F6">
        <w:rPr>
          <w:u w:val="single"/>
        </w:rPr>
        <w:t>Egypt</w:t>
      </w:r>
      <w:r w:rsidRPr="009053F6">
        <w:t>:</w:t>
      </w:r>
    </w:p>
    <w:p w14:paraId="79423D3C" w14:textId="77777777" w:rsidR="00CB05E5" w:rsidRDefault="00CB05E5" w:rsidP="00CB05E5">
      <w:pPr>
        <w:jc w:val="both"/>
      </w:pPr>
      <w:r w:rsidRPr="009053F6">
        <w:t>A grant of USD $0.924 million to Egypt under the Joint Programme</w:t>
      </w:r>
      <w:r w:rsidRPr="009053F6">
        <w:rPr>
          <w:rStyle w:val="FootnoteReference"/>
        </w:rPr>
        <w:footnoteReference w:id="107"/>
      </w:r>
      <w:r w:rsidRPr="009053F6">
        <w:t xml:space="preserve"> was used to</w:t>
      </w:r>
      <w:r>
        <w:t xml:space="preserve"> support the achievement of</w:t>
      </w:r>
      <w:r w:rsidRPr="009053F6">
        <w:t xml:space="preserve"> the national goals for sustainable development and </w:t>
      </w:r>
      <w:r>
        <w:t xml:space="preserve">secure </w:t>
      </w:r>
      <w:r w:rsidRPr="009053F6">
        <w:t xml:space="preserve">multi-year development financing that </w:t>
      </w:r>
      <w:r>
        <w:t>was</w:t>
      </w:r>
      <w:r w:rsidRPr="009053F6">
        <w:t xml:space="preserve"> ‘adaptable; predictable; and resilient.’</w:t>
      </w:r>
      <w:r w:rsidRPr="009053F6">
        <w:rPr>
          <w:rStyle w:val="FootnoteReference"/>
        </w:rPr>
        <w:footnoteReference w:id="108"/>
      </w:r>
      <w:r w:rsidRPr="009053F6">
        <w:t xml:space="preserve"> The Joint Programme for Egypt was </w:t>
      </w:r>
      <w:r>
        <w:t>implemented within</w:t>
      </w:r>
      <w:r w:rsidRPr="009053F6">
        <w:t xml:space="preserve"> a </w:t>
      </w:r>
      <w:r w:rsidRPr="009053F6">
        <w:t>challenging socio-economic environment, which emerged from the effects of multiple external crises (e.g. the COVID-19 pandemic and the Ukraine war) and domestic vulnerabilities on the Egypt economy (</w:t>
      </w:r>
      <w:r>
        <w:t>e</w:t>
      </w:r>
      <w:r w:rsidRPr="009053F6">
        <w:t>.</w:t>
      </w:r>
      <w:r>
        <w:t>g.</w:t>
      </w:r>
      <w:r w:rsidRPr="009053F6">
        <w:t xml:space="preserve"> domestic inflation</w:t>
      </w:r>
      <w:r>
        <w:t>;</w:t>
      </w:r>
      <w:r w:rsidRPr="009053F6">
        <w:t xml:space="preserve"> debt accumulation</w:t>
      </w:r>
      <w:r>
        <w:t>; etc.</w:t>
      </w:r>
      <w:r w:rsidRPr="009053F6">
        <w:t>).</w:t>
      </w:r>
      <w:r w:rsidRPr="00AC377D">
        <w:rPr>
          <w:rStyle w:val="FootnoteReference"/>
        </w:rPr>
        <w:t xml:space="preserve"> </w:t>
      </w:r>
      <w:r w:rsidRPr="009053F6">
        <w:rPr>
          <w:rStyle w:val="FootnoteReference"/>
        </w:rPr>
        <w:footnoteReference w:id="109"/>
      </w:r>
      <w:r w:rsidRPr="009053F6">
        <w:t xml:space="preserve"> An analysis of the status of the SDGs in Egypt </w:t>
      </w:r>
      <w:r>
        <w:t xml:space="preserve">also concluded </w:t>
      </w:r>
      <w:r w:rsidRPr="009053F6">
        <w:t xml:space="preserve">that although the government </w:t>
      </w:r>
      <w:r>
        <w:t xml:space="preserve">had established measures for </w:t>
      </w:r>
      <w:r w:rsidRPr="009053F6">
        <w:t>econom</w:t>
      </w:r>
      <w:r>
        <w:t>ic</w:t>
      </w:r>
      <w:r w:rsidRPr="009053F6">
        <w:t xml:space="preserve"> resilien</w:t>
      </w:r>
      <w:r>
        <w:t>ce</w:t>
      </w:r>
      <w:r w:rsidRPr="009053F6">
        <w:t xml:space="preserve"> to future shocks, </w:t>
      </w:r>
      <w:r>
        <w:t xml:space="preserve">national </w:t>
      </w:r>
      <w:r w:rsidRPr="009053F6">
        <w:t xml:space="preserve">progress towards SDG achievement </w:t>
      </w:r>
      <w:r>
        <w:t>was</w:t>
      </w:r>
      <w:r w:rsidRPr="009053F6">
        <w:t xml:space="preserve"> not uniform across all SDGs.</w:t>
      </w:r>
      <w:r w:rsidRPr="009053F6">
        <w:rPr>
          <w:rStyle w:val="FootnoteReference"/>
        </w:rPr>
        <w:footnoteReference w:id="110"/>
      </w:r>
    </w:p>
    <w:p w14:paraId="7D341264" w14:textId="77777777" w:rsidR="00CB05E5" w:rsidRDefault="00CB05E5" w:rsidP="00CB05E5">
      <w:pPr>
        <w:pStyle w:val="BodyText"/>
      </w:pPr>
      <w:r>
        <w:t>As a result of its involvement in the Joint Programme, Egypt gained access to: knowledge; partnerships; and resources (tools; analyses; best practices; shared experiences; institutional arrangements; etc.), to strengthen its approach to development financing and institutionalise the impact of the programme.</w:t>
      </w:r>
      <w:r>
        <w:rPr>
          <w:rStyle w:val="FootnoteReference"/>
        </w:rPr>
        <w:footnoteReference w:id="111"/>
      </w:r>
      <w:r>
        <w:t xml:space="preserve"> A common element between the Joint Programme and the INFF project in Egypt was the use of the capacity-building and peer-learning modalities during activity implementation. The Joint Programme placed greater emphasis, however, on contextual support for INFF development, and the formation of strategic partnerships to guide this process.</w:t>
      </w:r>
      <w:r w:rsidRPr="00510921">
        <w:t xml:space="preserve"> </w:t>
      </w:r>
      <w:r>
        <w:t>To illustrate, the Government of Egypt engaged UNESCWA as a strategic partner for the costing and methodological review of the SDGs, although the executing entity was not identified as a participating UN Organisations (PUNOs) within the Joint Programme Agreement.</w:t>
      </w:r>
      <w:r w:rsidRPr="0007255B">
        <w:t xml:space="preserve"> </w:t>
      </w:r>
      <w:r>
        <w:t>UNESCWA was also represented on the FfD Task Team for the Joint Programme. As UNCTAD was one of the PUNOs of the Joint Programme, it also provided support for online meetings; trainings; capacity-building; and resource development in the specialised area of illicit financial flows</w:t>
      </w:r>
      <w:r>
        <w:rPr>
          <w:rStyle w:val="FootnoteReference"/>
        </w:rPr>
        <w:footnoteReference w:id="112"/>
      </w:r>
    </w:p>
    <w:p w14:paraId="51B2803C" w14:textId="4ECA9C64" w:rsidR="00CB05E5" w:rsidRDefault="00CB05E5" w:rsidP="00CB05E5">
      <w:pPr>
        <w:pStyle w:val="BodyText"/>
      </w:pPr>
      <w:r>
        <w:t>Of interest, one of the challenges to the involvement of Egypt in the INFF project was an inability of stakeholders from the participating ministry</w:t>
      </w:r>
      <w:r>
        <w:rPr>
          <w:rStyle w:val="FootnoteReference"/>
        </w:rPr>
        <w:footnoteReference w:id="113"/>
      </w:r>
      <w:r>
        <w:t xml:space="preserve"> to distinguish between INFF project activities and the activities of the Joint Programme.</w:t>
      </w:r>
      <w:r w:rsidRPr="00B63013">
        <w:rPr>
          <w:rStyle w:val="FootnoteReference"/>
        </w:rPr>
        <w:t xml:space="preserve"> </w:t>
      </w:r>
      <w:r>
        <w:rPr>
          <w:rStyle w:val="FootnoteReference"/>
        </w:rPr>
        <w:footnoteReference w:id="114"/>
      </w:r>
      <w:r>
        <w:t xml:space="preserve"> As this implied that there was a duplication of activities, there were implications for progress reporting by the ministry on achieved milestones under each initiative. To illustrate, </w:t>
      </w:r>
      <w:r>
        <w:lastRenderedPageBreak/>
        <w:t>the SDG costing activity by UNESCWA was common to the Joint Programme and the INFF project. As the costing exercise for the INFF project was conducted in response to a specific request by Egypt, the responsiveness of the INFF project to the needs of the target countries is noted (i.e. the project addressed the need for tailored technical assistance at the country level further to the inception workshop). Yet, this development has provided evidence of reduced complementarity between the INFF project and the Joint Programme. The issue of focus goes beyond progress reporting at the level of MDA</w:t>
      </w:r>
      <w:r w:rsidR="00BA7ED0">
        <w:t>s</w:t>
      </w:r>
      <w:r>
        <w:t xml:space="preserve">. An emergent question is whether the duplicated activities were reported under the Joint Programme and the INFF project simultaneously, as results/ milestones that had been achieved by the executing entity. While this level of results reporting is not necessarily inaccurate, it raises an issue of whether greater coordination is needed to minimise duplication (e.g. by establishing distinct project activities) or whether increased efficiencies during project implementation are attainable if project activities were to be implemented across projects (e.g. joint implementation as an alternative to project-specific implementation). </w:t>
      </w:r>
    </w:p>
    <w:p w14:paraId="426AAF5B" w14:textId="4A8CB9F7" w:rsidR="00F56165" w:rsidRPr="00BA46C9" w:rsidRDefault="00BA46C9" w:rsidP="00DE6F2B">
      <w:pPr>
        <w:pStyle w:val="BodyText"/>
        <w:ind w:left="720"/>
        <w:rPr>
          <w:u w:val="single"/>
        </w:rPr>
      </w:pPr>
      <w:r w:rsidRPr="00BA46C9">
        <w:rPr>
          <w:u w:val="single"/>
        </w:rPr>
        <w:t>Kyrgyzstan</w:t>
      </w:r>
      <w:r w:rsidRPr="00BA46C9">
        <w:t>:</w:t>
      </w:r>
    </w:p>
    <w:p w14:paraId="7C1CACBE" w14:textId="47A585C9" w:rsidR="005B7188" w:rsidRDefault="005B7188" w:rsidP="00BA46C9">
      <w:pPr>
        <w:pStyle w:val="BodyText"/>
      </w:pPr>
      <w:r>
        <w:t xml:space="preserve">Kyrgyzstan received a grant of </w:t>
      </w:r>
      <w:r w:rsidRPr="00E8214C">
        <w:t>USD $0.975</w:t>
      </w:r>
      <w:r>
        <w:t xml:space="preserve"> million from the Joint Programme</w:t>
      </w:r>
      <w:r w:rsidRPr="00E8214C">
        <w:t xml:space="preserve"> to develop an INFF</w:t>
      </w:r>
      <w:r>
        <w:t xml:space="preserve"> that aligned with its National Development Plan</w:t>
      </w:r>
      <w:r w:rsidR="006E3EC8">
        <w:t>,</w:t>
      </w:r>
      <w:r>
        <w:t xml:space="preserve"> and improved the use of public funds and the governance of private finance.</w:t>
      </w:r>
      <w:r>
        <w:rPr>
          <w:rStyle w:val="FootnoteReference"/>
        </w:rPr>
        <w:footnoteReference w:id="115"/>
      </w:r>
      <w:r>
        <w:t xml:space="preserve"> </w:t>
      </w:r>
      <w:r w:rsidRPr="00EC773B">
        <w:t>As an INFF pioneering country</w:t>
      </w:r>
      <w:r>
        <w:t>,</w:t>
      </w:r>
      <w:r w:rsidRPr="00EC773B">
        <w:rPr>
          <w:rStyle w:val="FootnoteReference"/>
        </w:rPr>
        <w:footnoteReference w:id="116"/>
      </w:r>
      <w:r w:rsidRPr="00EC773B">
        <w:t xml:space="preserve"> </w:t>
      </w:r>
      <w:r w:rsidRPr="00343863">
        <w:t xml:space="preserve">Kyrgyzstan </w:t>
      </w:r>
      <w:r w:rsidR="001667F5" w:rsidRPr="00343863">
        <w:t xml:space="preserve">had </w:t>
      </w:r>
      <w:r w:rsidRPr="00343863">
        <w:t xml:space="preserve">completed several INFF-related activities prior to its involvement in the INFF project, including the development and launch of the </w:t>
      </w:r>
      <w:hyperlink r:id="rId31" w:history="1">
        <w:r w:rsidRPr="00895027">
          <w:rPr>
            <w:rStyle w:val="Hyperlink"/>
          </w:rPr>
          <w:t>2018-2040 National Development Strategy</w:t>
        </w:r>
      </w:hyperlink>
      <w:r w:rsidRPr="00343863">
        <w:t xml:space="preserve"> (NDS)</w:t>
      </w:r>
      <w:r w:rsidRPr="00343863">
        <w:rPr>
          <w:rStyle w:val="FootnoteReference"/>
        </w:rPr>
        <w:footnoteReference w:id="117"/>
      </w:r>
      <w:r w:rsidRPr="00343863">
        <w:t xml:space="preserve">. There was a gap in available funding to support implementation, </w:t>
      </w:r>
      <w:r w:rsidR="00996D09" w:rsidRPr="00343863">
        <w:t xml:space="preserve">however, </w:t>
      </w:r>
      <w:r w:rsidRPr="00343863">
        <w:t>and a need for diversified sources of funding from the public and private sector</w:t>
      </w:r>
      <w:r w:rsidR="00623324">
        <w:t>s</w:t>
      </w:r>
      <w:r w:rsidRPr="00343863">
        <w:t>.</w:t>
      </w:r>
      <w:r w:rsidR="00744F7F" w:rsidRPr="00343863">
        <w:rPr>
          <w:rStyle w:val="FootnoteReference"/>
        </w:rPr>
        <w:footnoteReference w:id="118"/>
      </w:r>
      <w:r w:rsidRPr="00343863">
        <w:t xml:space="preserve"> As a result, </w:t>
      </w:r>
      <w:r w:rsidR="00A676B4" w:rsidRPr="00343863">
        <w:t xml:space="preserve">the 2018 </w:t>
      </w:r>
      <w:r w:rsidR="00F238D5" w:rsidRPr="00343863">
        <w:t xml:space="preserve">MAPS </w:t>
      </w:r>
      <w:r w:rsidR="000102A2" w:rsidRPr="00343863">
        <w:t xml:space="preserve">report for Kyrgyzstan included </w:t>
      </w:r>
      <w:r w:rsidR="00654733" w:rsidRPr="00343863">
        <w:t xml:space="preserve">a recommendation </w:t>
      </w:r>
      <w:r w:rsidRPr="00343863">
        <w:t>for the mobilisation of new sources of funding</w:t>
      </w:r>
      <w:r w:rsidR="00C04898" w:rsidRPr="00343863">
        <w:t>.</w:t>
      </w:r>
      <w:r w:rsidR="00C04898" w:rsidRPr="00343863">
        <w:rPr>
          <w:rStyle w:val="FootnoteReference"/>
        </w:rPr>
        <w:t xml:space="preserve"> </w:t>
      </w:r>
      <w:r w:rsidR="00C04898" w:rsidRPr="00343863">
        <w:rPr>
          <w:rStyle w:val="FootnoteReference"/>
        </w:rPr>
        <w:footnoteReference w:id="119"/>
      </w:r>
      <w:r w:rsidR="00C04898" w:rsidRPr="00343863">
        <w:t xml:space="preserve"> </w:t>
      </w:r>
      <w:r w:rsidRPr="00343863">
        <w:t xml:space="preserve">At the 2019 </w:t>
      </w:r>
      <w:r w:rsidRPr="00343863">
        <w:t>UN General Assembly, therefore, the Government of Kyrgyzstan committed to the development and implementation of an INFF to support the achievement of its national development objectives</w:t>
      </w:r>
      <w:r w:rsidR="00AC65DE">
        <w:t>.</w:t>
      </w:r>
      <w:r w:rsidRPr="00343863">
        <w:rPr>
          <w:rStyle w:val="FootnoteReference"/>
        </w:rPr>
        <w:footnoteReference w:id="120"/>
      </w:r>
    </w:p>
    <w:p w14:paraId="160E9128" w14:textId="7BA3B676" w:rsidR="00EA612E" w:rsidRDefault="00AB4296" w:rsidP="00FA111F">
      <w:pPr>
        <w:pStyle w:val="BodyText"/>
      </w:pPr>
      <w:r>
        <w:t>Two point</w:t>
      </w:r>
      <w:r w:rsidR="007A23AB">
        <w:t>s</w:t>
      </w:r>
      <w:r>
        <w:t xml:space="preserve"> should be </w:t>
      </w:r>
      <w:r w:rsidR="00550BC6">
        <w:t>reiterated</w:t>
      </w:r>
      <w:r>
        <w:t xml:space="preserve">. First, </w:t>
      </w:r>
      <w:r w:rsidR="009F1349">
        <w:t xml:space="preserve">there was an </w:t>
      </w:r>
      <w:r w:rsidR="00831C4E">
        <w:t xml:space="preserve">identified </w:t>
      </w:r>
      <w:r w:rsidR="004D1377">
        <w:t xml:space="preserve">contextual </w:t>
      </w:r>
      <w:r w:rsidR="00831C4E">
        <w:t xml:space="preserve">need </w:t>
      </w:r>
      <w:r w:rsidR="004D1377">
        <w:t xml:space="preserve">for </w:t>
      </w:r>
      <w:r w:rsidR="0071301F">
        <w:t xml:space="preserve">new sources of development financing to support </w:t>
      </w:r>
      <w:r w:rsidR="00550BC6">
        <w:t>the implementation of the National Development Strategy</w:t>
      </w:r>
      <w:r w:rsidR="00111050" w:rsidRPr="00111050">
        <w:t xml:space="preserve"> </w:t>
      </w:r>
      <w:r w:rsidR="00111050">
        <w:t>in Kyrgyzstan</w:t>
      </w:r>
      <w:r w:rsidR="00550BC6">
        <w:t xml:space="preserve">. Second, </w:t>
      </w:r>
      <w:r w:rsidR="00317F93">
        <w:t>there was</w:t>
      </w:r>
      <w:r w:rsidR="00461320">
        <w:t xml:space="preserve"> </w:t>
      </w:r>
      <w:r w:rsidR="00153C35">
        <w:t xml:space="preserve">a strong recommendation for </w:t>
      </w:r>
      <w:r w:rsidR="00565323">
        <w:t>the mobilisation of development financing from the public and private sec</w:t>
      </w:r>
      <w:r w:rsidR="00775895">
        <w:t>tors.</w:t>
      </w:r>
      <w:r w:rsidR="00565323">
        <w:t xml:space="preserve"> </w:t>
      </w:r>
      <w:r w:rsidR="00834CA7">
        <w:t>Within th</w:t>
      </w:r>
      <w:r w:rsidR="00B20765">
        <w:t xml:space="preserve">is context, there was evidence of coherence between the </w:t>
      </w:r>
      <w:r w:rsidR="001441D0">
        <w:t xml:space="preserve">Joint Programme </w:t>
      </w:r>
      <w:r w:rsidR="00044BB1">
        <w:t xml:space="preserve">and the INFF project as they were </w:t>
      </w:r>
      <w:r w:rsidR="00485E25">
        <w:t xml:space="preserve">each </w:t>
      </w:r>
      <w:r w:rsidR="00044BB1">
        <w:t xml:space="preserve">responsive to </w:t>
      </w:r>
      <w:r w:rsidR="009D16CE">
        <w:t xml:space="preserve">the </w:t>
      </w:r>
      <w:r w:rsidR="006D66DF">
        <w:t>stated requirement</w:t>
      </w:r>
      <w:r w:rsidR="0053741B">
        <w:t>s (i.e</w:t>
      </w:r>
      <w:r w:rsidR="00C05BC4">
        <w:t>.</w:t>
      </w:r>
      <w:r w:rsidR="0053741B">
        <w:t xml:space="preserve"> </w:t>
      </w:r>
      <w:r w:rsidR="00834CA7">
        <w:t xml:space="preserve">the </w:t>
      </w:r>
      <w:r w:rsidR="00485E25">
        <w:t>need to mobilise develop</w:t>
      </w:r>
      <w:r w:rsidR="008967A2">
        <w:t xml:space="preserve">ment funding and </w:t>
      </w:r>
      <w:r w:rsidR="00D47D2B">
        <w:t>the sourc</w:t>
      </w:r>
      <w:r w:rsidR="007A5229">
        <w:t>e</w:t>
      </w:r>
      <w:r w:rsidR="00D47D2B">
        <w:t xml:space="preserve"> the required funds from the public and private sectors).</w:t>
      </w:r>
      <w:r w:rsidR="00D22E58">
        <w:t xml:space="preserve"> </w:t>
      </w:r>
      <w:r w:rsidR="0083551F">
        <w:t xml:space="preserve">Indeed, </w:t>
      </w:r>
      <w:r w:rsidR="00485E25">
        <w:t xml:space="preserve">the initiatives </w:t>
      </w:r>
      <w:r w:rsidR="00E91862">
        <w:t xml:space="preserve">had elements in </w:t>
      </w:r>
      <w:r w:rsidR="00485E25">
        <w:t>c</w:t>
      </w:r>
      <w:r w:rsidR="0083551F">
        <w:t>ommo</w:t>
      </w:r>
      <w:r w:rsidR="00E91862">
        <w:t>n</w:t>
      </w:r>
      <w:r w:rsidR="0083551F">
        <w:t xml:space="preserve">, such as </w:t>
      </w:r>
      <w:r w:rsidR="00502B31">
        <w:t xml:space="preserve">having completed </w:t>
      </w:r>
      <w:r w:rsidR="007A5229">
        <w:t xml:space="preserve">a </w:t>
      </w:r>
      <w:r w:rsidR="00574A96">
        <w:t>baseline study and situation analysis</w:t>
      </w:r>
      <w:r w:rsidR="00E91862">
        <w:t xml:space="preserve"> prior </w:t>
      </w:r>
      <w:r w:rsidR="00B808E9">
        <w:t xml:space="preserve">to </w:t>
      </w:r>
      <w:r w:rsidR="00D474AE">
        <w:t>implementation</w:t>
      </w:r>
      <w:r w:rsidR="00502B31">
        <w:t xml:space="preserve">, as well </w:t>
      </w:r>
      <w:r w:rsidR="000100A5">
        <w:t xml:space="preserve">the use of </w:t>
      </w:r>
      <w:r w:rsidR="007E46B1">
        <w:t xml:space="preserve">a </w:t>
      </w:r>
      <w:r w:rsidR="00B808E9">
        <w:t xml:space="preserve">capacity-building </w:t>
      </w:r>
      <w:r w:rsidR="007E46B1">
        <w:t>modality.</w:t>
      </w:r>
      <w:r w:rsidR="00380C3D">
        <w:t xml:space="preserve"> </w:t>
      </w:r>
      <w:r w:rsidR="0065760D">
        <w:t>As a area of distinction, however, t</w:t>
      </w:r>
      <w:r w:rsidR="009538F9">
        <w:t xml:space="preserve">he </w:t>
      </w:r>
      <w:r w:rsidR="006817B7">
        <w:t xml:space="preserve">Joint Programme </w:t>
      </w:r>
      <w:r w:rsidR="00DC2E39">
        <w:t xml:space="preserve">provided </w:t>
      </w:r>
      <w:r w:rsidR="00B740A5">
        <w:t xml:space="preserve">context-specific </w:t>
      </w:r>
      <w:r w:rsidR="009D5D21">
        <w:t>technical assistance in identified intervention areas</w:t>
      </w:r>
      <w:r w:rsidR="003E177F">
        <w:t xml:space="preserve"> (budget planning; fiscal management; cross-sectoral stakeholder engagement; and monitoring and oversight)</w:t>
      </w:r>
      <w:r w:rsidR="00E00CA5">
        <w:t>,</w:t>
      </w:r>
      <w:r w:rsidR="007957BE">
        <w:t xml:space="preserve"> in</w:t>
      </w:r>
      <w:r w:rsidR="003E177F">
        <w:t xml:space="preserve"> support of the Nat</w:t>
      </w:r>
      <w:r w:rsidR="00F670F5">
        <w:t>i</w:t>
      </w:r>
      <w:r w:rsidR="003E177F">
        <w:t>onal Development Strategy and the SDG</w:t>
      </w:r>
      <w:r w:rsidR="007957BE">
        <w:t xml:space="preserve"> agenda</w:t>
      </w:r>
      <w:r w:rsidR="00C65E6B">
        <w:t>.</w:t>
      </w:r>
      <w:r w:rsidR="00CA2606">
        <w:rPr>
          <w:rStyle w:val="FootnoteReference"/>
        </w:rPr>
        <w:footnoteReference w:id="121"/>
      </w:r>
      <w:r w:rsidR="00C65E6B">
        <w:t xml:space="preserve"> </w:t>
      </w:r>
      <w:r w:rsidR="00F670F5">
        <w:t>In contrast</w:t>
      </w:r>
      <w:r w:rsidR="00C65E6B">
        <w:t xml:space="preserve">, </w:t>
      </w:r>
      <w:r w:rsidR="009D5D21">
        <w:t xml:space="preserve">the INFF project </w:t>
      </w:r>
      <w:r w:rsidR="00035F7A">
        <w:t>facil</w:t>
      </w:r>
      <w:r w:rsidR="00702BD0">
        <w:t>itated access to a specialised tool for evaluating</w:t>
      </w:r>
      <w:r w:rsidR="009C6D7B">
        <w:t xml:space="preserve"> Public-Private Partnerships (PPP) and </w:t>
      </w:r>
      <w:r w:rsidR="00702BD0">
        <w:t>infrastructure projects</w:t>
      </w:r>
      <w:r w:rsidR="009C6D7B">
        <w:t xml:space="preserve">, </w:t>
      </w:r>
      <w:r w:rsidR="00650040">
        <w:t xml:space="preserve">to </w:t>
      </w:r>
      <w:r w:rsidR="00D14A7D">
        <w:t xml:space="preserve">support </w:t>
      </w:r>
      <w:r w:rsidR="009C6D7B">
        <w:t xml:space="preserve">alignment </w:t>
      </w:r>
      <w:r w:rsidR="00310694">
        <w:t xml:space="preserve">with the </w:t>
      </w:r>
      <w:r w:rsidR="00650040">
        <w:t>SDGs.</w:t>
      </w:r>
      <w:r w:rsidR="006C09C4">
        <w:rPr>
          <w:rStyle w:val="FootnoteReference"/>
        </w:rPr>
        <w:footnoteReference w:id="122"/>
      </w:r>
      <w:r w:rsidR="00650040">
        <w:t xml:space="preserve"> </w:t>
      </w:r>
      <w:r w:rsidR="00D403E6">
        <w:t xml:space="preserve">In effect, the INFF project built on and was complementary to </w:t>
      </w:r>
      <w:r w:rsidR="00D86D72">
        <w:t xml:space="preserve">the Joint Programme. The question that should be addressed, however, is whether there was need for two </w:t>
      </w:r>
      <w:r w:rsidR="00510F21">
        <w:t xml:space="preserve">separate initiatives to inform </w:t>
      </w:r>
      <w:r w:rsidR="00E91E47">
        <w:t xml:space="preserve">the country-level uptake of the </w:t>
      </w:r>
      <w:r w:rsidR="00683CBD">
        <w:t>INFF methodology</w:t>
      </w:r>
      <w:r w:rsidR="00056C23">
        <w:t xml:space="preserve">. </w:t>
      </w:r>
      <w:r w:rsidR="00BE70AC">
        <w:t xml:space="preserve">The issue of focus </w:t>
      </w:r>
      <w:r w:rsidR="00B05521">
        <w:t xml:space="preserve">is </w:t>
      </w:r>
      <w:r w:rsidR="00BE70AC">
        <w:t xml:space="preserve">not about complementarity, but </w:t>
      </w:r>
      <w:r w:rsidR="00EF38BA">
        <w:t xml:space="preserve">rather, </w:t>
      </w:r>
      <w:r w:rsidR="00BE70AC">
        <w:t>resource efficiency.</w:t>
      </w:r>
    </w:p>
    <w:p w14:paraId="51ABB7B9" w14:textId="77777777" w:rsidR="00CB05E5" w:rsidRDefault="00CB05E5" w:rsidP="00CB05E5">
      <w:pPr>
        <w:pStyle w:val="BodyText"/>
        <w:ind w:left="720"/>
      </w:pPr>
      <w:r w:rsidRPr="00DA1483">
        <w:rPr>
          <w:u w:val="single"/>
        </w:rPr>
        <w:t>Samoa</w:t>
      </w:r>
      <w:r>
        <w:t>:</w:t>
      </w:r>
    </w:p>
    <w:p w14:paraId="43B42367" w14:textId="77777777" w:rsidR="00CB05E5" w:rsidRDefault="00CB05E5" w:rsidP="00CB05E5">
      <w:pPr>
        <w:pStyle w:val="BodyText"/>
      </w:pPr>
      <w:r>
        <w:t xml:space="preserve">A grant of USD $ 0.71 million to Samoa under the Joint Programme targeted the need to safeguard natural </w:t>
      </w:r>
      <w:r>
        <w:lastRenderedPageBreak/>
        <w:t>capital and ecosystem services.</w:t>
      </w:r>
      <w:r w:rsidRPr="00290386">
        <w:rPr>
          <w:rStyle w:val="FootnoteReference"/>
        </w:rPr>
        <w:t xml:space="preserve"> </w:t>
      </w:r>
      <w:r>
        <w:rPr>
          <w:rStyle w:val="FootnoteReference"/>
        </w:rPr>
        <w:footnoteReference w:id="123"/>
      </w:r>
      <w:r>
        <w:t xml:space="preserve"> As the Lead National Coordinating Authority for the Joint </w:t>
      </w:r>
      <w:r w:rsidRPr="008E3A0A">
        <w:t xml:space="preserve">Programme, the Scientific </w:t>
      </w:r>
      <w:r w:rsidRPr="008E3A0A">
        <w:rPr>
          <w:lang w:val="en-GB"/>
        </w:rPr>
        <w:t>Research Organisation of Samoa (SROS) collaborated closely with national partners and PUNOs</w:t>
      </w:r>
      <w:r>
        <w:rPr>
          <w:lang w:val="en-GB"/>
        </w:rPr>
        <w:t>,</w:t>
      </w:r>
      <w:r w:rsidRPr="008E3A0A">
        <w:rPr>
          <w:lang w:val="en-GB"/>
        </w:rPr>
        <w:t xml:space="preserve"> the latter of which included UNESCAP.</w:t>
      </w:r>
      <w:r w:rsidRPr="008E3A0A">
        <w:rPr>
          <w:rStyle w:val="FootnoteReference"/>
        </w:rPr>
        <w:t xml:space="preserve"> </w:t>
      </w:r>
      <w:r w:rsidRPr="008E3A0A">
        <w:rPr>
          <w:rStyle w:val="FootnoteReference"/>
        </w:rPr>
        <w:footnoteReference w:id="124"/>
      </w:r>
    </w:p>
    <w:p w14:paraId="70BEEF2C" w14:textId="77777777" w:rsidR="00CB05E5" w:rsidRDefault="00CB05E5" w:rsidP="00CB05E5">
      <w:pPr>
        <w:pStyle w:val="BodyText"/>
      </w:pPr>
      <w:r w:rsidRPr="008E3A0A">
        <w:t xml:space="preserve">Based on the results of the </w:t>
      </w:r>
      <w:hyperlink r:id="rId32" w:history="1">
        <w:r w:rsidRPr="008E3A0A">
          <w:rPr>
            <w:rStyle w:val="Hyperlink"/>
          </w:rPr>
          <w:t>2019 DFA for Samoa</w:t>
        </w:r>
      </w:hyperlink>
      <w:r w:rsidRPr="008E3A0A">
        <w:t xml:space="preserve">, strategic national planning </w:t>
      </w:r>
      <w:r>
        <w:t>was</w:t>
      </w:r>
      <w:r w:rsidRPr="008E3A0A">
        <w:t xml:space="preserve"> structured around well-articulated priorities and results that </w:t>
      </w:r>
      <w:r>
        <w:t xml:space="preserve">were </w:t>
      </w:r>
      <w:r w:rsidRPr="008E3A0A">
        <w:t xml:space="preserve">aligned to the SDG agenda. As </w:t>
      </w:r>
      <w:r>
        <w:t xml:space="preserve">Samoa has used </w:t>
      </w:r>
      <w:r w:rsidRPr="008E3A0A">
        <w:t xml:space="preserve">tax revenue as </w:t>
      </w:r>
      <w:r>
        <w:t>a</w:t>
      </w:r>
      <w:r w:rsidRPr="008E3A0A">
        <w:t xml:space="preserve"> </w:t>
      </w:r>
      <w:r>
        <w:t xml:space="preserve">significant </w:t>
      </w:r>
      <w:r w:rsidRPr="008E3A0A">
        <w:t>source of development financ</w:t>
      </w:r>
      <w:r>
        <w:t>e,</w:t>
      </w:r>
      <w:r w:rsidRPr="008E3A0A">
        <w:t xml:space="preserve"> however, there </w:t>
      </w:r>
      <w:r>
        <w:t xml:space="preserve">has been </w:t>
      </w:r>
      <w:r w:rsidRPr="008E3A0A">
        <w:t xml:space="preserve">scope for financial </w:t>
      </w:r>
      <w:r>
        <w:t>flow</w:t>
      </w:r>
      <w:r w:rsidRPr="008E3A0A">
        <w:t xml:space="preserve">s </w:t>
      </w:r>
      <w:r>
        <w:t xml:space="preserve">from </w:t>
      </w:r>
      <w:r w:rsidRPr="008E3A0A">
        <w:t>diversifi</w:t>
      </w:r>
      <w:r>
        <w:t xml:space="preserve">ed sources </w:t>
      </w:r>
      <w:r w:rsidRPr="008E3A0A">
        <w:t>and a more effective use of mobilised funding.</w:t>
      </w:r>
      <w:r>
        <w:rPr>
          <w:rStyle w:val="FootnoteReference"/>
        </w:rPr>
        <w:footnoteReference w:id="125"/>
      </w:r>
      <w:r w:rsidRPr="008E3A0A">
        <w:t xml:space="preserve"> The potential benefits to Samoa include, inter alia, an increase in the predictability and volume of development financing, to accelerate</w:t>
      </w:r>
      <w:r>
        <w:t xml:space="preserve"> national contributions towards the SDGs. These benefits are significant because Samoa is economically reliant on the protection of its ecosystem, amidst continuous environmental degradation.</w:t>
      </w:r>
      <w:r>
        <w:rPr>
          <w:rStyle w:val="FootnoteReference"/>
        </w:rPr>
        <w:footnoteReference w:id="126"/>
      </w:r>
    </w:p>
    <w:p w14:paraId="67EA5322" w14:textId="77777777" w:rsidR="00CB05E5" w:rsidRDefault="00CB05E5" w:rsidP="00CB05E5">
      <w:pPr>
        <w:pStyle w:val="BodyText"/>
      </w:pPr>
      <w:r>
        <w:t xml:space="preserve">The Joint Programme supported local research on natural resources and ecosystem services and contributed towards policy development and planning in these areas. Emergent results from these activities are important for targeted investment; national SDG contributions; and reporting against the SDGs. Based on the recognition that </w:t>
      </w:r>
      <w:r w:rsidRPr="00EC7758">
        <w:t>a healthy ecosystem has a positive impact on human well-being, a whole-of-society approach was used to engage all categories of relevant stakeholders and organisational entities in addressing the need for sustainable ecosystem management in Samoa.</w:t>
      </w:r>
      <w:r w:rsidRPr="00EC7758">
        <w:rPr>
          <w:rStyle w:val="FootnoteReference"/>
        </w:rPr>
        <w:footnoteReference w:id="127"/>
      </w:r>
      <w:r>
        <w:t xml:space="preserve"> </w:t>
      </w:r>
    </w:p>
    <w:p w14:paraId="23842BC6" w14:textId="77777777" w:rsidR="00CB05E5" w:rsidRDefault="00CB05E5" w:rsidP="00CB05E5">
      <w:pPr>
        <w:pStyle w:val="BodyText"/>
      </w:pPr>
      <w:r>
        <w:t xml:space="preserve">As the INFF project also facilitated research on development financing for ecosystem management in Samoa, there was evidence of coherence between the project and the activities of the Joint Programme. A partnership between UNESCAP and the Government of Samoa was formed during the INFF project to conduct a study on enhanced financing opportunities for climate action and nature-based solutions in </w:t>
      </w:r>
      <w:r>
        <w:t>Samoa.</w:t>
      </w:r>
      <w:r>
        <w:rPr>
          <w:rStyle w:val="FootnoteReference"/>
        </w:rPr>
        <w:footnoteReference w:id="128"/>
      </w:r>
      <w:r>
        <w:t xml:space="preserve"> This study built on and has been complementary to the activities of the Joint Programme. Yet, a factor to consider in the assessment of complementarity is resource scarcity within the Samoan public sector. One of the challenges to activity implementation under the INFF project was the low staff to existing workload ratio in public administration. There were implications for the project that took the form of delayed implementation. The focal issue, here, does not pertain to programmatic coherence, but rather, the issue of allocative efficiency. There has been an expectation of public sector engagement in project activities, but there has also been an inadequate understanding of internal resource limitations to effective project participation.  </w:t>
      </w:r>
    </w:p>
    <w:p w14:paraId="1B59E360" w14:textId="43DBFDC1" w:rsidR="003932C8" w:rsidRDefault="00B63013" w:rsidP="00B63013">
      <w:pPr>
        <w:pStyle w:val="BodyText"/>
        <w:ind w:left="720"/>
      </w:pPr>
      <w:r w:rsidRPr="00B63013">
        <w:rPr>
          <w:u w:val="single"/>
        </w:rPr>
        <w:t>Zambia</w:t>
      </w:r>
      <w:r>
        <w:t>:</w:t>
      </w:r>
    </w:p>
    <w:p w14:paraId="7EEB5236" w14:textId="24F9F9B9" w:rsidR="00D2666B" w:rsidRDefault="000D15CE" w:rsidP="000E2B97">
      <w:pPr>
        <w:pStyle w:val="BodyText"/>
      </w:pPr>
      <w:r>
        <w:t xml:space="preserve">Zambia </w:t>
      </w:r>
      <w:r w:rsidR="004F3AAD">
        <w:t xml:space="preserve">received </w:t>
      </w:r>
      <w:r>
        <w:t xml:space="preserve">a grant of </w:t>
      </w:r>
      <w:r w:rsidR="004F3AAD">
        <w:t xml:space="preserve">USD $1 million </w:t>
      </w:r>
      <w:r w:rsidR="00016B51">
        <w:t>under the Joint Programme</w:t>
      </w:r>
      <w:r w:rsidR="008A7BB4">
        <w:t>,</w:t>
      </w:r>
      <w:r w:rsidR="004F3AAD">
        <w:t xml:space="preserve"> to develop and operationalise an INFF</w:t>
      </w:r>
      <w:r w:rsidR="00C248C7">
        <w:t xml:space="preserve"> that </w:t>
      </w:r>
      <w:r w:rsidR="0084304D">
        <w:t xml:space="preserve">integrated the SDG agenda into </w:t>
      </w:r>
      <w:r w:rsidR="00D910FE">
        <w:t>national budgeting and development planning</w:t>
      </w:r>
      <w:r w:rsidR="007B4D3C">
        <w:t>.</w:t>
      </w:r>
      <w:r w:rsidR="004F3AAD">
        <w:rPr>
          <w:rStyle w:val="FootnoteReference"/>
        </w:rPr>
        <w:footnoteReference w:id="129"/>
      </w:r>
      <w:r w:rsidR="00C248C7">
        <w:t xml:space="preserve"> </w:t>
      </w:r>
      <w:r w:rsidR="000048E4">
        <w:t xml:space="preserve">The need for this approach was informed by the results of the </w:t>
      </w:r>
      <w:hyperlink r:id="rId33" w:history="1">
        <w:r w:rsidR="000048E4" w:rsidRPr="00B26899">
          <w:rPr>
            <w:rStyle w:val="Hyperlink"/>
          </w:rPr>
          <w:t>2023 DFA for Zambia</w:t>
        </w:r>
      </w:hyperlink>
      <w:r w:rsidR="000048E4">
        <w:t xml:space="preserve">, </w:t>
      </w:r>
      <w:r w:rsidR="00D45925">
        <w:t xml:space="preserve">which </w:t>
      </w:r>
      <w:r w:rsidR="000048E4">
        <w:t>identified a weak linkage between national budgeting and planning</w:t>
      </w:r>
      <w:r w:rsidR="0009202F">
        <w:t>. This</w:t>
      </w:r>
      <w:r w:rsidR="003A39D0">
        <w:t xml:space="preserve"> was</w:t>
      </w:r>
      <w:r w:rsidR="0009202F">
        <w:t xml:space="preserve"> </w:t>
      </w:r>
      <w:r w:rsidR="000048E4">
        <w:t>one of the major challenges to</w:t>
      </w:r>
      <w:r w:rsidR="00343AE3">
        <w:t xml:space="preserve"> the</w:t>
      </w:r>
      <w:r w:rsidR="000048E4">
        <w:t xml:space="preserve"> </w:t>
      </w:r>
      <w:r w:rsidR="00C72EE8">
        <w:t xml:space="preserve">implementation of the </w:t>
      </w:r>
      <w:hyperlink r:id="rId34" w:history="1">
        <w:r w:rsidR="00E669E7" w:rsidRPr="0094534B">
          <w:rPr>
            <w:rStyle w:val="Hyperlink"/>
          </w:rPr>
          <w:t xml:space="preserve">Eight </w:t>
        </w:r>
        <w:r w:rsidR="00C72EE8" w:rsidRPr="0094534B">
          <w:rPr>
            <w:rStyle w:val="Hyperlink"/>
          </w:rPr>
          <w:t>National Development Plan</w:t>
        </w:r>
        <w:r w:rsidR="0094534B" w:rsidRPr="0094534B">
          <w:rPr>
            <w:rStyle w:val="Hyperlink"/>
          </w:rPr>
          <w:t>, 2022-2026</w:t>
        </w:r>
      </w:hyperlink>
      <w:r w:rsidR="00C72EE8">
        <w:t xml:space="preserve"> and </w:t>
      </w:r>
      <w:r w:rsidR="003A39D0">
        <w:t xml:space="preserve">the facilitation of national </w:t>
      </w:r>
      <w:r w:rsidR="00D2666B">
        <w:t xml:space="preserve">contributions towards the </w:t>
      </w:r>
      <w:r w:rsidR="00346891">
        <w:t>SDG a</w:t>
      </w:r>
      <w:r w:rsidR="00343AE3">
        <w:t>genda</w:t>
      </w:r>
      <w:r w:rsidR="000048E4">
        <w:t>.</w:t>
      </w:r>
      <w:r w:rsidR="00261122">
        <w:t xml:space="preserve"> </w:t>
      </w:r>
      <w:r w:rsidR="00013C7F">
        <w:t xml:space="preserve">The DFA highlighted a </w:t>
      </w:r>
      <w:r w:rsidR="00E652BD">
        <w:t xml:space="preserve">similar challenge at the level of data quality and </w:t>
      </w:r>
      <w:r w:rsidR="00013C7F">
        <w:t xml:space="preserve">data </w:t>
      </w:r>
      <w:r w:rsidR="00E652BD">
        <w:t>availability</w:t>
      </w:r>
      <w:r w:rsidR="00EB4864">
        <w:t xml:space="preserve">, as </w:t>
      </w:r>
      <w:r w:rsidR="004268BA">
        <w:t>limitations</w:t>
      </w:r>
      <w:r w:rsidR="00EB4864">
        <w:t xml:space="preserve"> in th</w:t>
      </w:r>
      <w:r w:rsidR="00013C7F">
        <w:t>e</w:t>
      </w:r>
      <w:r w:rsidR="00EB4864">
        <w:t>s</w:t>
      </w:r>
      <w:r w:rsidR="00013C7F">
        <w:t>e</w:t>
      </w:r>
      <w:r w:rsidR="00EB4864">
        <w:t xml:space="preserve"> area</w:t>
      </w:r>
      <w:r w:rsidR="00013C7F">
        <w:t>s</w:t>
      </w:r>
      <w:r w:rsidR="00EB4864">
        <w:t xml:space="preserve"> reduced the capacity for </w:t>
      </w:r>
      <w:r w:rsidR="00B37D06">
        <w:t xml:space="preserve">evidence-based decision-making. </w:t>
      </w:r>
      <w:r w:rsidR="00013C7F">
        <w:t xml:space="preserve">It follows that </w:t>
      </w:r>
      <w:r w:rsidR="00B37D06">
        <w:t xml:space="preserve">the DFA </w:t>
      </w:r>
      <w:r w:rsidR="0016348D">
        <w:t>underscored the need for innovative and diversified sources of development financ</w:t>
      </w:r>
      <w:r w:rsidR="0052282A">
        <w:t xml:space="preserve">ing, with emphasis on the application </w:t>
      </w:r>
      <w:r w:rsidR="00482B99">
        <w:t>of the INFF methodology.</w:t>
      </w:r>
      <w:r w:rsidR="00E652BD">
        <w:t xml:space="preserve"> </w:t>
      </w:r>
    </w:p>
    <w:p w14:paraId="5713F3C2" w14:textId="77777777" w:rsidR="00DA4601" w:rsidRDefault="00F8766A" w:rsidP="000E2B97">
      <w:pPr>
        <w:pStyle w:val="BodyText"/>
      </w:pPr>
      <w:r w:rsidRPr="00441E1F">
        <w:t>In response to the</w:t>
      </w:r>
      <w:r w:rsidR="00651297" w:rsidRPr="00441E1F">
        <w:t xml:space="preserve">se contextual challenges, the Joint Programme was used to identify and </w:t>
      </w:r>
      <w:r w:rsidR="00217A1F" w:rsidRPr="00441E1F">
        <w:t xml:space="preserve">address </w:t>
      </w:r>
      <w:r w:rsidR="007F2633" w:rsidRPr="00441E1F">
        <w:t xml:space="preserve">the </w:t>
      </w:r>
      <w:r w:rsidR="008E1EFA" w:rsidRPr="00441E1F">
        <w:t xml:space="preserve">constraints to strategic and sustainable national development. This process involved </w:t>
      </w:r>
      <w:r w:rsidR="00B97874">
        <w:t xml:space="preserve">providing </w:t>
      </w:r>
      <w:r w:rsidR="001D53AA" w:rsidRPr="00441E1F">
        <w:t>support</w:t>
      </w:r>
      <w:r w:rsidR="008E1EFA" w:rsidRPr="00441E1F">
        <w:t xml:space="preserve"> for </w:t>
      </w:r>
      <w:r w:rsidR="001D53AA" w:rsidRPr="00441E1F">
        <w:t xml:space="preserve">the mobilisation </w:t>
      </w:r>
      <w:r w:rsidR="008E1EFA" w:rsidRPr="00441E1F">
        <w:t xml:space="preserve">of </w:t>
      </w:r>
      <w:r w:rsidR="001D53AA" w:rsidRPr="00441E1F">
        <w:t>development financing from domestic and international sources.</w:t>
      </w:r>
      <w:r w:rsidR="001D53AA" w:rsidRPr="00441E1F">
        <w:rPr>
          <w:rStyle w:val="FootnoteReference"/>
        </w:rPr>
        <w:footnoteReference w:id="130"/>
      </w:r>
      <w:r w:rsidR="002D0B79" w:rsidRPr="00441E1F">
        <w:t xml:space="preserve"> </w:t>
      </w:r>
      <w:r w:rsidR="001A6B86" w:rsidRPr="00441E1F">
        <w:t>As one of the PUNOs, UNECA-SROA</w:t>
      </w:r>
      <w:r w:rsidR="00955FC5" w:rsidRPr="00441E1F">
        <w:t xml:space="preserve"> </w:t>
      </w:r>
      <w:r w:rsidR="00441E1F" w:rsidRPr="00441E1F">
        <w:t xml:space="preserve">contributed </w:t>
      </w:r>
      <w:r w:rsidR="00955FC5" w:rsidRPr="00441E1F">
        <w:t xml:space="preserve">strategic technical assistance for the identification and establishment of </w:t>
      </w:r>
      <w:r w:rsidR="00955FC5" w:rsidRPr="00441E1F">
        <w:lastRenderedPageBreak/>
        <w:t>sustainable development financing.</w:t>
      </w:r>
      <w:r w:rsidR="004F731A" w:rsidRPr="00441E1F">
        <w:t xml:space="preserve"> The comparative advantage of </w:t>
      </w:r>
      <w:r w:rsidR="00F03C8D" w:rsidRPr="00441E1F">
        <w:t xml:space="preserve">the executing entity </w:t>
      </w:r>
      <w:r w:rsidR="00BC2E8D">
        <w:t xml:space="preserve">during </w:t>
      </w:r>
      <w:r w:rsidR="006D04DE">
        <w:t xml:space="preserve">this process </w:t>
      </w:r>
      <w:r w:rsidR="00F03C8D" w:rsidRPr="00441E1F">
        <w:t xml:space="preserve">was its expertise in several issues of relevance to </w:t>
      </w:r>
      <w:r w:rsidR="007B4556" w:rsidRPr="00441E1F">
        <w:t>development financing in Zambia (e.g. domestic resource</w:t>
      </w:r>
      <w:r w:rsidR="00952FD6">
        <w:t>s</w:t>
      </w:r>
      <w:r w:rsidR="007B4556" w:rsidRPr="00441E1F">
        <w:t xml:space="preserve"> mobilisation; public sector and economic governance reform; SDG data and costing</w:t>
      </w:r>
      <w:r w:rsidR="00B83BD5" w:rsidRPr="00441E1F">
        <w:t>; etc.).</w:t>
      </w:r>
      <w:r w:rsidR="00260F6C" w:rsidRPr="00441E1F">
        <w:rPr>
          <w:rStyle w:val="FootnoteReference"/>
        </w:rPr>
        <w:t xml:space="preserve"> </w:t>
      </w:r>
      <w:r w:rsidR="00260F6C" w:rsidRPr="00441E1F">
        <w:rPr>
          <w:rStyle w:val="FootnoteReference"/>
        </w:rPr>
        <w:footnoteReference w:id="131"/>
      </w:r>
      <w:r w:rsidR="00D17F35" w:rsidRPr="00441E1F">
        <w:t xml:space="preserve"> </w:t>
      </w:r>
    </w:p>
    <w:p w14:paraId="6EC45C4C" w14:textId="0064E078" w:rsidR="00166DB7" w:rsidRDefault="00EA2C91" w:rsidP="000E2B97">
      <w:pPr>
        <w:pStyle w:val="BodyText"/>
      </w:pPr>
      <w:r>
        <w:t xml:space="preserve">As </w:t>
      </w:r>
      <w:r w:rsidRPr="00441E1F">
        <w:t xml:space="preserve">the </w:t>
      </w:r>
      <w:r>
        <w:t xml:space="preserve">implementation of the </w:t>
      </w:r>
      <w:r w:rsidRPr="00441E1F">
        <w:t>Joint Programme and the INFF project</w:t>
      </w:r>
      <w:r w:rsidRPr="00EA2C91">
        <w:t xml:space="preserve"> </w:t>
      </w:r>
      <w:r>
        <w:t xml:space="preserve">both addressed challenges to development financing, </w:t>
      </w:r>
      <w:r w:rsidR="00AD5803">
        <w:t>there was some measure of programmatic coherence between these initiat</w:t>
      </w:r>
      <w:r w:rsidR="007A41B9">
        <w:t xml:space="preserve">ives. </w:t>
      </w:r>
      <w:r w:rsidR="0034125D">
        <w:t xml:space="preserve">Yet, </w:t>
      </w:r>
      <w:r w:rsidR="002C2E5F">
        <w:t xml:space="preserve">the </w:t>
      </w:r>
      <w:r w:rsidR="007A41B9">
        <w:t>f</w:t>
      </w:r>
      <w:r w:rsidR="006C5E36">
        <w:t xml:space="preserve">acilitation of </w:t>
      </w:r>
      <w:r w:rsidR="00C209F0">
        <w:t xml:space="preserve">capacity-building workshops on similar topics of interest </w:t>
      </w:r>
      <w:r w:rsidR="00733C9A">
        <w:t>(e.g. illicit financial flows)</w:t>
      </w:r>
      <w:r w:rsidR="002C2E5F">
        <w:t xml:space="preserve"> implied </w:t>
      </w:r>
      <w:r w:rsidR="00D97AB5">
        <w:t xml:space="preserve">a duplication of efforts. </w:t>
      </w:r>
      <w:r w:rsidR="00A36BF4">
        <w:t xml:space="preserve">There continued to be a </w:t>
      </w:r>
      <w:r w:rsidR="00A866F4">
        <w:t xml:space="preserve">marked difference in the overall focus of each initiative, however, as </w:t>
      </w:r>
      <w:r w:rsidR="00245DB8">
        <w:t>t</w:t>
      </w:r>
      <w:r w:rsidR="006268DF">
        <w:t xml:space="preserve">he Joint Programme </w:t>
      </w:r>
      <w:r w:rsidR="00166DB7">
        <w:t>provided tailored technical assistance for INFF design and implementation</w:t>
      </w:r>
      <w:r w:rsidR="002575BE">
        <w:t xml:space="preserve">. In contrast, INFF project implementation centre on </w:t>
      </w:r>
      <w:r w:rsidR="00A823D4">
        <w:t>generalised guidance on the INFF methodology</w:t>
      </w:r>
      <w:r w:rsidR="00566587">
        <w:t xml:space="preserve"> (supported by </w:t>
      </w:r>
      <w:r w:rsidR="006321A6">
        <w:t>knowledge-exchange</w:t>
      </w:r>
      <w:r w:rsidR="00566587">
        <w:t xml:space="preserve"> and </w:t>
      </w:r>
      <w:r w:rsidR="006321A6">
        <w:t>peer-learning</w:t>
      </w:r>
      <w:r w:rsidR="00566587">
        <w:t>)</w:t>
      </w:r>
      <w:r w:rsidR="00A823D4">
        <w:t xml:space="preserve"> and specialised work</w:t>
      </w:r>
      <w:r w:rsidR="00566587">
        <w:t xml:space="preserve">shops; trainings </w:t>
      </w:r>
      <w:r w:rsidR="00AA2AEB">
        <w:t xml:space="preserve">in response to country-level requests. </w:t>
      </w:r>
    </w:p>
    <w:p w14:paraId="2A3BD197" w14:textId="12E374DF" w:rsidR="00FD584C" w:rsidRDefault="00F51CA8" w:rsidP="006D79E0">
      <w:pPr>
        <w:pStyle w:val="BodyText"/>
        <w:spacing w:before="240"/>
      </w:pPr>
      <w:r>
        <w:t xml:space="preserve">While the </w:t>
      </w:r>
      <w:r w:rsidRPr="00447538">
        <w:t>examples of parallel projects</w:t>
      </w:r>
      <w:r w:rsidRPr="004F72B1">
        <w:t xml:space="preserve"> </w:t>
      </w:r>
      <w:r>
        <w:t xml:space="preserve">under the Joint Programme demonstrated programmatic coherence with the INFF project, there was variation in the </w:t>
      </w:r>
      <w:r w:rsidR="00F80E81">
        <w:t xml:space="preserve">evidence </w:t>
      </w:r>
      <w:r>
        <w:t>of complementarity. This does not negate the difference between the contextual approach to activity implementation under the Joint Programme and the generalised approach of the INFF project.</w:t>
      </w:r>
      <w:r w:rsidR="00470C82">
        <w:t xml:space="preserve"> </w:t>
      </w:r>
      <w:r w:rsidR="00690ACB">
        <w:t>Instead, it highlight</w:t>
      </w:r>
      <w:r w:rsidR="00F80E81">
        <w:t>s</w:t>
      </w:r>
      <w:r w:rsidR="00690ACB">
        <w:t xml:space="preserve"> the </w:t>
      </w:r>
      <w:r w:rsidR="002C0DC6">
        <w:t xml:space="preserve">challenges that emerged from the follow-up country-specific activities of the INFF project. </w:t>
      </w:r>
      <w:r w:rsidR="00B1368B">
        <w:t>Indeed, these follow-up activities responded to the expressed needs of identified MDAs within target countries</w:t>
      </w:r>
      <w:r w:rsidR="003558BC">
        <w:t>. As the activities were contextually informed</w:t>
      </w:r>
      <w:r w:rsidR="00AB49CF">
        <w:t xml:space="preserve">, however, </w:t>
      </w:r>
      <w:r w:rsidR="00476F1B">
        <w:t xml:space="preserve">there was an increased likelihood </w:t>
      </w:r>
      <w:r w:rsidR="009B1A51">
        <w:t xml:space="preserve">that they </w:t>
      </w:r>
      <w:r w:rsidR="00432B05">
        <w:t>w</w:t>
      </w:r>
      <w:r w:rsidR="009B1A51">
        <w:t xml:space="preserve">ould </w:t>
      </w:r>
      <w:r w:rsidR="005816B8">
        <w:t xml:space="preserve">have </w:t>
      </w:r>
      <w:r w:rsidR="009B1A51">
        <w:t>duplicate</w:t>
      </w:r>
      <w:r w:rsidR="005816B8">
        <w:t>d</w:t>
      </w:r>
      <w:r w:rsidR="009B1A51">
        <w:t xml:space="preserve"> activities that were being implemented under the Joint Programme.</w:t>
      </w:r>
      <w:r w:rsidR="005816B8">
        <w:t xml:space="preserve"> In some instances, therefore, </w:t>
      </w:r>
      <w:r w:rsidR="00B36EA9">
        <w:t>a perception of duplication contributed towards</w:t>
      </w:r>
      <w:r w:rsidR="00EB3120">
        <w:t xml:space="preserve">: </w:t>
      </w:r>
      <w:r w:rsidR="00663A14">
        <w:t>i)</w:t>
      </w:r>
      <w:r w:rsidR="00F00BA5">
        <w:t xml:space="preserve"> </w:t>
      </w:r>
      <w:r w:rsidR="00B36EA9">
        <w:t>latent tensions</w:t>
      </w:r>
      <w:r w:rsidR="008B7F47">
        <w:t xml:space="preserve"> </w:t>
      </w:r>
      <w:r w:rsidR="009F0C1A">
        <w:t>at the level of p</w:t>
      </w:r>
      <w:r w:rsidR="00322F04">
        <w:t>roject implementation</w:t>
      </w:r>
      <w:r w:rsidR="00FF7F34">
        <w:t xml:space="preserve">; and ii) </w:t>
      </w:r>
      <w:r w:rsidR="00375009">
        <w:t xml:space="preserve">a degree </w:t>
      </w:r>
      <w:r w:rsidR="00936E50">
        <w:t xml:space="preserve">of </w:t>
      </w:r>
      <w:r w:rsidR="001E2C2E">
        <w:t>confusion at the level of progress reporting on milestone achievement</w:t>
      </w:r>
      <w:r w:rsidR="00936E50">
        <w:t>, with implications for</w:t>
      </w:r>
      <w:r w:rsidR="00AC046B">
        <w:t xml:space="preserve"> accountability</w:t>
      </w:r>
      <w:r w:rsidR="00DA015B">
        <w:t xml:space="preserve"> and accuracy in results reporting</w:t>
      </w:r>
      <w:r w:rsidR="001E2C2E">
        <w:t>.</w:t>
      </w:r>
      <w:r w:rsidR="00FF7F34">
        <w:rPr>
          <w:rStyle w:val="FootnoteReference"/>
        </w:rPr>
        <w:footnoteReference w:id="132"/>
      </w:r>
      <w:r w:rsidR="001E2C2E">
        <w:t xml:space="preserve"> </w:t>
      </w:r>
    </w:p>
    <w:p w14:paraId="1A0AC343" w14:textId="5E8C8874" w:rsidR="00BC2C35" w:rsidRDefault="00CF19B3" w:rsidP="0020564B">
      <w:pPr>
        <w:pStyle w:val="BodyText"/>
      </w:pPr>
      <w:r>
        <w:t xml:space="preserve">The evaluation notes, </w:t>
      </w:r>
      <w:r w:rsidR="00B91B3A">
        <w:t xml:space="preserve">however, that there was </w:t>
      </w:r>
      <w:r w:rsidR="00163F38" w:rsidRPr="00447538">
        <w:t xml:space="preserve">ongoing collaboration between UN entities </w:t>
      </w:r>
      <w:r w:rsidR="00B91B3A">
        <w:t xml:space="preserve">throughout the </w:t>
      </w:r>
      <w:r w:rsidR="00ED411A">
        <w:t xml:space="preserve">INFF </w:t>
      </w:r>
      <w:r w:rsidR="00ED411A">
        <w:t xml:space="preserve">project, </w:t>
      </w:r>
      <w:r w:rsidR="00163F38" w:rsidRPr="00447538">
        <w:t>to ensure effective coordination</w:t>
      </w:r>
      <w:r w:rsidR="00ED411A">
        <w:t xml:space="preserve">. </w:t>
      </w:r>
      <w:r w:rsidR="00E97821">
        <w:t xml:space="preserve">There was similar evidence of collaboration </w:t>
      </w:r>
      <w:r w:rsidR="00163F38" w:rsidRPr="00447538">
        <w:t xml:space="preserve">between participating MDAs and the Tier 1/ Tier 2 entities of the INFF project. As an example, UNECE was consistent in providing updates on project implementation to </w:t>
      </w:r>
      <w:r w:rsidR="00DD2438">
        <w:t>UN</w:t>
      </w:r>
      <w:r w:rsidR="00163F38" w:rsidRPr="00447538">
        <w:t xml:space="preserve"> RCO Belarus and Kyrgyzstan. </w:t>
      </w:r>
      <w:r w:rsidR="007E4564">
        <w:t>UN</w:t>
      </w:r>
      <w:r w:rsidR="00163F38" w:rsidRPr="00447538">
        <w:t>ESCWA also resolved challenges to project coordination by facilitating several meetings with project stakeholder agencies, including inter-agency meetings.</w:t>
      </w:r>
      <w:r w:rsidR="00A2242F">
        <w:t xml:space="preserve"> </w:t>
      </w:r>
    </w:p>
    <w:p w14:paraId="3ABCBC18" w14:textId="5CF31A7E" w:rsidR="00896AA7" w:rsidRPr="00D73D7F" w:rsidRDefault="00896AA7" w:rsidP="00227E56">
      <w:pPr>
        <w:pStyle w:val="BodyText"/>
        <w:rPr>
          <w:i/>
          <w:iCs/>
        </w:rPr>
      </w:pPr>
      <w:r w:rsidRPr="00CC3C2F">
        <w:rPr>
          <w:i/>
          <w:iCs/>
        </w:rPr>
        <w:t>Global agenda for development financ</w:t>
      </w:r>
      <w:r w:rsidR="008954EB" w:rsidRPr="00CC3C2F">
        <w:rPr>
          <w:i/>
          <w:iCs/>
        </w:rPr>
        <w:t>ing</w:t>
      </w:r>
    </w:p>
    <w:p w14:paraId="39E47705" w14:textId="77777777" w:rsidR="001E16AE" w:rsidRDefault="00007880" w:rsidP="001E16AE">
      <w:pPr>
        <w:pStyle w:val="BodyText"/>
      </w:pPr>
      <w:r>
        <w:t>As t</w:t>
      </w:r>
      <w:r w:rsidR="00087AF4">
        <w:t xml:space="preserve">he international development agenda includes a specialised focus on </w:t>
      </w:r>
      <w:r>
        <w:t xml:space="preserve">development financing, </w:t>
      </w:r>
      <w:r w:rsidR="000F7F2E">
        <w:t xml:space="preserve">the </w:t>
      </w:r>
      <w:r w:rsidR="00BA392B">
        <w:t xml:space="preserve">periodic </w:t>
      </w:r>
      <w:r w:rsidR="004C78A7">
        <w:t xml:space="preserve">International </w:t>
      </w:r>
      <w:r w:rsidR="004349D9">
        <w:t xml:space="preserve">Conference on </w:t>
      </w:r>
      <w:r w:rsidR="005B56AB">
        <w:t xml:space="preserve">Financing for Development (FfD) </w:t>
      </w:r>
      <w:r w:rsidR="009461E1">
        <w:t xml:space="preserve">is based on an evolving process </w:t>
      </w:r>
      <w:r w:rsidR="00BA392B">
        <w:t>for addressing global financial needs and development challenges.</w:t>
      </w:r>
      <w:r w:rsidR="00397B6E">
        <w:rPr>
          <w:rStyle w:val="FootnoteReference"/>
        </w:rPr>
        <w:footnoteReference w:id="133"/>
      </w:r>
      <w:r w:rsidR="00BA392B">
        <w:t xml:space="preserve"> </w:t>
      </w:r>
      <w:r w:rsidR="00740759">
        <w:t xml:space="preserve">Between 2002 and 2015, the FfD Conferences </w:t>
      </w:r>
      <w:r w:rsidR="00B371B0">
        <w:t xml:space="preserve">have resulted in the 2002 Monterrey Consensus; the 2008 Doha Declaration; and the 2015 Addis Agenda. </w:t>
      </w:r>
      <w:r w:rsidR="00EC3BFD">
        <w:t xml:space="preserve">The main outcome document of the </w:t>
      </w:r>
      <w:hyperlink r:id="rId35" w:history="1">
        <w:r w:rsidR="00D57DAF" w:rsidRPr="00402EF0">
          <w:rPr>
            <w:rStyle w:val="Hyperlink"/>
          </w:rPr>
          <w:t>Fourth FfD Conference (FFD4)</w:t>
        </w:r>
      </w:hyperlink>
      <w:r w:rsidR="00D57DAF">
        <w:t xml:space="preserve"> </w:t>
      </w:r>
      <w:r w:rsidR="00EC3BFD">
        <w:t xml:space="preserve">is </w:t>
      </w:r>
      <w:r w:rsidR="00D57DAF">
        <w:t xml:space="preserve">the </w:t>
      </w:r>
      <w:hyperlink r:id="rId36" w:history="1">
        <w:r w:rsidR="00D57DAF" w:rsidRPr="005F1FE3">
          <w:rPr>
            <w:rStyle w:val="Hyperlink"/>
          </w:rPr>
          <w:t>Sevilla Commitment</w:t>
        </w:r>
      </w:hyperlink>
      <w:r w:rsidR="00EC3BFD">
        <w:t xml:space="preserve">, which has built on </w:t>
      </w:r>
      <w:r w:rsidR="004D362E">
        <w:t>the resolutions of the previous conferences.</w:t>
      </w:r>
    </w:p>
    <w:p w14:paraId="648508A0" w14:textId="4B71A299" w:rsidR="00A8307D" w:rsidRDefault="00A8307D" w:rsidP="001E16AE">
      <w:pPr>
        <w:pStyle w:val="BodyText"/>
      </w:pPr>
      <w:r w:rsidRPr="00BD4BC9">
        <w:rPr>
          <w:rFonts w:eastAsia="Calibri"/>
          <w:noProof/>
        </w:rPr>
        <mc:AlternateContent>
          <mc:Choice Requires="wps">
            <w:drawing>
              <wp:inline distT="0" distB="0" distL="0" distR="0" wp14:anchorId="6177A8FD" wp14:editId="2FA52C80">
                <wp:extent cx="2949575" cy="2985770"/>
                <wp:effectExtent l="0" t="0" r="22225" b="24130"/>
                <wp:docPr id="511316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2985770"/>
                        </a:xfrm>
                        <a:prstGeom prst="rect">
                          <a:avLst/>
                        </a:prstGeom>
                        <a:solidFill>
                          <a:schemeClr val="accent1">
                            <a:alpha val="1000"/>
                          </a:schemeClr>
                        </a:solidFill>
                        <a:ln w="25400">
                          <a:solidFill>
                            <a:schemeClr val="accent1"/>
                          </a:solidFill>
                          <a:miter lim="800000"/>
                          <a:headEnd/>
                          <a:tailEnd/>
                        </a:ln>
                      </wps:spPr>
                      <wps:txbx>
                        <w:txbxContent>
                          <w:p w14:paraId="5EA8DC2E" w14:textId="77777777" w:rsidR="00A8307D" w:rsidRPr="009B24AA" w:rsidRDefault="00A8307D" w:rsidP="00A8307D">
                            <w:pPr>
                              <w:pStyle w:val="TextboxQuote"/>
                              <w:spacing w:after="0"/>
                              <w:rPr>
                                <w:sz w:val="18"/>
                                <w:szCs w:val="18"/>
                              </w:rPr>
                            </w:pPr>
                            <w:r w:rsidRPr="009B24AA">
                              <w:rPr>
                                <w:sz w:val="18"/>
                                <w:szCs w:val="18"/>
                              </w:rPr>
                              <w:t>Action Areas of the Sevilla Commitment:</w:t>
                            </w:r>
                          </w:p>
                          <w:p w14:paraId="0F13CCCC" w14:textId="77777777" w:rsidR="00A8307D" w:rsidRPr="009B24AA" w:rsidRDefault="00A8307D" w:rsidP="00A8307D">
                            <w:pPr>
                              <w:pStyle w:val="TextboxQuote"/>
                              <w:numPr>
                                <w:ilvl w:val="0"/>
                                <w:numId w:val="106"/>
                              </w:numPr>
                              <w:spacing w:after="0"/>
                              <w:rPr>
                                <w:sz w:val="18"/>
                                <w:szCs w:val="18"/>
                              </w:rPr>
                            </w:pPr>
                            <w:r w:rsidRPr="009B24AA">
                              <w:rPr>
                                <w:sz w:val="18"/>
                                <w:szCs w:val="18"/>
                              </w:rPr>
                              <w:t>Domestic public resources</w:t>
                            </w:r>
                          </w:p>
                          <w:p w14:paraId="05A459CC" w14:textId="77777777" w:rsidR="00A8307D" w:rsidRPr="009B24AA" w:rsidRDefault="00A8307D" w:rsidP="00A8307D">
                            <w:pPr>
                              <w:pStyle w:val="TextboxQuote"/>
                              <w:numPr>
                                <w:ilvl w:val="0"/>
                                <w:numId w:val="106"/>
                              </w:numPr>
                              <w:spacing w:after="0"/>
                              <w:rPr>
                                <w:sz w:val="18"/>
                                <w:szCs w:val="18"/>
                              </w:rPr>
                            </w:pPr>
                            <w:r w:rsidRPr="009B24AA">
                              <w:rPr>
                                <w:sz w:val="18"/>
                                <w:szCs w:val="18"/>
                              </w:rPr>
                              <w:t>Domestic and international private business and finance</w:t>
                            </w:r>
                          </w:p>
                          <w:p w14:paraId="0D15969E"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development cooperation and development effectiveness</w:t>
                            </w:r>
                          </w:p>
                          <w:p w14:paraId="103FE506"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trade as an engine for development</w:t>
                            </w:r>
                          </w:p>
                          <w:p w14:paraId="7E41BE70" w14:textId="77777777" w:rsidR="00A8307D" w:rsidRPr="009B24AA" w:rsidRDefault="00A8307D" w:rsidP="00A8307D">
                            <w:pPr>
                              <w:pStyle w:val="TextboxQuote"/>
                              <w:numPr>
                                <w:ilvl w:val="0"/>
                                <w:numId w:val="106"/>
                              </w:numPr>
                              <w:spacing w:after="0"/>
                              <w:rPr>
                                <w:sz w:val="18"/>
                                <w:szCs w:val="18"/>
                              </w:rPr>
                            </w:pPr>
                            <w:r w:rsidRPr="009B24AA">
                              <w:rPr>
                                <w:sz w:val="18"/>
                                <w:szCs w:val="18"/>
                              </w:rPr>
                              <w:t>Debt and debt sustainability</w:t>
                            </w:r>
                          </w:p>
                          <w:p w14:paraId="3B33D5C9"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financial architecture and systemic issues</w:t>
                            </w:r>
                          </w:p>
                          <w:p w14:paraId="4E9D46AD" w14:textId="77777777" w:rsidR="00A8307D" w:rsidRPr="009B24AA" w:rsidRDefault="00A8307D" w:rsidP="00A8307D">
                            <w:pPr>
                              <w:pStyle w:val="TextboxQuote"/>
                              <w:numPr>
                                <w:ilvl w:val="0"/>
                                <w:numId w:val="106"/>
                              </w:numPr>
                              <w:spacing w:after="0"/>
                              <w:rPr>
                                <w:sz w:val="18"/>
                                <w:szCs w:val="18"/>
                              </w:rPr>
                            </w:pPr>
                            <w:r w:rsidRPr="009B24AA">
                              <w:rPr>
                                <w:sz w:val="18"/>
                                <w:szCs w:val="18"/>
                              </w:rPr>
                              <w:t>Science, technology, innovation and capacity-building</w:t>
                            </w:r>
                          </w:p>
                          <w:p w14:paraId="02AD3FB5" w14:textId="77777777" w:rsidR="00A8307D" w:rsidRDefault="00A8307D" w:rsidP="00A8307D">
                            <w:pPr>
                              <w:pStyle w:val="TextboxSource"/>
                            </w:pPr>
                            <w:r w:rsidRPr="00853027">
                              <w:t xml:space="preserve">Source: </w:t>
                            </w:r>
                            <w:r>
                              <w:t>Sevilla Commitment, July 2025</w:t>
                            </w:r>
                          </w:p>
                        </w:txbxContent>
                      </wps:txbx>
                      <wps:bodyPr rot="0" vert="horz" wrap="square" lIns="144000" tIns="108000" rIns="144000" bIns="108000" anchor="t" anchorCtr="0">
                        <a:spAutoFit/>
                      </wps:bodyPr>
                    </wps:wsp>
                  </a:graphicData>
                </a:graphic>
              </wp:inline>
            </w:drawing>
          </mc:Choice>
          <mc:Fallback>
            <w:pict>
              <v:shape w14:anchorId="6177A8FD" id="_x0000_s1028" type="#_x0000_t202" style="width:232.25pt;height:23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" fillcolor="#009edb [3204]" strokecolor="#009edb [3204]" strokeweight="2pt">
                <v:fill opacity="771f"/>
                <v:textbox style="mso-fit-shape-to-text:t" inset="4mm,3mm,4mm,3mm">
                  <w:txbxContent>
                    <w:p w14:paraId="5EA8DC2E" w14:textId="77777777" w:rsidR="00A8307D" w:rsidRPr="009B24AA" w:rsidRDefault="00A8307D" w:rsidP="00A8307D">
                      <w:pPr>
                        <w:pStyle w:val="TextboxQuote"/>
                        <w:spacing w:after="0"/>
                        <w:rPr>
                          <w:sz w:val="18"/>
                          <w:szCs w:val="18"/>
                        </w:rPr>
                      </w:pPr>
                      <w:r w:rsidRPr="009B24AA">
                        <w:rPr>
                          <w:sz w:val="18"/>
                          <w:szCs w:val="18"/>
                        </w:rPr>
                        <w:t>Action Areas of the Sevilla Commitment:</w:t>
                      </w:r>
                    </w:p>
                    <w:p w14:paraId="0F13CCCC" w14:textId="77777777" w:rsidR="00A8307D" w:rsidRPr="009B24AA" w:rsidRDefault="00A8307D" w:rsidP="00A8307D">
                      <w:pPr>
                        <w:pStyle w:val="TextboxQuote"/>
                        <w:numPr>
                          <w:ilvl w:val="0"/>
                          <w:numId w:val="106"/>
                        </w:numPr>
                        <w:spacing w:after="0"/>
                        <w:rPr>
                          <w:sz w:val="18"/>
                          <w:szCs w:val="18"/>
                        </w:rPr>
                      </w:pPr>
                      <w:r w:rsidRPr="009B24AA">
                        <w:rPr>
                          <w:sz w:val="18"/>
                          <w:szCs w:val="18"/>
                        </w:rPr>
                        <w:t>Domestic public resources</w:t>
                      </w:r>
                    </w:p>
                    <w:p w14:paraId="05A459CC" w14:textId="77777777" w:rsidR="00A8307D" w:rsidRPr="009B24AA" w:rsidRDefault="00A8307D" w:rsidP="00A8307D">
                      <w:pPr>
                        <w:pStyle w:val="TextboxQuote"/>
                        <w:numPr>
                          <w:ilvl w:val="0"/>
                          <w:numId w:val="106"/>
                        </w:numPr>
                        <w:spacing w:after="0"/>
                        <w:rPr>
                          <w:sz w:val="18"/>
                          <w:szCs w:val="18"/>
                        </w:rPr>
                      </w:pPr>
                      <w:r w:rsidRPr="009B24AA">
                        <w:rPr>
                          <w:sz w:val="18"/>
                          <w:szCs w:val="18"/>
                        </w:rPr>
                        <w:t>Domestic and international private business and finance</w:t>
                      </w:r>
                    </w:p>
                    <w:p w14:paraId="0D15969E"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development cooperation and development effectiveness</w:t>
                      </w:r>
                    </w:p>
                    <w:p w14:paraId="103FE506"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trade as an engine for development</w:t>
                      </w:r>
                    </w:p>
                    <w:p w14:paraId="7E41BE70" w14:textId="77777777" w:rsidR="00A8307D" w:rsidRPr="009B24AA" w:rsidRDefault="00A8307D" w:rsidP="00A8307D">
                      <w:pPr>
                        <w:pStyle w:val="TextboxQuote"/>
                        <w:numPr>
                          <w:ilvl w:val="0"/>
                          <w:numId w:val="106"/>
                        </w:numPr>
                        <w:spacing w:after="0"/>
                        <w:rPr>
                          <w:sz w:val="18"/>
                          <w:szCs w:val="18"/>
                        </w:rPr>
                      </w:pPr>
                      <w:r w:rsidRPr="009B24AA">
                        <w:rPr>
                          <w:sz w:val="18"/>
                          <w:szCs w:val="18"/>
                        </w:rPr>
                        <w:t>Debt and debt sustainability</w:t>
                      </w:r>
                    </w:p>
                    <w:p w14:paraId="3B33D5C9" w14:textId="77777777" w:rsidR="00A8307D" w:rsidRPr="009B24AA" w:rsidRDefault="00A8307D" w:rsidP="00A8307D">
                      <w:pPr>
                        <w:pStyle w:val="TextboxQuote"/>
                        <w:numPr>
                          <w:ilvl w:val="0"/>
                          <w:numId w:val="106"/>
                        </w:numPr>
                        <w:spacing w:after="0"/>
                        <w:rPr>
                          <w:sz w:val="18"/>
                          <w:szCs w:val="18"/>
                        </w:rPr>
                      </w:pPr>
                      <w:r w:rsidRPr="009B24AA">
                        <w:rPr>
                          <w:sz w:val="18"/>
                          <w:szCs w:val="18"/>
                        </w:rPr>
                        <w:t>International financial architecture and systemic issues</w:t>
                      </w:r>
                    </w:p>
                    <w:p w14:paraId="4E9D46AD" w14:textId="77777777" w:rsidR="00A8307D" w:rsidRPr="009B24AA" w:rsidRDefault="00A8307D" w:rsidP="00A8307D">
                      <w:pPr>
                        <w:pStyle w:val="TextboxQuote"/>
                        <w:numPr>
                          <w:ilvl w:val="0"/>
                          <w:numId w:val="106"/>
                        </w:numPr>
                        <w:spacing w:after="0"/>
                        <w:rPr>
                          <w:sz w:val="18"/>
                          <w:szCs w:val="18"/>
                        </w:rPr>
                      </w:pPr>
                      <w:r w:rsidRPr="009B24AA">
                        <w:rPr>
                          <w:sz w:val="18"/>
                          <w:szCs w:val="18"/>
                        </w:rPr>
                        <w:t>Science, technology, innovation and capacity-building</w:t>
                      </w:r>
                    </w:p>
                    <w:p w14:paraId="02AD3FB5" w14:textId="77777777" w:rsidR="00A8307D" w:rsidRDefault="00A8307D" w:rsidP="00A8307D">
                      <w:pPr>
                        <w:pStyle w:val="TextboxSource"/>
                      </w:pPr>
                      <w:r w:rsidRPr="00853027">
                        <w:t xml:space="preserve">Source: </w:t>
                      </w:r>
                      <w:r>
                        <w:t>Sevilla Commitment, July 2025</w:t>
                      </w:r>
                    </w:p>
                  </w:txbxContent>
                </v:textbox>
                <w10:anchorlock/>
              </v:shape>
            </w:pict>
          </mc:Fallback>
        </mc:AlternateContent>
      </w:r>
    </w:p>
    <w:p w14:paraId="53249FF0" w14:textId="51D2E674" w:rsidR="001E16AE" w:rsidRDefault="001E16AE" w:rsidP="001E16AE">
      <w:pPr>
        <w:pStyle w:val="BodyText"/>
      </w:pPr>
      <w:r>
        <w:t xml:space="preserve">FFD4 took place after the INFF project had ended. There was a noted alignment, however, between INFF project activities and the action areas of the Sevilla Commitment. </w:t>
      </w:r>
      <w:r w:rsidR="00E46EEE">
        <w:t xml:space="preserve">The </w:t>
      </w:r>
      <w:r>
        <w:t xml:space="preserve">Sevilla Commitment </w:t>
      </w:r>
      <w:r w:rsidR="00E46EEE">
        <w:t xml:space="preserve">advocates </w:t>
      </w:r>
      <w:r>
        <w:lastRenderedPageBreak/>
        <w:t>s</w:t>
      </w:r>
      <w:r w:rsidR="002757B8">
        <w:t xml:space="preserve">even </w:t>
      </w:r>
      <w:r>
        <w:t xml:space="preserve">action areas </w:t>
      </w:r>
      <w:r w:rsidR="002757B8">
        <w:t xml:space="preserve">for </w:t>
      </w:r>
      <w:r>
        <w:t>support</w:t>
      </w:r>
      <w:r w:rsidR="002757B8">
        <w:t>ing</w:t>
      </w:r>
      <w:r>
        <w:t xml:space="preserve"> a renewed global FfD framework (see textbox). As Action Area C has highlighted the importance of INFFs for the strengthening of nationally-owned sustainable development strategies,</w:t>
      </w:r>
      <w:r>
        <w:rPr>
          <w:rStyle w:val="FootnoteReference"/>
        </w:rPr>
        <w:footnoteReference w:id="134"/>
      </w:r>
      <w:r>
        <w:t xml:space="preserve"> the entire </w:t>
      </w:r>
      <w:r w:rsidR="005D6C0E">
        <w:t xml:space="preserve">INFF </w:t>
      </w:r>
      <w:r>
        <w:t xml:space="preserve">project portfolio can be categorised under this action area. There is evidence, however, of an alignment between identified project activities in the target countries, with emphasis on thematic focus, and other action areas of the Sevilla Commitment. </w:t>
      </w:r>
    </w:p>
    <w:p w14:paraId="58D9878F" w14:textId="5466D938" w:rsidR="00417B8E" w:rsidRDefault="006E21CE" w:rsidP="00227E56">
      <w:pPr>
        <w:pStyle w:val="BodyText"/>
      </w:pPr>
      <w:r>
        <w:t xml:space="preserve">As an example, </w:t>
      </w:r>
      <w:r w:rsidR="00A54AC5">
        <w:t xml:space="preserve">a collaboration between </w:t>
      </w:r>
      <w:r w:rsidR="00355DF4">
        <w:t>UNECA</w:t>
      </w:r>
      <w:r w:rsidR="00A54AC5">
        <w:t xml:space="preserve"> and UNCTAD was used to </w:t>
      </w:r>
      <w:r w:rsidR="00F25C90">
        <w:t>s</w:t>
      </w:r>
      <w:r w:rsidR="00011FF5">
        <w:t xml:space="preserve">trengthen the capacity of </w:t>
      </w:r>
      <w:r w:rsidR="00F25C90">
        <w:t xml:space="preserve"> Burkina Faso to measure and address illicit financial flows (IFFs)</w:t>
      </w:r>
      <w:r w:rsidR="0077551D">
        <w:t>.</w:t>
      </w:r>
      <w:r w:rsidR="00AA0D11">
        <w:rPr>
          <w:rStyle w:val="FootnoteReference"/>
        </w:rPr>
        <w:footnoteReference w:id="135"/>
      </w:r>
      <w:r w:rsidR="0077551D">
        <w:t xml:space="preserve"> </w:t>
      </w:r>
      <w:r w:rsidR="00785CF3">
        <w:t xml:space="preserve">A </w:t>
      </w:r>
      <w:r w:rsidR="000C64C5">
        <w:t xml:space="preserve">technical workshop based on the Partner Country Trade Gap Method for detecting </w:t>
      </w:r>
      <w:r w:rsidR="001B3951">
        <w:t>IFFs was used to train national experts in trade gap calculations; product selection; and data analysis techniq</w:t>
      </w:r>
      <w:r w:rsidR="00CD5A7D">
        <w:t xml:space="preserve">ues to track IFFs. </w:t>
      </w:r>
      <w:r w:rsidR="00AA0D11">
        <w:t xml:space="preserve">The process was </w:t>
      </w:r>
      <w:r w:rsidR="00CD5A7D">
        <w:t xml:space="preserve">also </w:t>
      </w:r>
      <w:r w:rsidR="00AA0D11">
        <w:t>supported by a</w:t>
      </w:r>
      <w:r w:rsidR="00345657">
        <w:t xml:space="preserve">n applied data workshop </w:t>
      </w:r>
      <w:r w:rsidR="00785CF3">
        <w:t xml:space="preserve">that </w:t>
      </w:r>
      <w:r w:rsidR="00345657">
        <w:t xml:space="preserve">was </w:t>
      </w:r>
      <w:r w:rsidR="00AA0D11">
        <w:t>delivered i</w:t>
      </w:r>
      <w:r w:rsidR="00345657">
        <w:t>n</w:t>
      </w:r>
      <w:r w:rsidR="001A6990">
        <w:t xml:space="preserve"> c</w:t>
      </w:r>
      <w:r w:rsidR="00345657">
        <w:t>o</w:t>
      </w:r>
      <w:r w:rsidR="001A6990">
        <w:t xml:space="preserve">ordination with the Burkina Faso National Institute of Statistics and </w:t>
      </w:r>
      <w:r w:rsidR="000A3B95">
        <w:t>a Technical Working Group</w:t>
      </w:r>
      <w:r w:rsidR="006F499A">
        <w:t>.</w:t>
      </w:r>
      <w:r w:rsidR="00CD5A7D">
        <w:rPr>
          <w:rStyle w:val="FootnoteReference"/>
        </w:rPr>
        <w:footnoteReference w:id="136"/>
      </w:r>
      <w:r w:rsidR="006F499A">
        <w:t xml:space="preserve"> The support to Burkina Faso aligned with Ac</w:t>
      </w:r>
      <w:r w:rsidR="00417B8E">
        <w:t>tion Area</w:t>
      </w:r>
      <w:r w:rsidR="0023718B">
        <w:t>s</w:t>
      </w:r>
      <w:r w:rsidR="00417B8E">
        <w:t xml:space="preserve"> A </w:t>
      </w:r>
      <w:r w:rsidR="0023718B">
        <w:t xml:space="preserve">and </w:t>
      </w:r>
      <w:r w:rsidR="00993676">
        <w:t>F</w:t>
      </w:r>
      <w:r w:rsidR="0023718B">
        <w:t xml:space="preserve"> </w:t>
      </w:r>
      <w:r w:rsidR="00417B8E">
        <w:t>of the Sevilla Commitment.</w:t>
      </w:r>
    </w:p>
    <w:p w14:paraId="25EF4AC9" w14:textId="7537D3BE" w:rsidR="00417B8E" w:rsidRDefault="00652391" w:rsidP="00227E56">
      <w:pPr>
        <w:pStyle w:val="BodyText"/>
      </w:pPr>
      <w:r>
        <w:t xml:space="preserve">The UNCTAD </w:t>
      </w:r>
      <w:hyperlink r:id="rId37" w:history="1">
        <w:r w:rsidRPr="004D2387">
          <w:rPr>
            <w:rStyle w:val="Hyperlink"/>
          </w:rPr>
          <w:t>Accounting and Development Tool</w:t>
        </w:r>
      </w:hyperlink>
      <w:r>
        <w:t xml:space="preserve"> (ADT</w:t>
      </w:r>
      <w:r w:rsidR="001D5FF5">
        <w:t>)</w:t>
      </w:r>
      <w:r w:rsidR="00417B8E">
        <w:t xml:space="preserve"> </w:t>
      </w:r>
      <w:r w:rsidR="006469DA">
        <w:t xml:space="preserve">is a voluntary technical aid for assisting policymakers and other stakeholders to strengthen </w:t>
      </w:r>
      <w:r w:rsidR="00951FAE">
        <w:t xml:space="preserve">their accounting and reporting infrastructure. ADT </w:t>
      </w:r>
      <w:r w:rsidR="004D2387">
        <w:t xml:space="preserve">is supported by </w:t>
      </w:r>
      <w:r w:rsidR="00057C04">
        <w:t>guidance material</w:t>
      </w:r>
      <w:r w:rsidR="009D0083">
        <w:rPr>
          <w:rStyle w:val="FootnoteReference"/>
        </w:rPr>
        <w:footnoteReference w:id="137"/>
      </w:r>
      <w:r w:rsidR="00FE7879">
        <w:t xml:space="preserve"> and </w:t>
      </w:r>
      <w:r w:rsidR="00DF68EE">
        <w:t xml:space="preserve">is used to generate high-quality and internationally comparable </w:t>
      </w:r>
      <w:r w:rsidR="009D0083">
        <w:t xml:space="preserve">corporate reporting. </w:t>
      </w:r>
      <w:r w:rsidR="00A327E4">
        <w:t>UNCTAD</w:t>
      </w:r>
      <w:r w:rsidR="00B32D01">
        <w:t xml:space="preserve"> trainings </w:t>
      </w:r>
      <w:r w:rsidR="001C1930">
        <w:t xml:space="preserve">on ADT </w:t>
      </w:r>
      <w:r w:rsidR="00B32D01">
        <w:t xml:space="preserve">for </w:t>
      </w:r>
      <w:r w:rsidR="001C1930">
        <w:t xml:space="preserve">stakeholders in </w:t>
      </w:r>
      <w:r w:rsidR="009E65F1">
        <w:t>target and non-project countrie</w:t>
      </w:r>
      <w:r w:rsidR="00B32D01">
        <w:t xml:space="preserve">s </w:t>
      </w:r>
      <w:r w:rsidR="00A327E4">
        <w:t>align</w:t>
      </w:r>
      <w:r w:rsidR="001C1930">
        <w:t>ed</w:t>
      </w:r>
      <w:r w:rsidR="00A327E4">
        <w:t xml:space="preserve"> with Action Areas B and G.</w:t>
      </w:r>
    </w:p>
    <w:p w14:paraId="040B223D" w14:textId="5145E615" w:rsidR="008D4085" w:rsidRDefault="008D491E" w:rsidP="00227E56">
      <w:pPr>
        <w:pStyle w:val="BodyText"/>
      </w:pPr>
      <w:r>
        <w:t xml:space="preserve">UNECLAC facilitated </w:t>
      </w:r>
      <w:r w:rsidR="006D76C3">
        <w:t xml:space="preserve">a side event at the </w:t>
      </w:r>
      <w:r w:rsidR="00270822">
        <w:t>g</w:t>
      </w:r>
      <w:r w:rsidR="006D76C3">
        <w:t xml:space="preserve">lobal </w:t>
      </w:r>
      <w:r w:rsidR="00270822">
        <w:t>w</w:t>
      </w:r>
      <w:r w:rsidR="006D76C3">
        <w:t xml:space="preserve">orkshop on </w:t>
      </w:r>
      <w:hyperlink r:id="rId38" w:history="1">
        <w:r w:rsidR="008F4E8F" w:rsidRPr="00A14368">
          <w:rPr>
            <w:rStyle w:val="Hyperlink"/>
          </w:rPr>
          <w:t>Transforming Economies through INFFs</w:t>
        </w:r>
      </w:hyperlink>
      <w:r w:rsidR="00A14368">
        <w:t>.</w:t>
      </w:r>
      <w:r w:rsidR="00F563CC">
        <w:t xml:space="preserve"> </w:t>
      </w:r>
      <w:r w:rsidR="00994BBF">
        <w:t xml:space="preserve">As the </w:t>
      </w:r>
      <w:r w:rsidR="000E58BD">
        <w:t xml:space="preserve">workshop centred on the sharing of experiences on INFF implementation, the UNECLAC event was </w:t>
      </w:r>
      <w:r w:rsidR="00722D3A">
        <w:t xml:space="preserve">used to engage Colombia in a discussion on the INFF implementation process, including </w:t>
      </w:r>
      <w:r w:rsidR="00186609">
        <w:t xml:space="preserve">examples of </w:t>
      </w:r>
      <w:r w:rsidR="00722D3A">
        <w:t xml:space="preserve">success and </w:t>
      </w:r>
      <w:r w:rsidR="00186609">
        <w:t>emergent challenges.</w:t>
      </w:r>
      <w:r w:rsidR="00D57BB8">
        <w:t xml:space="preserve"> </w:t>
      </w:r>
      <w:r w:rsidR="008D4085">
        <w:t xml:space="preserve">The discussion highlighted </w:t>
      </w:r>
      <w:r w:rsidR="00EA7A09">
        <w:t xml:space="preserve">the role of INFFs in offering an opportunity to attract </w:t>
      </w:r>
      <w:r w:rsidR="00CB3E0E">
        <w:t>non-traditional players in development financing</w:t>
      </w:r>
      <w:r w:rsidR="00FE1B19">
        <w:t>, such as credit rating agencies</w:t>
      </w:r>
      <w:r w:rsidR="00CB3E0E">
        <w:t>.</w:t>
      </w:r>
      <w:r w:rsidR="00FE1B19">
        <w:rPr>
          <w:rStyle w:val="FootnoteReference"/>
        </w:rPr>
        <w:footnoteReference w:id="138"/>
      </w:r>
      <w:r w:rsidR="00CB3E0E">
        <w:t xml:space="preserve"> </w:t>
      </w:r>
      <w:r w:rsidR="00F42306">
        <w:t xml:space="preserve">Based on </w:t>
      </w:r>
      <w:r w:rsidR="00F42306">
        <w:t>the content of the discussion</w:t>
      </w:r>
      <w:r w:rsidR="00A37EF3">
        <w:t xml:space="preserve"> and the contribution towards knowledge-</w:t>
      </w:r>
      <w:r w:rsidR="000732A5">
        <w:t>exchange</w:t>
      </w:r>
      <w:r w:rsidR="00F42306">
        <w:t>, the UNECLAC side event align</w:t>
      </w:r>
      <w:r w:rsidR="00A37EF3">
        <w:t>e</w:t>
      </w:r>
      <w:r w:rsidR="00F42306">
        <w:t xml:space="preserve">d with </w:t>
      </w:r>
      <w:r w:rsidR="00A37EF3">
        <w:t>Action Area</w:t>
      </w:r>
      <w:r w:rsidR="008C0F90">
        <w:t xml:space="preserve"> D.</w:t>
      </w:r>
    </w:p>
    <w:p w14:paraId="25C0B177" w14:textId="7A10357E" w:rsidR="00417B8E" w:rsidRDefault="00CB1AFB" w:rsidP="00227E56">
      <w:pPr>
        <w:pStyle w:val="BodyText"/>
      </w:pPr>
      <w:r>
        <w:t xml:space="preserve">In Belarus and Kyrgyzstan, UNECE </w:t>
      </w:r>
      <w:r w:rsidR="002108AC">
        <w:t>facilitated</w:t>
      </w:r>
      <w:r w:rsidR="00D24514">
        <w:t xml:space="preserve"> </w:t>
      </w:r>
      <w:r w:rsidR="00741185">
        <w:t>a sub-project</w:t>
      </w:r>
      <w:r w:rsidR="002108AC">
        <w:t xml:space="preserve"> activity</w:t>
      </w:r>
      <w:r w:rsidR="00741185">
        <w:t xml:space="preserve"> </w:t>
      </w:r>
      <w:r w:rsidR="004358A4">
        <w:t>on the enhancement of sustainable infra</w:t>
      </w:r>
      <w:r w:rsidR="00485FB4">
        <w:t>structure development</w:t>
      </w:r>
      <w:r w:rsidR="002108AC">
        <w:t xml:space="preserve">. </w:t>
      </w:r>
      <w:r w:rsidR="00882637">
        <w:t xml:space="preserve">Implementation was based on </w:t>
      </w:r>
      <w:r w:rsidR="00485FB4">
        <w:t xml:space="preserve">the </w:t>
      </w:r>
      <w:hyperlink r:id="rId39" w:history="1">
        <w:r w:rsidR="00B51BE9" w:rsidRPr="009A7321">
          <w:rPr>
            <w:rStyle w:val="Hyperlink"/>
          </w:rPr>
          <w:t>Public-Private Partnership (PPP)</w:t>
        </w:r>
        <w:r w:rsidR="00B55F17" w:rsidRPr="009A7321">
          <w:rPr>
            <w:rStyle w:val="Hyperlink"/>
          </w:rPr>
          <w:t xml:space="preserve"> Infrastructure Evaluation and Rating System</w:t>
        </w:r>
      </w:hyperlink>
      <w:r w:rsidR="00B55F17">
        <w:t xml:space="preserve"> (PIERS) methodology. </w:t>
      </w:r>
      <w:r w:rsidR="00E710AC">
        <w:t>The approach support</w:t>
      </w:r>
      <w:r w:rsidR="009616AC">
        <w:t>s</w:t>
      </w:r>
      <w:r w:rsidR="00E710AC">
        <w:t xml:space="preserve"> the alignment of PPP and infrastructure projects with the SDGs</w:t>
      </w:r>
      <w:r w:rsidR="009616AC">
        <w:t xml:space="preserve">, to attract sustainable investments </w:t>
      </w:r>
      <w:r w:rsidR="002207EC">
        <w:t>for long-term societal and environmental benefits</w:t>
      </w:r>
      <w:r w:rsidR="009E1A8C">
        <w:t>. PIERS is promoted as a methodological approach that has the poten</w:t>
      </w:r>
      <w:r w:rsidR="009A7321">
        <w:t>t</w:t>
      </w:r>
      <w:r w:rsidR="009E1A8C">
        <w:t xml:space="preserve">ial to increase investor confidence and attract sustainable financing. </w:t>
      </w:r>
      <w:r w:rsidR="00CB7BEA">
        <w:t>The sub-project aligned with Action Areas D and G</w:t>
      </w:r>
      <w:r w:rsidR="00A922C4">
        <w:t xml:space="preserve"> of the Sevilla Commitment</w:t>
      </w:r>
      <w:r w:rsidR="00CB7BEA">
        <w:t>.</w:t>
      </w:r>
    </w:p>
    <w:p w14:paraId="3507D746" w14:textId="7DCF4687" w:rsidR="004F36AB" w:rsidRDefault="00FF58A5" w:rsidP="00227E56">
      <w:pPr>
        <w:pStyle w:val="BodyText"/>
      </w:pPr>
      <w:r>
        <w:t>The alignment between project activities and the Sevilla Commitment is significant</w:t>
      </w:r>
      <w:r w:rsidR="00B82D93">
        <w:t xml:space="preserve">. It </w:t>
      </w:r>
      <w:r w:rsidR="008F7208">
        <w:t xml:space="preserve">provides evidence of </w:t>
      </w:r>
      <w:r w:rsidR="00F848DD">
        <w:t xml:space="preserve">the </w:t>
      </w:r>
      <w:r w:rsidR="004C49D9">
        <w:t>potential for the project to contribute towards the international development agenda</w:t>
      </w:r>
      <w:r w:rsidR="001509A3">
        <w:t>, includi</w:t>
      </w:r>
      <w:r w:rsidR="00C4752D">
        <w:t>ng</w:t>
      </w:r>
      <w:r w:rsidR="001509A3">
        <w:t xml:space="preserve"> the global agenda for FfD. </w:t>
      </w:r>
      <w:r w:rsidR="00C4752D">
        <w:t>It follows that there is additional potential for th</w:t>
      </w:r>
      <w:r w:rsidR="00A82142">
        <w:t>e uptake of the INFF methodology by target and non-project countries.</w:t>
      </w:r>
    </w:p>
    <w:p w14:paraId="28A71BD0" w14:textId="35F92064" w:rsidR="00487EBD" w:rsidRPr="00CF592E" w:rsidRDefault="00CC56DF" w:rsidP="00CF592E">
      <w:pPr>
        <w:pStyle w:val="BodyText"/>
      </w:pPr>
      <w:r w:rsidRPr="001D5ED1">
        <w:rPr>
          <w:b/>
          <w:bCs/>
        </w:rPr>
        <w:t xml:space="preserve">Finding </w:t>
      </w:r>
      <w:r w:rsidR="00487EBD">
        <w:rPr>
          <w:b/>
          <w:bCs/>
        </w:rPr>
        <w:t>4</w:t>
      </w:r>
      <w:r w:rsidRPr="001D5ED1">
        <w:rPr>
          <w:b/>
          <w:bCs/>
        </w:rPr>
        <w:t>:</w:t>
      </w:r>
      <w:r w:rsidR="00487EBD">
        <w:rPr>
          <w:b/>
          <w:bCs/>
        </w:rPr>
        <w:t xml:space="preserve"> </w:t>
      </w:r>
      <w:bookmarkStart w:id="37" w:name="_Hlk203644678"/>
      <w:r w:rsidR="00487EBD" w:rsidRPr="00CF592E">
        <w:rPr>
          <w:szCs w:val="20"/>
        </w:rPr>
        <w:t>State-level</w:t>
      </w:r>
      <w:r w:rsidR="00487EBD">
        <w:rPr>
          <w:b/>
          <w:bCs/>
          <w:szCs w:val="20"/>
        </w:rPr>
        <w:t xml:space="preserve"> </w:t>
      </w:r>
      <w:r w:rsidR="00487EBD" w:rsidRPr="003643B9">
        <w:rPr>
          <w:szCs w:val="20"/>
        </w:rPr>
        <w:t>commitment to the 2030 Agenda</w:t>
      </w:r>
      <w:r w:rsidR="00487EBD">
        <w:rPr>
          <w:szCs w:val="20"/>
        </w:rPr>
        <w:t xml:space="preserve"> within </w:t>
      </w:r>
      <w:r w:rsidR="00CF592E">
        <w:rPr>
          <w:szCs w:val="20"/>
        </w:rPr>
        <w:t>target and non-project countries</w:t>
      </w:r>
      <w:r w:rsidR="00487EBD" w:rsidRPr="003643B9">
        <w:rPr>
          <w:szCs w:val="20"/>
        </w:rPr>
        <w:t xml:space="preserve"> informed</w:t>
      </w:r>
      <w:r w:rsidR="00487EBD" w:rsidRPr="0026055F">
        <w:rPr>
          <w:szCs w:val="20"/>
        </w:rPr>
        <w:t xml:space="preserve"> thematic complementarity between the project and national development strategies, </w:t>
      </w:r>
      <w:r w:rsidR="00487EBD">
        <w:rPr>
          <w:szCs w:val="20"/>
        </w:rPr>
        <w:t>and contributed towards a conducive environment</w:t>
      </w:r>
      <w:r w:rsidR="00C0679A">
        <w:rPr>
          <w:szCs w:val="20"/>
        </w:rPr>
        <w:t xml:space="preserve"> for </w:t>
      </w:r>
      <w:r w:rsidR="006321A6">
        <w:rPr>
          <w:szCs w:val="20"/>
        </w:rPr>
        <w:t>knowledge-exchange</w:t>
      </w:r>
      <w:r w:rsidR="005D4BB0">
        <w:rPr>
          <w:szCs w:val="20"/>
        </w:rPr>
        <w:t xml:space="preserve"> and peer-learning on </w:t>
      </w:r>
      <w:r w:rsidR="00C0679A">
        <w:rPr>
          <w:szCs w:val="20"/>
        </w:rPr>
        <w:t xml:space="preserve">the </w:t>
      </w:r>
      <w:r w:rsidR="00487EBD">
        <w:rPr>
          <w:szCs w:val="20"/>
        </w:rPr>
        <w:t>INFF methodology</w:t>
      </w:r>
      <w:bookmarkEnd w:id="37"/>
      <w:r w:rsidR="00487EBD">
        <w:rPr>
          <w:szCs w:val="20"/>
        </w:rPr>
        <w:t>.</w:t>
      </w:r>
    </w:p>
    <w:p w14:paraId="1E63D391" w14:textId="1B900799" w:rsidR="005C3717" w:rsidRDefault="00CF592E" w:rsidP="00960D43">
      <w:pPr>
        <w:spacing w:before="120" w:after="120"/>
        <w:jc w:val="both"/>
      </w:pPr>
      <w:r>
        <w:t xml:space="preserve">The commitment of UN Member States to the 2030 Agenda has manifested as an investment in national strategies and supporting policies that are anchored in sustainable development. </w:t>
      </w:r>
      <w:r w:rsidR="00E35242">
        <w:t xml:space="preserve">Prior to </w:t>
      </w:r>
      <w:r>
        <w:t xml:space="preserve">the </w:t>
      </w:r>
      <w:r w:rsidR="00E35242">
        <w:t xml:space="preserve">start </w:t>
      </w:r>
      <w:r w:rsidR="00C0679A">
        <w:t xml:space="preserve">of </w:t>
      </w:r>
      <w:r w:rsidR="00E35242">
        <w:t xml:space="preserve">the </w:t>
      </w:r>
      <w:r w:rsidR="00960D43">
        <w:t xml:space="preserve">INFF </w:t>
      </w:r>
      <w:r w:rsidR="00C0679A">
        <w:t>project</w:t>
      </w:r>
      <w:r w:rsidR="00E35242">
        <w:t xml:space="preserve">, all 10 target countries had </w:t>
      </w:r>
      <w:r w:rsidR="005C3717">
        <w:t xml:space="preserve">completed </w:t>
      </w:r>
      <w:r w:rsidR="00E35242">
        <w:t xml:space="preserve">at least one VNR </w:t>
      </w:r>
      <w:r w:rsidR="005C3717">
        <w:t>that provided a detailed overview of national contributions towards SDG achievement and the intended direction for continuity.</w:t>
      </w:r>
      <w:r w:rsidR="00960D43">
        <w:t xml:space="preserve"> As of the project end-date, five target countries had completed a development finance assessment (DFA) to inform the development and/ or refinement of their INFF</w:t>
      </w:r>
      <w:r w:rsidR="0001599D">
        <w:t xml:space="preserve"> strategy</w:t>
      </w:r>
      <w:r w:rsidR="00960D43">
        <w:t>.</w:t>
      </w:r>
      <w:r w:rsidR="00960D43">
        <w:rPr>
          <w:rStyle w:val="FootnoteReference"/>
        </w:rPr>
        <w:footnoteReference w:id="139"/>
      </w:r>
      <w:r w:rsidR="00960D43">
        <w:t xml:space="preserve"> These advancements have signified the incorporation of INFF project activities into the </w:t>
      </w:r>
      <w:r w:rsidR="00960D43">
        <w:lastRenderedPageBreak/>
        <w:t>national development landscape of the target countries, including an alignment with national sustainable development strategies.</w:t>
      </w:r>
    </w:p>
    <w:p w14:paraId="3CE3BC9F" w14:textId="4596AE3F" w:rsidR="00FB2727" w:rsidRDefault="00FB2727" w:rsidP="00960D43">
      <w:pPr>
        <w:spacing w:before="120" w:after="120"/>
        <w:jc w:val="both"/>
      </w:pPr>
      <w:r>
        <w:t xml:space="preserve">Although outreach to </w:t>
      </w:r>
      <w:r w:rsidR="00672517">
        <w:t>non-project</w:t>
      </w:r>
      <w:r>
        <w:t xml:space="preserve"> countries was included in the project results framework,</w:t>
      </w:r>
      <w:r>
        <w:rPr>
          <w:rStyle w:val="FootnoteReference"/>
        </w:rPr>
        <w:footnoteReference w:id="140"/>
      </w:r>
      <w:r>
        <w:t xml:space="preserve"> the responsiveness of non-project countries to project activities </w:t>
      </w:r>
      <w:r w:rsidR="00E41A65">
        <w:t xml:space="preserve">also </w:t>
      </w:r>
      <w:r w:rsidR="00DF2A25">
        <w:t>reflected country-level</w:t>
      </w:r>
      <w:r>
        <w:t xml:space="preserve"> commitment to the 2030 Agenda. </w:t>
      </w:r>
      <w:r w:rsidR="00650345">
        <w:t xml:space="preserve">It </w:t>
      </w:r>
      <w:r w:rsidR="00D85D59">
        <w:t>highlighted the</w:t>
      </w:r>
      <w:r w:rsidR="00650345">
        <w:t xml:space="preserve"> interest by non-project countries </w:t>
      </w:r>
      <w:r w:rsidR="00D85D59">
        <w:t xml:space="preserve">from </w:t>
      </w:r>
      <w:r w:rsidR="001F7018">
        <w:t xml:space="preserve">the target regions </w:t>
      </w:r>
      <w:r w:rsidR="00650345">
        <w:t xml:space="preserve">in the opportunities for </w:t>
      </w:r>
      <w:r w:rsidR="006321A6">
        <w:t>knowledge-exchange</w:t>
      </w:r>
      <w:r w:rsidR="00650345">
        <w:t xml:space="preserve"> and peer-learning that had been created through the project.</w:t>
      </w:r>
      <w:r w:rsidR="00946686">
        <w:t xml:space="preserve"> In effect, the project established a conducive environment for participation by stakeholders from non-project countries, as indicated in the following examples of </w:t>
      </w:r>
      <w:r w:rsidR="00FF4C72">
        <w:t>stakeholder</w:t>
      </w:r>
      <w:r w:rsidR="00946686">
        <w:t xml:space="preserve"> </w:t>
      </w:r>
      <w:r w:rsidR="00FF4C72">
        <w:t>engagement</w:t>
      </w:r>
      <w:r w:rsidR="00946686">
        <w:t>:</w:t>
      </w:r>
    </w:p>
    <w:p w14:paraId="6215FEED" w14:textId="548B5CB5" w:rsidR="000E665F" w:rsidRDefault="000E665F" w:rsidP="0005605F">
      <w:pPr>
        <w:pStyle w:val="ListParagraph"/>
        <w:numPr>
          <w:ilvl w:val="0"/>
          <w:numId w:val="91"/>
        </w:numPr>
        <w:spacing w:before="120" w:after="60"/>
        <w:ind w:left="714" w:hanging="357"/>
        <w:contextualSpacing w:val="0"/>
        <w:jc w:val="both"/>
      </w:pPr>
      <w:r w:rsidRPr="00FF4C72">
        <w:rPr>
          <w:b/>
          <w:bCs/>
        </w:rPr>
        <w:t>Africa:</w:t>
      </w:r>
      <w:r>
        <w:t xml:space="preserve"> </w:t>
      </w:r>
      <w:r w:rsidR="003B0059">
        <w:t>Three-day online training INFF inception workshop</w:t>
      </w:r>
      <w:r w:rsidR="00FF4C72">
        <w:t xml:space="preserve"> (August 2021)</w:t>
      </w:r>
      <w:r w:rsidR="003B0059">
        <w:t xml:space="preserve"> </w:t>
      </w:r>
      <w:r w:rsidR="00244063">
        <w:t xml:space="preserve">attended by </w:t>
      </w:r>
      <w:r w:rsidR="00244063" w:rsidRPr="00FF4C72">
        <w:rPr>
          <w:u w:val="single"/>
        </w:rPr>
        <w:t>685 participants from 62 African countries</w:t>
      </w:r>
      <w:r w:rsidR="00244063">
        <w:t>, including 49 UNECA Member States</w:t>
      </w:r>
      <w:r w:rsidR="00FF4C72">
        <w:t xml:space="preserve">; </w:t>
      </w:r>
      <w:r w:rsidR="003B0059">
        <w:t xml:space="preserve"> </w:t>
      </w:r>
    </w:p>
    <w:p w14:paraId="1D222DBD" w14:textId="75453243" w:rsidR="002559DE" w:rsidRDefault="002559DE" w:rsidP="0005605F">
      <w:pPr>
        <w:pStyle w:val="ListParagraph"/>
        <w:numPr>
          <w:ilvl w:val="0"/>
          <w:numId w:val="91"/>
        </w:numPr>
        <w:spacing w:before="120" w:after="60"/>
        <w:ind w:left="714" w:hanging="357"/>
        <w:contextualSpacing w:val="0"/>
        <w:jc w:val="both"/>
      </w:pPr>
      <w:r w:rsidRPr="005D4BB0">
        <w:rPr>
          <w:b/>
          <w:bCs/>
        </w:rPr>
        <w:t>Europe:</w:t>
      </w:r>
      <w:r>
        <w:t xml:space="preserve"> </w:t>
      </w:r>
      <w:r w:rsidR="00373B08">
        <w:t>Regional workshop on Implementing Sustainability-focused Normative Tools in Eastern Europe, Western Balkans, the Caucasus and Central Asia (March 2024),</w:t>
      </w:r>
      <w:r w:rsidR="005D4BB0">
        <w:rPr>
          <w:rStyle w:val="FootnoteReference"/>
        </w:rPr>
        <w:footnoteReference w:id="141"/>
      </w:r>
      <w:r w:rsidR="00373B08">
        <w:t xml:space="preserve"> with participation by </w:t>
      </w:r>
      <w:r w:rsidR="00373B08" w:rsidRPr="00373B08">
        <w:rPr>
          <w:u w:val="single"/>
        </w:rPr>
        <w:t>government officials from 13 UNECE programme countries</w:t>
      </w:r>
      <w:r w:rsidR="00373B08">
        <w:t>;</w:t>
      </w:r>
    </w:p>
    <w:p w14:paraId="1CBD3D44" w14:textId="2044B13C" w:rsidR="00F5456E" w:rsidRPr="00F5456E" w:rsidRDefault="00F5456E" w:rsidP="0005605F">
      <w:pPr>
        <w:pStyle w:val="ListParagraph"/>
        <w:numPr>
          <w:ilvl w:val="0"/>
          <w:numId w:val="91"/>
        </w:numPr>
        <w:spacing w:before="120" w:after="60"/>
        <w:ind w:left="714" w:hanging="357"/>
        <w:contextualSpacing w:val="0"/>
        <w:jc w:val="both"/>
      </w:pPr>
      <w:r w:rsidRPr="002559DE">
        <w:rPr>
          <w:b/>
          <w:bCs/>
        </w:rPr>
        <w:t>Asia and the Pacific:</w:t>
      </w:r>
      <w:r>
        <w:t xml:space="preserve"> </w:t>
      </w:r>
      <w:r w:rsidR="002559DE">
        <w:t xml:space="preserve">Workshop on Regional Knowledge-exchange on Financing for Sustainable Development in Asia-Pacific in Times of Volatility and Uncertainty, with participation by </w:t>
      </w:r>
      <w:r w:rsidR="002559DE" w:rsidRPr="002559DE">
        <w:rPr>
          <w:u w:val="single"/>
        </w:rPr>
        <w:t>government officials from 20 countries within the region</w:t>
      </w:r>
      <w:r w:rsidR="002559DE" w:rsidRPr="002559DE">
        <w:t>;</w:t>
      </w:r>
    </w:p>
    <w:p w14:paraId="0139938F" w14:textId="5EFC92D6" w:rsidR="00946686" w:rsidRDefault="000E665F" w:rsidP="0005605F">
      <w:pPr>
        <w:pStyle w:val="ListParagraph"/>
        <w:numPr>
          <w:ilvl w:val="0"/>
          <w:numId w:val="91"/>
        </w:numPr>
        <w:spacing w:before="120" w:after="60"/>
        <w:ind w:left="714" w:hanging="357"/>
        <w:contextualSpacing w:val="0"/>
        <w:jc w:val="both"/>
      </w:pPr>
      <w:r w:rsidRPr="000E665F">
        <w:rPr>
          <w:b/>
          <w:bCs/>
        </w:rPr>
        <w:t>Latin America and the Caribbean:</w:t>
      </w:r>
      <w:r>
        <w:t xml:space="preserve"> </w:t>
      </w:r>
      <w:r w:rsidR="00946686">
        <w:t xml:space="preserve">Interchange between high-level Ministry of Finance officials from Costa Rica and </w:t>
      </w:r>
      <w:r w:rsidR="00946686" w:rsidRPr="003B0059">
        <w:rPr>
          <w:u w:val="single"/>
        </w:rPr>
        <w:t>Mexico</w:t>
      </w:r>
      <w:r w:rsidR="00946686">
        <w:t xml:space="preserve"> on </w:t>
      </w:r>
      <w:r>
        <w:t>sustainable sovereign bond frameworks, to build on Mexican experience in this area;</w:t>
      </w:r>
      <w:r w:rsidR="002559DE">
        <w:t xml:space="preserve"> and</w:t>
      </w:r>
    </w:p>
    <w:p w14:paraId="71CE71F0" w14:textId="06727680" w:rsidR="000E665F" w:rsidRDefault="000E665F" w:rsidP="0005605F">
      <w:pPr>
        <w:pStyle w:val="ListParagraph"/>
        <w:numPr>
          <w:ilvl w:val="0"/>
          <w:numId w:val="91"/>
        </w:numPr>
        <w:spacing w:before="120" w:after="60"/>
        <w:ind w:left="714" w:hanging="357"/>
        <w:contextualSpacing w:val="0"/>
        <w:jc w:val="both"/>
      </w:pPr>
      <w:r w:rsidRPr="000E665F">
        <w:rPr>
          <w:b/>
          <w:bCs/>
        </w:rPr>
        <w:t>Western Asia:</w:t>
      </w:r>
      <w:r>
        <w:t xml:space="preserve"> High-level regional two-day workshop in Cairo, Egypt</w:t>
      </w:r>
      <w:r w:rsidR="006E3626">
        <w:t>,</w:t>
      </w:r>
      <w:r>
        <w:t xml:space="preserve"> in December 2021, back-to-back with the Inter-governmental Committee on Financing for Development, with attendance by </w:t>
      </w:r>
      <w:r w:rsidRPr="003B0059">
        <w:rPr>
          <w:u w:val="single"/>
        </w:rPr>
        <w:t>45 officials from 13 ESCWA Member States</w:t>
      </w:r>
    </w:p>
    <w:p w14:paraId="1B04EEDF" w14:textId="77777777" w:rsidR="00FF4C72" w:rsidRDefault="00FF4C72" w:rsidP="00FF4C72">
      <w:pPr>
        <w:pStyle w:val="BodyText"/>
        <w:jc w:val="right"/>
        <w:rPr>
          <w:i/>
          <w:iCs/>
          <w:lang w:val="en-GB"/>
        </w:rPr>
      </w:pPr>
      <w:r w:rsidRPr="006F029A">
        <w:rPr>
          <w:i/>
          <w:iCs/>
          <w:lang w:val="en-GB"/>
        </w:rPr>
        <w:t xml:space="preserve">Source: </w:t>
      </w:r>
      <w:r>
        <w:rPr>
          <w:i/>
          <w:iCs/>
          <w:lang w:val="en-GB"/>
        </w:rPr>
        <w:t>Final project report, March 2025.</w:t>
      </w:r>
    </w:p>
    <w:p w14:paraId="49BAC297" w14:textId="46523FE5" w:rsidR="008F1FA1" w:rsidRPr="00C859B5" w:rsidRDefault="008F1FA1" w:rsidP="00E54253">
      <w:pPr>
        <w:pStyle w:val="Heading2"/>
      </w:pPr>
      <w:bookmarkStart w:id="38" w:name="_Toc210730324"/>
      <w:r w:rsidRPr="00C859B5">
        <w:t>Effectiveness</w:t>
      </w:r>
      <w:bookmarkEnd w:id="38"/>
    </w:p>
    <w:p w14:paraId="2336777C" w14:textId="3BE5B510" w:rsidR="005E2EF6" w:rsidRDefault="00011758" w:rsidP="00C94132">
      <w:pPr>
        <w:pStyle w:val="BodyText"/>
      </w:pPr>
      <w:r>
        <w:t xml:space="preserve">Project effectiveness was measured as </w:t>
      </w:r>
      <w:r w:rsidR="006770EF">
        <w:t xml:space="preserve">the extent to which the INFF project </w:t>
      </w:r>
      <w:r w:rsidR="00FD40C9">
        <w:t>achieved its objectives and expected results</w:t>
      </w:r>
      <w:r w:rsidR="00072CB4">
        <w:t>,</w:t>
      </w:r>
      <w:r w:rsidR="00D4710B">
        <w:t xml:space="preserve"> as</w:t>
      </w:r>
      <w:r w:rsidR="00BA5F22">
        <w:t xml:space="preserve"> articulated within </w:t>
      </w:r>
      <w:r w:rsidR="009D21B0">
        <w:t>the project results framework</w:t>
      </w:r>
      <w:r w:rsidR="00FD40C9">
        <w:t xml:space="preserve">. The assessment </w:t>
      </w:r>
      <w:r w:rsidR="00BB4928">
        <w:t xml:space="preserve">was also used to determine whether there were any differentials in achievement across </w:t>
      </w:r>
      <w:r w:rsidR="00B1763B">
        <w:t>identified groups</w:t>
      </w:r>
      <w:r w:rsidR="00524F42">
        <w:t>.</w:t>
      </w:r>
      <w:r w:rsidR="001270B8">
        <w:t xml:space="preserve"> As two of the target countries </w:t>
      </w:r>
      <w:r w:rsidR="005F087D">
        <w:t xml:space="preserve">(Colombia and Indonesia) </w:t>
      </w:r>
      <w:r w:rsidR="001270B8">
        <w:t xml:space="preserve">were replaced during the </w:t>
      </w:r>
      <w:r w:rsidR="005F087D">
        <w:t xml:space="preserve">inception stage of the project, they have not </w:t>
      </w:r>
      <w:r w:rsidR="00FF5F96">
        <w:t>been included in the analysis in terms of whether expected results were achieved.</w:t>
      </w:r>
      <w:r w:rsidR="000B4E54">
        <w:t xml:space="preserve"> </w:t>
      </w:r>
      <w:r w:rsidR="00402D97">
        <w:t>Th</w:t>
      </w:r>
      <w:r w:rsidR="000B4E54">
        <w:t xml:space="preserve">e engagement of these countries </w:t>
      </w:r>
      <w:r w:rsidR="00402D97">
        <w:t xml:space="preserve">during identified project activities, however, has been acknowledge </w:t>
      </w:r>
      <w:r w:rsidR="006826F8">
        <w:t>where appropriate.</w:t>
      </w:r>
    </w:p>
    <w:p w14:paraId="506A2BFA" w14:textId="0AC4277D" w:rsidR="00BA5F22" w:rsidRPr="00C87254" w:rsidRDefault="005E2EF6" w:rsidP="00C94132">
      <w:pPr>
        <w:pStyle w:val="BodyText"/>
        <w:rPr>
          <w:b/>
          <w:bCs/>
        </w:rPr>
      </w:pPr>
      <w:r w:rsidRPr="002F5338">
        <w:rPr>
          <w:b/>
          <w:bCs/>
        </w:rPr>
        <w:t>There has been</w:t>
      </w:r>
      <w:r w:rsidR="002F5338">
        <w:t xml:space="preserve"> </w:t>
      </w:r>
      <w:r w:rsidR="00E37C25" w:rsidRPr="00501672">
        <w:rPr>
          <w:b/>
          <w:bCs/>
        </w:rPr>
        <w:t>evidence of increased access by target countries to technical assistance</w:t>
      </w:r>
      <w:r w:rsidR="005B5E55">
        <w:rPr>
          <w:b/>
          <w:bCs/>
        </w:rPr>
        <w:t xml:space="preserve"> </w:t>
      </w:r>
      <w:r w:rsidR="005B5E55" w:rsidRPr="00501672">
        <w:rPr>
          <w:b/>
          <w:bCs/>
        </w:rPr>
        <w:t>and resources</w:t>
      </w:r>
      <w:r w:rsidR="005B5E55">
        <w:rPr>
          <w:b/>
          <w:bCs/>
        </w:rPr>
        <w:t xml:space="preserve">, and tailored follow-up support to build national capacities for </w:t>
      </w:r>
      <w:r w:rsidR="005B5E55" w:rsidRPr="00501672">
        <w:rPr>
          <w:b/>
          <w:bCs/>
        </w:rPr>
        <w:t>sustainable development financing.</w:t>
      </w:r>
      <w:r w:rsidR="005B5E55">
        <w:rPr>
          <w:b/>
          <w:bCs/>
        </w:rPr>
        <w:t xml:space="preserve"> Acquired capacities are of use </w:t>
      </w:r>
      <w:r w:rsidR="00230C3A" w:rsidRPr="00501672">
        <w:rPr>
          <w:b/>
          <w:bCs/>
        </w:rPr>
        <w:t>in supporting national recovery efforts from the effects of the COVID-19 pandemic</w:t>
      </w:r>
      <w:r w:rsidR="00230C3A">
        <w:rPr>
          <w:b/>
          <w:bCs/>
        </w:rPr>
        <w:t xml:space="preserve"> and building </w:t>
      </w:r>
      <w:r w:rsidR="00230C3A" w:rsidRPr="00501672">
        <w:rPr>
          <w:b/>
          <w:bCs/>
        </w:rPr>
        <w:t>national resilience</w:t>
      </w:r>
      <w:r w:rsidR="00230C3A">
        <w:rPr>
          <w:b/>
          <w:bCs/>
        </w:rPr>
        <w:t xml:space="preserve"> to </w:t>
      </w:r>
      <w:r w:rsidR="00230C3A" w:rsidRPr="00501672">
        <w:rPr>
          <w:b/>
          <w:bCs/>
        </w:rPr>
        <w:t>mitigate the effects of future similar crises.</w:t>
      </w:r>
      <w:r w:rsidR="00230C3A">
        <w:rPr>
          <w:b/>
          <w:bCs/>
        </w:rPr>
        <w:t xml:space="preserve"> </w:t>
      </w:r>
      <w:r w:rsidR="00661628">
        <w:rPr>
          <w:b/>
          <w:bCs/>
        </w:rPr>
        <w:t>As the project created a regional space for knowledge-exchange</w:t>
      </w:r>
      <w:r w:rsidR="00661628" w:rsidRPr="00501672">
        <w:rPr>
          <w:b/>
          <w:bCs/>
        </w:rPr>
        <w:t xml:space="preserve"> and peer-learning on</w:t>
      </w:r>
      <w:r w:rsidR="00661628">
        <w:rPr>
          <w:b/>
          <w:bCs/>
        </w:rPr>
        <w:t xml:space="preserve"> sustainable development financing, it contributed towards </w:t>
      </w:r>
      <w:r w:rsidR="00661628" w:rsidRPr="00501672">
        <w:rPr>
          <w:b/>
          <w:bCs/>
        </w:rPr>
        <w:t xml:space="preserve">a demand for contextualised technical assistance on </w:t>
      </w:r>
      <w:r w:rsidR="00661628">
        <w:rPr>
          <w:b/>
          <w:bCs/>
        </w:rPr>
        <w:t xml:space="preserve">elements of development financing </w:t>
      </w:r>
      <w:r w:rsidR="00661628" w:rsidRPr="00501672">
        <w:rPr>
          <w:b/>
          <w:bCs/>
        </w:rPr>
        <w:t>from target and non-project countries.</w:t>
      </w:r>
      <w:r w:rsidR="0080641C">
        <w:rPr>
          <w:b/>
          <w:bCs/>
        </w:rPr>
        <w:t xml:space="preserve"> In combination, coordination between the executing entities and the strategic engagement of UN </w:t>
      </w:r>
      <w:r w:rsidR="0080641C" w:rsidRPr="00501672">
        <w:rPr>
          <w:b/>
          <w:bCs/>
        </w:rPr>
        <w:t>RCOs and UNCTs</w:t>
      </w:r>
      <w:r w:rsidR="0080641C">
        <w:rPr>
          <w:b/>
          <w:bCs/>
        </w:rPr>
        <w:t xml:space="preserve"> supported </w:t>
      </w:r>
      <w:r w:rsidR="0080641C" w:rsidRPr="00501672">
        <w:rPr>
          <w:b/>
          <w:bCs/>
        </w:rPr>
        <w:t>an effective response</w:t>
      </w:r>
      <w:r w:rsidR="0080641C">
        <w:rPr>
          <w:b/>
          <w:bCs/>
        </w:rPr>
        <w:t xml:space="preserve"> by the project to requests for technical assistance. </w:t>
      </w:r>
      <w:r w:rsidR="00C87254">
        <w:rPr>
          <w:b/>
          <w:bCs/>
        </w:rPr>
        <w:t xml:space="preserve">Although the added value of the project has been </w:t>
      </w:r>
      <w:r w:rsidR="00263C33">
        <w:rPr>
          <w:b/>
          <w:bCs/>
        </w:rPr>
        <w:t xml:space="preserve">its </w:t>
      </w:r>
      <w:r w:rsidR="00C87254">
        <w:rPr>
          <w:b/>
          <w:bCs/>
        </w:rPr>
        <w:t>responsiveness to country-level requests for technical assistance, along with the areas of expertise of the executing entities, there was still evidence of a duplication of efforts between the project and the Joint Programme</w:t>
      </w:r>
      <w:r w:rsidR="0027434D">
        <w:rPr>
          <w:b/>
          <w:bCs/>
        </w:rPr>
        <w:t>.</w:t>
      </w:r>
    </w:p>
    <w:p w14:paraId="0579358E" w14:textId="524E5D90" w:rsidR="00BA5F22" w:rsidRDefault="005E2EF6" w:rsidP="00C94132">
      <w:pPr>
        <w:pStyle w:val="BodyText"/>
      </w:pPr>
      <w:r w:rsidRPr="0093450C">
        <w:rPr>
          <w:b/>
          <w:bCs/>
        </w:rPr>
        <w:t xml:space="preserve">Finding </w:t>
      </w:r>
      <w:r>
        <w:rPr>
          <w:b/>
          <w:bCs/>
        </w:rPr>
        <w:t>5</w:t>
      </w:r>
      <w:r w:rsidRPr="0093450C">
        <w:rPr>
          <w:b/>
          <w:bCs/>
        </w:rPr>
        <w:t xml:space="preserve">: </w:t>
      </w:r>
      <w:r w:rsidR="00FC0C5A" w:rsidRPr="000D4A0C">
        <w:t xml:space="preserve">Project implementation facilitated target country access to technical assistance and resources for the strengthening of national capacities for sustainable development financing. Built country-level capacities will not be limited, however, to mitigating the effects of COVID-19, but will support </w:t>
      </w:r>
      <w:r w:rsidR="00FC0C5A" w:rsidRPr="000D4A0C">
        <w:lastRenderedPageBreak/>
        <w:t>country-level resilience to unforeseen socio-economic shocks</w:t>
      </w:r>
      <w:r w:rsidR="00FC0C5A">
        <w:t>.</w:t>
      </w:r>
    </w:p>
    <w:p w14:paraId="4932D861" w14:textId="05A6A241" w:rsidR="003B19E6" w:rsidRDefault="006D0C50" w:rsidP="00C94132">
      <w:pPr>
        <w:pStyle w:val="BodyText"/>
      </w:pPr>
      <w:r>
        <w:t>The expect</w:t>
      </w:r>
      <w:r w:rsidR="00F04EFB">
        <w:t xml:space="preserve">ed result at the level of Project </w:t>
      </w:r>
      <w:r w:rsidR="002F5338">
        <w:t xml:space="preserve">Outcome 1 </w:t>
      </w:r>
      <w:r>
        <w:t xml:space="preserve">was </w:t>
      </w:r>
      <w:r w:rsidR="002F5338">
        <w:t>strengthened national capacit</w:t>
      </w:r>
      <w:r>
        <w:t>ies</w:t>
      </w:r>
      <w:r w:rsidR="002F5338">
        <w:t xml:space="preserve"> within </w:t>
      </w:r>
      <w:r>
        <w:t xml:space="preserve">each </w:t>
      </w:r>
      <w:r w:rsidR="002F5338">
        <w:t>target countr</w:t>
      </w:r>
      <w:r>
        <w:t xml:space="preserve">y, to develop financing </w:t>
      </w:r>
      <w:r w:rsidR="002F5338">
        <w:t>strategies that align</w:t>
      </w:r>
      <w:r>
        <w:t>ed</w:t>
      </w:r>
      <w:r w:rsidR="002F5338">
        <w:t xml:space="preserve"> with national development plans and mitigate</w:t>
      </w:r>
      <w:r>
        <w:t>d</w:t>
      </w:r>
      <w:r w:rsidR="002F5338">
        <w:t xml:space="preserve"> the impact of the COVID-19 pandemic</w:t>
      </w:r>
      <w:r w:rsidR="003F01D8">
        <w:t xml:space="preserve"> (see Exhibit 9)</w:t>
      </w:r>
      <w:r w:rsidR="002F5338">
        <w:t>.</w:t>
      </w:r>
      <w:r>
        <w:t xml:space="preserve"> </w:t>
      </w:r>
      <w:r w:rsidR="003F01D8">
        <w:t xml:space="preserve">Outcome achievement was measured against three indicators of </w:t>
      </w:r>
      <w:r w:rsidR="00AD182F">
        <w:t>project performance</w:t>
      </w:r>
      <w:r w:rsidR="003F01D8">
        <w:t xml:space="preserve">: </w:t>
      </w:r>
      <w:r w:rsidR="00755711">
        <w:t>i</w:t>
      </w:r>
      <w:r w:rsidR="003F01D8">
        <w:t xml:space="preserve">) evidence of the development and application of targeted global guidance material in the target countries and regions; </w:t>
      </w:r>
      <w:r w:rsidR="00755711">
        <w:t>ii</w:t>
      </w:r>
      <w:r w:rsidR="003F01D8">
        <w:t xml:space="preserve">) </w:t>
      </w:r>
      <w:r w:rsidR="003B19E6">
        <w:t xml:space="preserve">a sound understanding of the contextual value of INFFs by the participants of national trainings; and </w:t>
      </w:r>
      <w:r w:rsidR="00755711">
        <w:t>iii</w:t>
      </w:r>
      <w:r w:rsidR="003B19E6">
        <w:t>)</w:t>
      </w:r>
      <w:r w:rsidR="00BB5CDE">
        <w:t xml:space="preserve"> INFF methodology developed by all 10 target countries, followed by evidence of the commencement of </w:t>
      </w:r>
      <w:r w:rsidR="003B19E6">
        <w:t>implementation</w:t>
      </w:r>
      <w:r w:rsidR="0061248B">
        <w:t xml:space="preserve"> (see Exhibit 9).</w:t>
      </w:r>
      <w:r w:rsidR="003F01D8">
        <w:t xml:space="preserve"> </w:t>
      </w:r>
    </w:p>
    <w:p w14:paraId="449452A9" w14:textId="7479336B" w:rsidR="00EE2216" w:rsidRDefault="003F01D8" w:rsidP="00C94132">
      <w:pPr>
        <w:pStyle w:val="BodyText"/>
      </w:pPr>
      <w:r>
        <w:t xml:space="preserve">As </w:t>
      </w:r>
      <w:r w:rsidRPr="00CB57B9">
        <w:t>project activities were implemented by several executing entities, the</w:t>
      </w:r>
      <w:r w:rsidR="00081F16" w:rsidRPr="00CB57B9">
        <w:t xml:space="preserve">re were </w:t>
      </w:r>
      <w:r w:rsidR="00887CB7" w:rsidRPr="00CB57B9">
        <w:t xml:space="preserve">noted differences in the </w:t>
      </w:r>
      <w:r w:rsidRPr="00CB57B9">
        <w:t xml:space="preserve">format </w:t>
      </w:r>
      <w:r w:rsidR="00887CB7" w:rsidRPr="00CB57B9">
        <w:t xml:space="preserve">and </w:t>
      </w:r>
      <w:r w:rsidR="008C6998" w:rsidRPr="00CB57B9">
        <w:t xml:space="preserve">availability </w:t>
      </w:r>
      <w:r w:rsidRPr="00CB57B9">
        <w:t>of the guidance material</w:t>
      </w:r>
      <w:r w:rsidR="008C6998" w:rsidRPr="00CB57B9">
        <w:t xml:space="preserve"> at project baseline</w:t>
      </w:r>
      <w:r w:rsidRPr="00CB57B9">
        <w:t xml:space="preserve">. </w:t>
      </w:r>
      <w:r w:rsidR="00521B21" w:rsidRPr="00CB57B9">
        <w:t>Specifically, guidance material</w:t>
      </w:r>
      <w:r w:rsidR="00521B21">
        <w:t xml:space="preserve"> had </w:t>
      </w:r>
      <w:r w:rsidR="00EE2216">
        <w:t>not yet</w:t>
      </w:r>
      <w:r w:rsidR="00521B21">
        <w:t xml:space="preserve"> </w:t>
      </w:r>
      <w:r w:rsidR="009404D0">
        <w:t xml:space="preserve">been </w:t>
      </w:r>
      <w:r w:rsidR="00521B21">
        <w:t xml:space="preserve">developed for </w:t>
      </w:r>
      <w:r w:rsidR="00EE2216">
        <w:t>two</w:t>
      </w:r>
      <w:r w:rsidR="00521B21">
        <w:t xml:space="preserve"> target countries. In addition, </w:t>
      </w:r>
      <w:r w:rsidR="00726D76">
        <w:t>t</w:t>
      </w:r>
      <w:r w:rsidR="00EE2216">
        <w:t xml:space="preserve">he seven target countries for which guidance material had been developed had not </w:t>
      </w:r>
      <w:r w:rsidR="00586BD3">
        <w:t xml:space="preserve">yet </w:t>
      </w:r>
      <w:r w:rsidR="002230C7">
        <w:t xml:space="preserve">engaged in contextual application. </w:t>
      </w:r>
      <w:r w:rsidR="00E02FEA">
        <w:t xml:space="preserve">At baseline, project conceptualisation was </w:t>
      </w:r>
      <w:r w:rsidR="001730D3">
        <w:t xml:space="preserve">also </w:t>
      </w:r>
      <w:r w:rsidR="00E02FEA">
        <w:t>still in process in one target country</w:t>
      </w:r>
      <w:r w:rsidR="001730D3">
        <w:t xml:space="preserve">, as the project had not yet been defined (see Exhibit </w:t>
      </w:r>
      <w:r w:rsidR="005F6C60">
        <w:t>1</w:t>
      </w:r>
      <w:r w:rsidR="00A86A59">
        <w:t>3</w:t>
      </w:r>
      <w:r w:rsidR="001730D3">
        <w:t>)</w:t>
      </w:r>
      <w:r w:rsidR="00382943">
        <w:t>.</w:t>
      </w:r>
    </w:p>
    <w:p w14:paraId="69A6D5B7" w14:textId="5D69CB6E" w:rsidR="003F01D8" w:rsidRDefault="003B19E6" w:rsidP="00C94132">
      <w:pPr>
        <w:pStyle w:val="BodyText"/>
      </w:pPr>
      <w:r>
        <w:t>Further to the</w:t>
      </w:r>
      <w:r w:rsidR="00036499">
        <w:t xml:space="preserve">ir participation in </w:t>
      </w:r>
      <w:r>
        <w:t>national training workshops, more than 80 percent of the participants indicated</w:t>
      </w:r>
      <w:r w:rsidR="00735A22">
        <w:t xml:space="preserve">, on average, </w:t>
      </w:r>
      <w:r>
        <w:t xml:space="preserve">that they </w:t>
      </w:r>
      <w:r w:rsidR="00F03CF9">
        <w:t xml:space="preserve">had </w:t>
      </w:r>
      <w:r>
        <w:t xml:space="preserve">gained a sound understanding of the INFF methodology. This result surpassed the established target of </w:t>
      </w:r>
      <w:r w:rsidR="00382943">
        <w:t>80 percent</w:t>
      </w:r>
      <w:r w:rsidR="00C60708">
        <w:t>.</w:t>
      </w:r>
      <w:r>
        <w:t xml:space="preserve"> Participant feedback was acquired </w:t>
      </w:r>
      <w:r w:rsidR="00107F08">
        <w:t xml:space="preserve">from </w:t>
      </w:r>
      <w:r>
        <w:t>a post-workshop survey. As a baseline survey had not been administered,</w:t>
      </w:r>
      <w:r w:rsidR="001301B8">
        <w:t xml:space="preserve"> </w:t>
      </w:r>
      <w:r>
        <w:t>there was no benchmark to establish the knowledge levels of participants prior to the workshops.</w:t>
      </w:r>
      <w:r w:rsidR="00695048">
        <w:t xml:space="preserve"> </w:t>
      </w:r>
      <w:r w:rsidR="00E40774">
        <w:t xml:space="preserve">Based on the results of the pre-project country analyses, however, the target countries </w:t>
      </w:r>
      <w:r w:rsidR="00853EAF">
        <w:t xml:space="preserve">generally </w:t>
      </w:r>
      <w:r w:rsidR="00E40774">
        <w:t xml:space="preserve">had </w:t>
      </w:r>
      <w:r w:rsidR="00853EAF">
        <w:t xml:space="preserve">limited knowledge about </w:t>
      </w:r>
      <w:r w:rsidR="00A76525">
        <w:t>and capacities in the INFF method</w:t>
      </w:r>
      <w:r w:rsidR="004D626A">
        <w:t>o</w:t>
      </w:r>
      <w:r w:rsidR="00A76525">
        <w:t>logy</w:t>
      </w:r>
      <w:r w:rsidR="008D5DD5">
        <w:t xml:space="preserve"> at </w:t>
      </w:r>
      <w:r w:rsidR="00D53F13">
        <w:t>the start of the project</w:t>
      </w:r>
      <w:r w:rsidR="00A76525">
        <w:t>.</w:t>
      </w:r>
      <w:r w:rsidR="006A2852" w:rsidRPr="006A2852">
        <w:rPr>
          <w:rStyle w:val="FootnoteReference"/>
        </w:rPr>
        <w:t xml:space="preserve"> </w:t>
      </w:r>
      <w:r w:rsidR="006A2852">
        <w:rPr>
          <w:rStyle w:val="FootnoteReference"/>
        </w:rPr>
        <w:footnoteReference w:id="142"/>
      </w:r>
    </w:p>
    <w:p w14:paraId="37099919" w14:textId="66FAB4C6" w:rsidR="00FF65F5" w:rsidRDefault="00291F05" w:rsidP="00C94132">
      <w:pPr>
        <w:pStyle w:val="BodyText"/>
      </w:pPr>
      <w:r>
        <w:t>T</w:t>
      </w:r>
      <w:r w:rsidR="00027FDA">
        <w:t xml:space="preserve">here </w:t>
      </w:r>
      <w:r w:rsidR="00753C24">
        <w:t xml:space="preserve">has been evidence of </w:t>
      </w:r>
      <w:r w:rsidR="004975B7">
        <w:t xml:space="preserve">the steps that were taken by the target countries to </w:t>
      </w:r>
      <w:r w:rsidR="00AA5467">
        <w:t>apply</w:t>
      </w:r>
      <w:r w:rsidR="004975B7">
        <w:t xml:space="preserve"> the INFF methodology</w:t>
      </w:r>
      <w:r w:rsidR="000B2F34">
        <w:t xml:space="preserve"> in their national contexts</w:t>
      </w:r>
      <w:r w:rsidR="004975B7">
        <w:t xml:space="preserve">. </w:t>
      </w:r>
      <w:r>
        <w:t xml:space="preserve">The role of the executing entities during this process </w:t>
      </w:r>
      <w:r w:rsidR="00257BAF">
        <w:t>was well</w:t>
      </w:r>
      <w:r w:rsidR="00AA5467">
        <w:t>-</w:t>
      </w:r>
      <w:r w:rsidR="00257BAF">
        <w:t xml:space="preserve">documented and </w:t>
      </w:r>
      <w:r w:rsidR="00257BAF">
        <w:t xml:space="preserve">involved </w:t>
      </w:r>
      <w:r w:rsidR="00BC7773">
        <w:t xml:space="preserve">the development and dissemination of guidance material; </w:t>
      </w:r>
      <w:r w:rsidR="00257BAF">
        <w:t xml:space="preserve">the </w:t>
      </w:r>
      <w:r w:rsidR="00AA5467">
        <w:t>facilitation of trainings/ capacity-building</w:t>
      </w:r>
      <w:r w:rsidR="00BC7773">
        <w:t xml:space="preserve">/ </w:t>
      </w:r>
      <w:r w:rsidR="006321A6">
        <w:t>knowledge-exchange</w:t>
      </w:r>
      <w:r w:rsidR="00F432E6">
        <w:t>/</w:t>
      </w:r>
      <w:r w:rsidR="00BC7773">
        <w:t xml:space="preserve"> </w:t>
      </w:r>
      <w:r w:rsidR="006321A6">
        <w:t>peer-learning</w:t>
      </w:r>
      <w:r w:rsidR="00BC7773">
        <w:t xml:space="preserve">; etc. </w:t>
      </w:r>
      <w:r w:rsidR="001F3E06">
        <w:t xml:space="preserve">As the INFF project was implemented in parallel with similar </w:t>
      </w:r>
      <w:r w:rsidR="002C7C4C">
        <w:t xml:space="preserve">UNDP-supported </w:t>
      </w:r>
      <w:r w:rsidR="001F3E06">
        <w:t xml:space="preserve">interventions </w:t>
      </w:r>
      <w:r w:rsidR="00FA55EC">
        <w:t>(through the Joint SDG Fund),</w:t>
      </w:r>
      <w:r w:rsidR="007D4396">
        <w:rPr>
          <w:rStyle w:val="FootnoteReference"/>
        </w:rPr>
        <w:footnoteReference w:id="143"/>
      </w:r>
      <w:r w:rsidR="00FA55EC">
        <w:t xml:space="preserve"> the project </w:t>
      </w:r>
      <w:r w:rsidR="000254AB">
        <w:t xml:space="preserve">can be </w:t>
      </w:r>
      <w:r w:rsidR="002C7C4C">
        <w:t>described a</w:t>
      </w:r>
      <w:r w:rsidR="00FA55EC">
        <w:t xml:space="preserve">s having contributed towards </w:t>
      </w:r>
      <w:r w:rsidR="00A835DF">
        <w:t>strengthened capacities for INFF development and implementation.</w:t>
      </w:r>
      <w:r w:rsidR="00141995">
        <w:rPr>
          <w:rStyle w:val="FootnoteReference"/>
        </w:rPr>
        <w:footnoteReference w:id="144"/>
      </w:r>
    </w:p>
    <w:p w14:paraId="606EB7A6" w14:textId="77777777" w:rsidR="008929AE" w:rsidRDefault="008E4D4A" w:rsidP="00C94132">
      <w:pPr>
        <w:pStyle w:val="BodyText"/>
      </w:pPr>
      <w:r>
        <w:t xml:space="preserve">Within this context, </w:t>
      </w:r>
      <w:r w:rsidR="00000048">
        <w:t xml:space="preserve">the target countries have differed </w:t>
      </w:r>
      <w:r w:rsidR="00896BC3">
        <w:t xml:space="preserve">in </w:t>
      </w:r>
      <w:r w:rsidR="000E431A">
        <w:t xml:space="preserve">the extent to which they </w:t>
      </w:r>
      <w:r w:rsidR="00F82CB9">
        <w:t xml:space="preserve">have developed </w:t>
      </w:r>
      <w:r w:rsidR="00DE59C5">
        <w:t xml:space="preserve">a </w:t>
      </w:r>
      <w:r w:rsidR="00CF7021">
        <w:t xml:space="preserve">national INFF </w:t>
      </w:r>
      <w:r w:rsidR="00896BC3">
        <w:t xml:space="preserve">methodology </w:t>
      </w:r>
      <w:r w:rsidR="00CF7021">
        <w:t>and commence</w:t>
      </w:r>
      <w:r w:rsidR="00C55F72">
        <w:t>d</w:t>
      </w:r>
      <w:r w:rsidR="00CF7021">
        <w:t xml:space="preserve"> implementation</w:t>
      </w:r>
      <w:r w:rsidR="00F82CB9">
        <w:t>.</w:t>
      </w:r>
      <w:r w:rsidR="0015186E">
        <w:t xml:space="preserve"> </w:t>
      </w:r>
      <w:r w:rsidR="00A4632F">
        <w:t>R</w:t>
      </w:r>
      <w:r w:rsidR="0015186E">
        <w:t xml:space="preserve">esults reporting for </w:t>
      </w:r>
      <w:r w:rsidR="000D5E44">
        <w:t xml:space="preserve">Outcome 1 has </w:t>
      </w:r>
      <w:r w:rsidR="008A1E10">
        <w:t>appro</w:t>
      </w:r>
      <w:r w:rsidR="005C3302">
        <w:t>priately</w:t>
      </w:r>
      <w:r w:rsidR="000B47FA">
        <w:t xml:space="preserve"> shown</w:t>
      </w:r>
      <w:r w:rsidR="00CA57FF">
        <w:t xml:space="preserve"> </w:t>
      </w:r>
      <w:r w:rsidR="000D5E44">
        <w:t xml:space="preserve">that </w:t>
      </w:r>
      <w:r w:rsidR="00695035">
        <w:t>‘</w:t>
      </w:r>
      <w:r w:rsidR="006013D0">
        <w:t>c</w:t>
      </w:r>
      <w:r w:rsidR="00695035">
        <w:t>apacities and integrated</w:t>
      </w:r>
      <w:r w:rsidR="000B47FA">
        <w:t xml:space="preserve"> pol</w:t>
      </w:r>
      <w:r w:rsidR="00845AF5">
        <w:t>i</w:t>
      </w:r>
      <w:r w:rsidR="000B47FA">
        <w:t>cies/ systems/ process</w:t>
      </w:r>
      <w:r w:rsidR="00CA57FF">
        <w:t xml:space="preserve">es’ </w:t>
      </w:r>
      <w:r w:rsidR="000B47FA">
        <w:t>are in place in all target countries.</w:t>
      </w:r>
      <w:r w:rsidR="00845AF5">
        <w:t xml:space="preserve"> </w:t>
      </w:r>
      <w:r w:rsidR="00BE60F0">
        <w:t xml:space="preserve">There has also been an indication that INFF implementation activities will continue in </w:t>
      </w:r>
      <w:r w:rsidR="00E93F78">
        <w:t>each target country</w:t>
      </w:r>
      <w:r w:rsidR="00CA406E">
        <w:t xml:space="preserve"> to support the</w:t>
      </w:r>
      <w:r w:rsidR="00930120">
        <w:t xml:space="preserve"> ongoing responsiveness of the INFF methodology to country context</w:t>
      </w:r>
      <w:r w:rsidR="00C26AB3">
        <w:t xml:space="preserve"> and the refinement of implementation activities</w:t>
      </w:r>
      <w:r w:rsidR="00930120">
        <w:t>.</w:t>
      </w:r>
      <w:r w:rsidR="00C26AB3">
        <w:t xml:space="preserve"> </w:t>
      </w:r>
      <w:r w:rsidR="00307671">
        <w:t xml:space="preserve">As an example of country-level progress, </w:t>
      </w:r>
      <w:r w:rsidR="00130307">
        <w:t>Egypt launched its INFF Strategy in March 2025.</w:t>
      </w:r>
      <w:r w:rsidR="009F0DEF">
        <w:rPr>
          <w:rStyle w:val="FootnoteReference"/>
        </w:rPr>
        <w:footnoteReference w:id="145"/>
      </w:r>
      <w:r w:rsidR="009F0DEF">
        <w:t xml:space="preserve"> The Egypt INFF </w:t>
      </w:r>
      <w:r w:rsidR="007B399D">
        <w:t xml:space="preserve">Strategy document </w:t>
      </w:r>
      <w:r w:rsidR="00E14ED6">
        <w:t>highli</w:t>
      </w:r>
      <w:r w:rsidR="007B399D">
        <w:t>ghts the national approach to SDG fin</w:t>
      </w:r>
      <w:r w:rsidR="007E19DD">
        <w:t>ancing to support accelerated contributions</w:t>
      </w:r>
      <w:r w:rsidR="00934DFF">
        <w:t xml:space="preserve"> towards </w:t>
      </w:r>
      <w:r w:rsidR="00E83D1F">
        <w:t xml:space="preserve">the </w:t>
      </w:r>
      <w:r w:rsidR="00934DFF">
        <w:t>SDG</w:t>
      </w:r>
      <w:r w:rsidR="00E83D1F">
        <w:t>s</w:t>
      </w:r>
      <w:r w:rsidR="007E19DD">
        <w:t xml:space="preserve">. </w:t>
      </w:r>
      <w:r w:rsidR="003B79DC">
        <w:t xml:space="preserve">There will be an ongoing refinement of the strategy </w:t>
      </w:r>
      <w:r w:rsidR="0070492E">
        <w:t>during the i</w:t>
      </w:r>
      <w:r w:rsidR="004B6ED8">
        <w:t xml:space="preserve">mplementation </w:t>
      </w:r>
      <w:r w:rsidR="0070492E">
        <w:t xml:space="preserve">process. Both actions will </w:t>
      </w:r>
      <w:r w:rsidR="004B6ED8">
        <w:t>be led by the Egypt Ministry of Planning</w:t>
      </w:r>
      <w:r w:rsidR="00EB033B">
        <w:t>, Economic Development and International Cooperation.</w:t>
      </w:r>
      <w:r w:rsidR="007E19DD">
        <w:rPr>
          <w:rStyle w:val="FootnoteReference"/>
        </w:rPr>
        <w:footnoteReference w:id="146"/>
      </w:r>
      <w:r w:rsidR="002D43B0">
        <w:t xml:space="preserve"> </w:t>
      </w:r>
    </w:p>
    <w:p w14:paraId="2BECA9DD" w14:textId="01339567" w:rsidR="009B13C6" w:rsidRDefault="00B37844" w:rsidP="00C94132">
      <w:pPr>
        <w:pStyle w:val="BodyText"/>
      </w:pPr>
      <w:r>
        <w:t>UNESCWA, through the INFF project</w:t>
      </w:r>
      <w:r w:rsidR="00DB73C6">
        <w:t xml:space="preserve">, </w:t>
      </w:r>
      <w:r w:rsidR="008929AE">
        <w:t xml:space="preserve">also </w:t>
      </w:r>
      <w:r>
        <w:t xml:space="preserve">contributed extensively towards the development of the </w:t>
      </w:r>
      <w:r w:rsidR="00DB73C6">
        <w:t>Egypt INFF Strategy document</w:t>
      </w:r>
      <w:r w:rsidR="009B13C6">
        <w:t>. The contribution of UNESCWA included, inter alia:</w:t>
      </w:r>
    </w:p>
    <w:p w14:paraId="3850909B" w14:textId="36460D18" w:rsidR="00000048" w:rsidRDefault="009B13C6" w:rsidP="00524362">
      <w:pPr>
        <w:pStyle w:val="BodyText"/>
        <w:numPr>
          <w:ilvl w:val="0"/>
          <w:numId w:val="111"/>
        </w:numPr>
        <w:spacing w:before="0"/>
        <w:ind w:left="760" w:hanging="357"/>
      </w:pPr>
      <w:r>
        <w:t>Development of the first evidence based INFF s</w:t>
      </w:r>
      <w:r w:rsidR="00B16640">
        <w:t xml:space="preserve">trategy for Egypt, </w:t>
      </w:r>
      <w:hyperlink r:id="rId40" w:history="1">
        <w:r w:rsidR="00B16640" w:rsidRPr="002C216A">
          <w:rPr>
            <w:rStyle w:val="Hyperlink"/>
          </w:rPr>
          <w:t>Towards an Evidence-based INFF</w:t>
        </w:r>
        <w:r w:rsidR="00765DA3" w:rsidRPr="002C216A">
          <w:rPr>
            <w:rStyle w:val="Hyperlink"/>
          </w:rPr>
          <w:t>: Blueprint for Sustainable, Resilient</w:t>
        </w:r>
        <w:r w:rsidR="00816F83" w:rsidRPr="002C216A">
          <w:rPr>
            <w:rStyle w:val="Hyperlink"/>
          </w:rPr>
          <w:t xml:space="preserve"> and Transformational Inclusive Growth-led SDG-Centric Financing</w:t>
        </w:r>
      </w:hyperlink>
      <w:r w:rsidR="00372441">
        <w:t>, 202</w:t>
      </w:r>
      <w:r w:rsidR="00534A44">
        <w:t>4</w:t>
      </w:r>
      <w:r w:rsidR="00816F83">
        <w:t>;</w:t>
      </w:r>
    </w:p>
    <w:p w14:paraId="5CE51172" w14:textId="649E2D92" w:rsidR="00816F83" w:rsidRDefault="0034588D" w:rsidP="00524362">
      <w:pPr>
        <w:pStyle w:val="BodyText"/>
        <w:numPr>
          <w:ilvl w:val="0"/>
          <w:numId w:val="111"/>
        </w:numPr>
        <w:spacing w:before="0"/>
        <w:ind w:left="760" w:hanging="357"/>
      </w:pPr>
      <w:r>
        <w:t>Contribut</w:t>
      </w:r>
      <w:r w:rsidR="00CB3FA7">
        <w:t>ion</w:t>
      </w:r>
      <w:r>
        <w:t xml:space="preserve"> to </w:t>
      </w:r>
      <w:r w:rsidR="009C4E70">
        <w:t xml:space="preserve">the </w:t>
      </w:r>
      <w:hyperlink r:id="rId41" w:history="1">
        <w:r w:rsidR="009C4E70" w:rsidRPr="00372441">
          <w:rPr>
            <w:rStyle w:val="Hyperlink"/>
          </w:rPr>
          <w:t xml:space="preserve">Financing Sustainable Development </w:t>
        </w:r>
        <w:r w:rsidR="00372441" w:rsidRPr="00372441">
          <w:rPr>
            <w:rStyle w:val="Hyperlink"/>
          </w:rPr>
          <w:t>in Egypt</w:t>
        </w:r>
      </w:hyperlink>
      <w:r w:rsidR="00372441">
        <w:t xml:space="preserve"> r</w:t>
      </w:r>
      <w:r w:rsidR="009C4E70">
        <w:t>eport</w:t>
      </w:r>
      <w:r w:rsidR="00372441">
        <w:t>, 2021;</w:t>
      </w:r>
    </w:p>
    <w:p w14:paraId="689FD53E" w14:textId="69BB6B99" w:rsidR="00372441" w:rsidRDefault="00524362" w:rsidP="00524362">
      <w:pPr>
        <w:pStyle w:val="BodyText"/>
        <w:numPr>
          <w:ilvl w:val="0"/>
          <w:numId w:val="111"/>
        </w:numPr>
        <w:spacing w:before="0"/>
        <w:ind w:left="760" w:hanging="357"/>
      </w:pPr>
      <w:r>
        <w:t>Organisation</w:t>
      </w:r>
      <w:r w:rsidR="00CB3FA7">
        <w:t xml:space="preserve"> of</w:t>
      </w:r>
      <w:r w:rsidR="00372441">
        <w:t xml:space="preserve"> technical workshops</w:t>
      </w:r>
      <w:r w:rsidR="00DE3B24">
        <w:t xml:space="preserve">, </w:t>
      </w:r>
      <w:r w:rsidR="00372441">
        <w:t>meeting</w:t>
      </w:r>
      <w:r w:rsidR="00DE3B24">
        <w:t>s and consu</w:t>
      </w:r>
      <w:r w:rsidR="00245E30">
        <w:t>ltations</w:t>
      </w:r>
      <w:r w:rsidR="00372441">
        <w:t xml:space="preserve"> </w:t>
      </w:r>
      <w:r w:rsidR="00A0493C">
        <w:t>to provide technical advisory</w:t>
      </w:r>
      <w:r w:rsidR="00245E30">
        <w:t xml:space="preserve">; </w:t>
      </w:r>
    </w:p>
    <w:p w14:paraId="605695D1" w14:textId="507B2315" w:rsidR="00245E30" w:rsidRDefault="00245E30" w:rsidP="00524362">
      <w:pPr>
        <w:pStyle w:val="BodyText"/>
        <w:numPr>
          <w:ilvl w:val="0"/>
          <w:numId w:val="111"/>
        </w:numPr>
        <w:spacing w:before="0"/>
        <w:ind w:left="760" w:hanging="357"/>
      </w:pPr>
      <w:r>
        <w:lastRenderedPageBreak/>
        <w:t>Support</w:t>
      </w:r>
      <w:r w:rsidR="00184D80">
        <w:t xml:space="preserve"> for</w:t>
      </w:r>
      <w:r>
        <w:t xml:space="preserve"> the establishment of a National Task Force, in collaboration with </w:t>
      </w:r>
      <w:r w:rsidR="00524362">
        <w:t xml:space="preserve">UN </w:t>
      </w:r>
      <w:r>
        <w:t>RCO a</w:t>
      </w:r>
      <w:r w:rsidR="00524362">
        <w:t>n</w:t>
      </w:r>
      <w:r>
        <w:t>d UNCTAD, for the statistical measurement of illicit financial flows</w:t>
      </w:r>
      <w:r w:rsidR="00524362">
        <w:t>;</w:t>
      </w:r>
      <w:r w:rsidR="00524362" w:rsidRPr="00524362">
        <w:t xml:space="preserve"> </w:t>
      </w:r>
      <w:r w:rsidR="00524362">
        <w:t>and</w:t>
      </w:r>
    </w:p>
    <w:p w14:paraId="093C2984" w14:textId="109647DB" w:rsidR="00524362" w:rsidRDefault="00BD5F5E" w:rsidP="00524362">
      <w:pPr>
        <w:pStyle w:val="BodyText"/>
        <w:numPr>
          <w:ilvl w:val="0"/>
          <w:numId w:val="111"/>
        </w:numPr>
        <w:spacing w:before="0"/>
        <w:ind w:left="760" w:hanging="357"/>
      </w:pPr>
      <w:r>
        <w:t xml:space="preserve">Conducted </w:t>
      </w:r>
      <w:r w:rsidR="00AC6B21">
        <w:t xml:space="preserve">a mapping of national sustainable development targets and thresholds </w:t>
      </w:r>
      <w:r w:rsidR="0063609C">
        <w:t xml:space="preserve">in the national sectoral developments for the previous </w:t>
      </w:r>
      <w:r w:rsidR="003B576A">
        <w:t xml:space="preserve">20 years to </w:t>
      </w:r>
      <w:r w:rsidR="00F53BF7">
        <w:t>establish</w:t>
      </w:r>
      <w:r w:rsidR="003B576A">
        <w:t xml:space="preserve"> the baseline for the SDG costing and financing exe</w:t>
      </w:r>
      <w:r w:rsidR="00F53BF7">
        <w:t>r</w:t>
      </w:r>
      <w:r w:rsidR="003B576A">
        <w:t>cise</w:t>
      </w:r>
    </w:p>
    <w:p w14:paraId="20B25E90" w14:textId="1805126E" w:rsidR="00245E30" w:rsidRDefault="00245E30" w:rsidP="00245E30">
      <w:pPr>
        <w:pStyle w:val="BodyText"/>
        <w:ind w:left="41"/>
        <w:jc w:val="right"/>
      </w:pPr>
      <w:r>
        <w:t xml:space="preserve">Source: Final </w:t>
      </w:r>
      <w:r w:rsidR="00B3087C">
        <w:t>p</w:t>
      </w:r>
      <w:r>
        <w:t>roject report, March 2025.</w:t>
      </w:r>
    </w:p>
    <w:p w14:paraId="5BEB0225" w14:textId="7A2899F3" w:rsidR="005E2EF6" w:rsidRDefault="009A452B" w:rsidP="00C94132">
      <w:pPr>
        <w:pStyle w:val="BodyText"/>
      </w:pPr>
      <w:r>
        <w:t>In th</w:t>
      </w:r>
      <w:r w:rsidR="00B15910">
        <w:t>e most recent VNR report for each target country</w:t>
      </w:r>
      <w:r>
        <w:t xml:space="preserve">, there was an acknowledgement of the disruptive effect of the COVID-19 </w:t>
      </w:r>
      <w:r w:rsidR="00604AAE">
        <w:t>pandemic on the national economy</w:t>
      </w:r>
      <w:r w:rsidR="00EB6094">
        <w:t xml:space="preserve">. Country governments resolved to invest </w:t>
      </w:r>
      <w:r w:rsidR="001035FB">
        <w:t xml:space="preserve">further in sustainable development to </w:t>
      </w:r>
      <w:r w:rsidR="006643E0">
        <w:t xml:space="preserve">build national resilience for </w:t>
      </w:r>
      <w:r w:rsidR="005C6CA3">
        <w:t>future similar</w:t>
      </w:r>
      <w:r w:rsidR="00313726">
        <w:t xml:space="preserve"> crises and other emergent shocks</w:t>
      </w:r>
      <w:r w:rsidR="00586661">
        <w:t xml:space="preserve">. </w:t>
      </w:r>
      <w:r w:rsidR="006E2403">
        <w:t xml:space="preserve">As the </w:t>
      </w:r>
      <w:r w:rsidR="00586661">
        <w:t xml:space="preserve">INFF project </w:t>
      </w:r>
      <w:r w:rsidR="00AC1751">
        <w:t xml:space="preserve">contributed towards </w:t>
      </w:r>
      <w:r w:rsidR="00C52A5E">
        <w:t>enhanced de</w:t>
      </w:r>
      <w:r w:rsidR="000A1536">
        <w:t>velopment financing across</w:t>
      </w:r>
      <w:r w:rsidR="0060408E">
        <w:t xml:space="preserve"> the</w:t>
      </w:r>
      <w:r w:rsidR="000A1536">
        <w:t xml:space="preserve"> target countries, it </w:t>
      </w:r>
      <w:r w:rsidR="000E38BF">
        <w:t>support</w:t>
      </w:r>
      <w:r w:rsidR="0060408E">
        <w:t xml:space="preserve">ed the national </w:t>
      </w:r>
      <w:r w:rsidR="000E38BF">
        <w:t>capacity to</w:t>
      </w:r>
      <w:r w:rsidR="00CC3AAE">
        <w:t xml:space="preserve">: </w:t>
      </w:r>
      <w:r w:rsidR="0060408E">
        <w:t>i</w:t>
      </w:r>
      <w:r w:rsidR="00CC3AAE">
        <w:t xml:space="preserve">) accelerate </w:t>
      </w:r>
      <w:r w:rsidR="00CC3AAE">
        <w:t>contributions t</w:t>
      </w:r>
      <w:r w:rsidR="00CB2125">
        <w:t>owards the SDGs</w:t>
      </w:r>
      <w:r w:rsidR="00C9442B">
        <w:t xml:space="preserve">; </w:t>
      </w:r>
      <w:r w:rsidR="0060408E">
        <w:t>ii</w:t>
      </w:r>
      <w:r w:rsidR="00C9442B">
        <w:t>) build resilience to exogenous crises</w:t>
      </w:r>
      <w:r w:rsidR="00983C03">
        <w:t xml:space="preserve">; and </w:t>
      </w:r>
      <w:r w:rsidR="00EB13DB">
        <w:t>iii</w:t>
      </w:r>
      <w:r w:rsidR="00983C03">
        <w:t>) mitigate the effects of the CO</w:t>
      </w:r>
      <w:r w:rsidR="00663F28">
        <w:t>V</w:t>
      </w:r>
      <w:r w:rsidR="00983C03">
        <w:t xml:space="preserve">ID-19 pandemic on sustainable development at the </w:t>
      </w:r>
      <w:r w:rsidR="00663F28">
        <w:t>country level.</w:t>
      </w:r>
      <w:r w:rsidR="00CB2125">
        <w:t xml:space="preserve"> </w:t>
      </w:r>
      <w:r w:rsidR="00A73B8D">
        <w:t>As an example of a</w:t>
      </w:r>
      <w:r w:rsidR="00F56E1E">
        <w:t xml:space="preserve"> targeted</w:t>
      </w:r>
      <w:r w:rsidR="00B03C2D">
        <w:t xml:space="preserve"> project output</w:t>
      </w:r>
      <w:r w:rsidR="00F56E1E">
        <w:t xml:space="preserve"> for </w:t>
      </w:r>
      <w:r w:rsidR="008F4318">
        <w:t xml:space="preserve">pandemic recovery, </w:t>
      </w:r>
      <w:r w:rsidR="0033103E">
        <w:t xml:space="preserve">Zambia contributed towards the finalisation of </w:t>
      </w:r>
      <w:r w:rsidR="006314C3">
        <w:t>guidance material</w:t>
      </w:r>
      <w:r w:rsidR="00BC3C63">
        <w:t xml:space="preserve"> </w:t>
      </w:r>
      <w:r w:rsidR="00C15630">
        <w:t>for post-C</w:t>
      </w:r>
      <w:r w:rsidR="000F73CB">
        <w:t>OVID</w:t>
      </w:r>
      <w:r w:rsidR="00C15630">
        <w:t>-19</w:t>
      </w:r>
      <w:r w:rsidR="0033103E">
        <w:t xml:space="preserve"> resource mobilisation</w:t>
      </w:r>
      <w:r w:rsidR="003D74E0">
        <w:t>.</w:t>
      </w:r>
      <w:r w:rsidR="00F25C67">
        <w:rPr>
          <w:rStyle w:val="FootnoteReference"/>
        </w:rPr>
        <w:footnoteReference w:id="147"/>
      </w:r>
      <w:r w:rsidR="00C15630">
        <w:t xml:space="preserve"> </w:t>
      </w:r>
      <w:r w:rsidR="00EB13DB">
        <w:t>A</w:t>
      </w:r>
      <w:r w:rsidR="00004D50">
        <w:t xml:space="preserve"> </w:t>
      </w:r>
      <w:r w:rsidR="008D20B9">
        <w:t xml:space="preserve">manual </w:t>
      </w:r>
      <w:r w:rsidR="003D74E0">
        <w:t>developed by UNECA</w:t>
      </w:r>
      <w:r w:rsidR="00F57E7D">
        <w:t>,</w:t>
      </w:r>
      <w:r w:rsidR="003D74E0">
        <w:t xml:space="preserve"> </w:t>
      </w:r>
      <w:r w:rsidR="003C45F1">
        <w:t xml:space="preserve">in consultation with the Zambia Ministry of Finance and </w:t>
      </w:r>
      <w:r w:rsidR="004B360A">
        <w:t>National Planning</w:t>
      </w:r>
      <w:r w:rsidR="00F57E7D">
        <w:t xml:space="preserve">, provides </w:t>
      </w:r>
      <w:r w:rsidR="00EF0D2B">
        <w:t xml:space="preserve">an </w:t>
      </w:r>
      <w:r w:rsidR="00F57E7D">
        <w:t xml:space="preserve">impact </w:t>
      </w:r>
      <w:r w:rsidR="00EF0D2B">
        <w:t xml:space="preserve">assessment of </w:t>
      </w:r>
      <w:r w:rsidR="00F57E7D">
        <w:t xml:space="preserve">the pandemic </w:t>
      </w:r>
      <w:r w:rsidR="000021AA">
        <w:t xml:space="preserve">in relation to </w:t>
      </w:r>
      <w:r w:rsidR="00E368EA">
        <w:t>domestic resource mobilisation</w:t>
      </w:r>
      <w:r w:rsidR="000021AA">
        <w:t xml:space="preserve">, as well as </w:t>
      </w:r>
      <w:r w:rsidR="00194F80">
        <w:t xml:space="preserve">recommendations for post-pandemic </w:t>
      </w:r>
      <w:r w:rsidR="00B579CE">
        <w:t xml:space="preserve">fiscal </w:t>
      </w:r>
      <w:r w:rsidR="009621FF">
        <w:t>recovery</w:t>
      </w:r>
      <w:r w:rsidR="00194F80">
        <w:t>.</w:t>
      </w:r>
    </w:p>
    <w:p w14:paraId="40391BB2" w14:textId="77777777" w:rsidR="00C9693C" w:rsidRDefault="00C9693C" w:rsidP="00C94132">
      <w:pPr>
        <w:pStyle w:val="BodyText"/>
      </w:pPr>
    </w:p>
    <w:p w14:paraId="5E387D67" w14:textId="77777777" w:rsidR="00A86A59" w:rsidRDefault="00A86A59" w:rsidP="00C94132">
      <w:pPr>
        <w:pStyle w:val="BodyText"/>
      </w:pPr>
    </w:p>
    <w:p w14:paraId="1BD8BCFE" w14:textId="77777777" w:rsidR="00A86A59" w:rsidRDefault="00A86A59" w:rsidP="00C94132">
      <w:pPr>
        <w:pStyle w:val="BodyText"/>
      </w:pPr>
    </w:p>
    <w:p w14:paraId="0089FB58" w14:textId="77777777" w:rsidR="00A8307D" w:rsidRDefault="00A8307D" w:rsidP="00C94132">
      <w:pPr>
        <w:pStyle w:val="BodyText"/>
      </w:pPr>
    </w:p>
    <w:p w14:paraId="5797F6B8" w14:textId="77777777" w:rsidR="00A8307D" w:rsidRDefault="00A8307D" w:rsidP="00C94132">
      <w:pPr>
        <w:pStyle w:val="BodyText"/>
      </w:pPr>
    </w:p>
    <w:p w14:paraId="2AA93D3B" w14:textId="77777777" w:rsidR="00A86A59" w:rsidRDefault="00A86A59" w:rsidP="00C94132">
      <w:pPr>
        <w:pStyle w:val="BodyText"/>
      </w:pPr>
    </w:p>
    <w:p w14:paraId="227AF5FB" w14:textId="77777777" w:rsidR="00E742F6" w:rsidRDefault="00E742F6" w:rsidP="00C94132">
      <w:pPr>
        <w:pStyle w:val="BodyText"/>
        <w:sectPr w:rsidR="00E742F6" w:rsidSect="0084474C">
          <w:pgSz w:w="12240" w:h="15840" w:code="1"/>
          <w:pgMar w:top="1276" w:right="1276" w:bottom="851" w:left="1276" w:header="720" w:footer="720" w:gutter="0"/>
          <w:cols w:num="2" w:space="397"/>
          <w:docGrid w:linePitch="360"/>
        </w:sectPr>
      </w:pPr>
    </w:p>
    <w:p w14:paraId="65D3D886" w14:textId="75453235" w:rsidR="009826C1" w:rsidRPr="00D12632" w:rsidRDefault="009826C1" w:rsidP="009826C1">
      <w:pPr>
        <w:pStyle w:val="Caption"/>
        <w:spacing w:before="120"/>
      </w:pPr>
      <w:bookmarkStart w:id="39" w:name="_Toc210730346"/>
      <w:r w:rsidRPr="00D12632">
        <w:t xml:space="preserve">Exhibit </w:t>
      </w:r>
      <w:r w:rsidRPr="00D12632">
        <w:fldChar w:fldCharType="begin"/>
      </w:r>
      <w:r w:rsidRPr="00D12632">
        <w:instrText xml:space="preserve"> SEQ Table \* ARABIC </w:instrText>
      </w:r>
      <w:r w:rsidRPr="00D12632">
        <w:fldChar w:fldCharType="separate"/>
      </w:r>
      <w:r w:rsidR="00A86A59">
        <w:rPr>
          <w:noProof/>
        </w:rPr>
        <w:t>13</w:t>
      </w:r>
      <w:r w:rsidRPr="00D12632">
        <w:fldChar w:fldCharType="end"/>
      </w:r>
      <w:r w:rsidRPr="00D12632">
        <w:t xml:space="preserve"> </w:t>
      </w:r>
      <w:r w:rsidR="00663F28">
        <w:t>Summary of re</w:t>
      </w:r>
      <w:r w:rsidR="002F5338">
        <w:t>sults</w:t>
      </w:r>
      <w:r w:rsidR="00663F28">
        <w:t xml:space="preserve"> – </w:t>
      </w:r>
      <w:r>
        <w:t>Outcome 1</w:t>
      </w:r>
      <w:bookmarkEnd w:id="39"/>
    </w:p>
    <w:tbl>
      <w:tblPr>
        <w:tblStyle w:val="BlueTable"/>
        <w:tblW w:w="4979" w:type="pct"/>
        <w:jc w:val="center"/>
        <w:tblLayout w:type="fixed"/>
        <w:tblLook w:val="04A0" w:firstRow="1" w:lastRow="0" w:firstColumn="1" w:lastColumn="0" w:noHBand="0" w:noVBand="1"/>
      </w:tblPr>
      <w:tblGrid>
        <w:gridCol w:w="1977"/>
        <w:gridCol w:w="2126"/>
        <w:gridCol w:w="3119"/>
        <w:gridCol w:w="2409"/>
      </w:tblGrid>
      <w:tr w:rsidR="009826C1" w:rsidRPr="00041EA7" w14:paraId="415AE88B" w14:textId="77777777" w:rsidTr="00BB65D7">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763885D8" w14:textId="645AD231" w:rsidR="009826C1" w:rsidRDefault="009826C1" w:rsidP="00F63422">
            <w:r>
              <w:t>Outcome</w:t>
            </w:r>
          </w:p>
        </w:tc>
        <w:tc>
          <w:tcPr>
            <w:tcW w:w="2126" w:type="dxa"/>
            <w:vMerge w:val="restart"/>
            <w:vAlign w:val="center"/>
          </w:tcPr>
          <w:p w14:paraId="7173961E" w14:textId="4132D0CA" w:rsidR="009826C1" w:rsidRDefault="009826C1" w:rsidP="00F63422">
            <w:pPr>
              <w:jc w:val="center"/>
              <w:cnfStyle w:val="100000000000" w:firstRow="1" w:lastRow="0" w:firstColumn="0" w:lastColumn="0" w:oddVBand="0" w:evenVBand="0" w:oddHBand="0" w:evenHBand="0" w:firstRowFirstColumn="0" w:firstRowLastColumn="0" w:lastRowFirstColumn="0" w:lastRowLastColumn="0"/>
            </w:pPr>
            <w:r>
              <w:t>Indicator</w:t>
            </w:r>
          </w:p>
        </w:tc>
        <w:tc>
          <w:tcPr>
            <w:tcW w:w="5528" w:type="dxa"/>
            <w:gridSpan w:val="2"/>
          </w:tcPr>
          <w:p w14:paraId="5BEA2A05" w14:textId="22B43354" w:rsidR="009826C1" w:rsidRDefault="009826C1" w:rsidP="00F63422">
            <w:pPr>
              <w:jc w:val="center"/>
              <w:cnfStyle w:val="100000000000" w:firstRow="1" w:lastRow="0" w:firstColumn="0" w:lastColumn="0" w:oddVBand="0" w:evenVBand="0" w:oddHBand="0" w:evenHBand="0" w:firstRowFirstColumn="0" w:firstRowLastColumn="0" w:lastRowFirstColumn="0" w:lastRowLastColumn="0"/>
            </w:pPr>
            <w:r>
              <w:t>Status</w:t>
            </w:r>
            <w:r w:rsidR="00D14369">
              <w:t xml:space="preserve"> of indicator</w:t>
            </w:r>
          </w:p>
        </w:tc>
      </w:tr>
      <w:tr w:rsidR="00F21A54" w:rsidRPr="00041EA7" w14:paraId="2B761612" w14:textId="278E9FBD" w:rsidTr="00852800">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7" w:type="dxa"/>
            <w:vMerge/>
          </w:tcPr>
          <w:p w14:paraId="6F126BC5" w14:textId="43A7A7CD" w:rsidR="009826C1" w:rsidRPr="002628BE" w:rsidRDefault="009826C1" w:rsidP="00F63422"/>
        </w:tc>
        <w:tc>
          <w:tcPr>
            <w:tcW w:w="2126" w:type="dxa"/>
            <w:vMerge/>
          </w:tcPr>
          <w:p w14:paraId="30BD55EF" w14:textId="02EBC9F3" w:rsidR="009826C1" w:rsidRPr="002628BE" w:rsidRDefault="009826C1" w:rsidP="00F63422">
            <w:pPr>
              <w:jc w:val="center"/>
              <w:cnfStyle w:val="100000000000" w:firstRow="1" w:lastRow="0" w:firstColumn="0" w:lastColumn="0" w:oddVBand="0" w:evenVBand="0" w:oddHBand="0" w:evenHBand="0" w:firstRowFirstColumn="0" w:firstRowLastColumn="0" w:lastRowFirstColumn="0" w:lastRowLastColumn="0"/>
            </w:pPr>
          </w:p>
        </w:tc>
        <w:tc>
          <w:tcPr>
            <w:tcW w:w="3119" w:type="dxa"/>
          </w:tcPr>
          <w:p w14:paraId="3627A482" w14:textId="0D69C35D" w:rsidR="009826C1" w:rsidRPr="002628BE" w:rsidRDefault="009826C1" w:rsidP="00F63422">
            <w:pPr>
              <w:jc w:val="center"/>
              <w:cnfStyle w:val="100000000000" w:firstRow="1" w:lastRow="0" w:firstColumn="0" w:lastColumn="0" w:oddVBand="0" w:evenVBand="0" w:oddHBand="0" w:evenHBand="0" w:firstRowFirstColumn="0" w:firstRowLastColumn="0" w:lastRowFirstColumn="0" w:lastRowLastColumn="0"/>
            </w:pPr>
            <w:r>
              <w:t>Baseline</w:t>
            </w:r>
          </w:p>
        </w:tc>
        <w:tc>
          <w:tcPr>
            <w:tcW w:w="2409" w:type="dxa"/>
          </w:tcPr>
          <w:p w14:paraId="2592DE1E" w14:textId="7294E65D" w:rsidR="009826C1" w:rsidRPr="002628BE" w:rsidRDefault="009826C1" w:rsidP="00F63422">
            <w:pPr>
              <w:jc w:val="center"/>
              <w:cnfStyle w:val="100000000000" w:firstRow="1" w:lastRow="0" w:firstColumn="0" w:lastColumn="0" w:oddVBand="0" w:evenVBand="0" w:oddHBand="0" w:evenHBand="0" w:firstRowFirstColumn="0" w:firstRowLastColumn="0" w:lastRowFirstColumn="0" w:lastRowLastColumn="0"/>
            </w:pPr>
            <w:r>
              <w:t>Endline</w:t>
            </w:r>
          </w:p>
        </w:tc>
      </w:tr>
      <w:tr w:rsidR="009826C1" w:rsidRPr="00041EA7" w14:paraId="0496F19A" w14:textId="467F3A0F" w:rsidTr="00852800">
        <w:trP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6C397D30" w14:textId="2699C225" w:rsidR="009826C1" w:rsidRPr="00D14369" w:rsidRDefault="002F5338" w:rsidP="00F63422">
            <w:pPr>
              <w:rPr>
                <w:b w:val="0"/>
                <w:bCs/>
                <w:sz w:val="16"/>
                <w:szCs w:val="16"/>
              </w:rPr>
            </w:pPr>
            <w:r w:rsidRPr="002F5338">
              <w:rPr>
                <w:sz w:val="16"/>
                <w:szCs w:val="16"/>
              </w:rPr>
              <w:t>OC1:</w:t>
            </w:r>
            <w:r>
              <w:rPr>
                <w:b w:val="0"/>
                <w:bCs/>
                <w:sz w:val="16"/>
                <w:szCs w:val="16"/>
              </w:rPr>
              <w:t xml:space="preserve"> </w:t>
            </w:r>
            <w:r w:rsidR="00B81007" w:rsidRPr="00D14369">
              <w:rPr>
                <w:b w:val="0"/>
                <w:bCs/>
                <w:sz w:val="16"/>
                <w:szCs w:val="16"/>
              </w:rPr>
              <w:t>Strengthened national capacity of target countries in developing financing strategies that align with their national development plans and mitigate the impact of COVID-19</w:t>
            </w:r>
          </w:p>
        </w:tc>
        <w:tc>
          <w:tcPr>
            <w:tcW w:w="2126" w:type="dxa"/>
          </w:tcPr>
          <w:p w14:paraId="748493AB" w14:textId="06DC709D" w:rsidR="009826C1" w:rsidRPr="00D14369" w:rsidRDefault="00B81007" w:rsidP="00B81007">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IA1.1</w:t>
            </w:r>
            <w:r w:rsidRPr="00D14369">
              <w:rPr>
                <w:sz w:val="16"/>
                <w:szCs w:val="16"/>
              </w:rPr>
              <w:t>: Targeted global guidance material is developed and applied in target countries and regions</w:t>
            </w:r>
          </w:p>
        </w:tc>
        <w:tc>
          <w:tcPr>
            <w:tcW w:w="3119" w:type="dxa"/>
          </w:tcPr>
          <w:p w14:paraId="237F1076" w14:textId="3B9E5CE5" w:rsidR="00D14369" w:rsidRPr="00BB65D7" w:rsidRDefault="00D85835" w:rsidP="00D14369">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Guidance not yet developed for</w:t>
            </w:r>
            <w:r w:rsidR="00D14369" w:rsidRPr="00BB65D7">
              <w:rPr>
                <w:sz w:val="16"/>
                <w:szCs w:val="16"/>
              </w:rPr>
              <w:t xml:space="preserve"> </w:t>
            </w:r>
            <w:r w:rsidR="00E14B32" w:rsidRPr="00E14B32">
              <w:rPr>
                <w:b/>
                <w:bCs/>
                <w:sz w:val="16"/>
                <w:szCs w:val="16"/>
              </w:rPr>
              <w:t>two</w:t>
            </w:r>
            <w:r w:rsidR="00D14369" w:rsidRPr="00E14B32">
              <w:rPr>
                <w:b/>
                <w:bCs/>
                <w:sz w:val="16"/>
                <w:szCs w:val="16"/>
              </w:rPr>
              <w:t xml:space="preserve"> </w:t>
            </w:r>
            <w:r w:rsidR="00D14369" w:rsidRPr="00BB65D7">
              <w:rPr>
                <w:sz w:val="16"/>
                <w:szCs w:val="16"/>
              </w:rPr>
              <w:t>target countries (</w:t>
            </w:r>
            <w:r w:rsidR="00D14369" w:rsidRPr="00BB65D7">
              <w:rPr>
                <w:b/>
                <w:bCs/>
                <w:sz w:val="16"/>
                <w:szCs w:val="16"/>
              </w:rPr>
              <w:t>support being provided by entit</w:t>
            </w:r>
            <w:r w:rsidR="00D14369">
              <w:rPr>
                <w:b/>
                <w:bCs/>
                <w:sz w:val="16"/>
                <w:szCs w:val="16"/>
              </w:rPr>
              <w:t>ies</w:t>
            </w:r>
            <w:r w:rsidR="00D14369" w:rsidRPr="00BB65D7">
              <w:rPr>
                <w:b/>
                <w:bCs/>
                <w:sz w:val="16"/>
                <w:szCs w:val="16"/>
              </w:rPr>
              <w:t xml:space="preserve"> in parentheses</w:t>
            </w:r>
            <w:r w:rsidR="00D14369" w:rsidRPr="00BB65D7">
              <w:rPr>
                <w:sz w:val="16"/>
                <w:szCs w:val="16"/>
              </w:rPr>
              <w:t xml:space="preserve">): </w:t>
            </w:r>
          </w:p>
          <w:p w14:paraId="1EE72388" w14:textId="77777777" w:rsidR="00D14369" w:rsidRDefault="00D14369"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35803649" w14:textId="190CF9AF" w:rsidR="00E14B32" w:rsidRPr="00BB65D7" w:rsidRDefault="00E14B32"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w:t>
            </w:r>
          </w:p>
          <w:p w14:paraId="4BB84DA5" w14:textId="08513868" w:rsidR="00E14B32" w:rsidRPr="00BB65D7" w:rsidRDefault="00D85835" w:rsidP="00E14B3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Guidance exists but has not been applied yet </w:t>
            </w:r>
            <w:r w:rsidR="00E14B32" w:rsidRPr="00BB65D7">
              <w:rPr>
                <w:sz w:val="16"/>
                <w:szCs w:val="16"/>
              </w:rPr>
              <w:t xml:space="preserve">in </w:t>
            </w:r>
            <w:r w:rsidR="00E14B32" w:rsidRPr="00BB65D7">
              <w:rPr>
                <w:b/>
                <w:bCs/>
                <w:sz w:val="16"/>
                <w:szCs w:val="16"/>
              </w:rPr>
              <w:t>seven</w:t>
            </w:r>
            <w:r w:rsidR="00E14B32" w:rsidRPr="00BB65D7">
              <w:rPr>
                <w:sz w:val="16"/>
                <w:szCs w:val="16"/>
              </w:rPr>
              <w:t xml:space="preserve"> target countries (</w:t>
            </w:r>
            <w:r w:rsidR="00E14B32" w:rsidRPr="00BB65D7">
              <w:rPr>
                <w:b/>
                <w:bCs/>
                <w:sz w:val="16"/>
                <w:szCs w:val="16"/>
              </w:rPr>
              <w:t>support being provided by entit</w:t>
            </w:r>
            <w:r w:rsidR="00E14B32">
              <w:rPr>
                <w:b/>
                <w:bCs/>
                <w:sz w:val="16"/>
                <w:szCs w:val="16"/>
              </w:rPr>
              <w:t>ies</w:t>
            </w:r>
            <w:r w:rsidR="00E14B32" w:rsidRPr="00BB65D7">
              <w:rPr>
                <w:b/>
                <w:bCs/>
                <w:sz w:val="16"/>
                <w:szCs w:val="16"/>
              </w:rPr>
              <w:t xml:space="preserve"> in parentheses</w:t>
            </w:r>
            <w:r w:rsidR="00E14B32" w:rsidRPr="00BB65D7">
              <w:rPr>
                <w:sz w:val="16"/>
                <w:szCs w:val="16"/>
              </w:rPr>
              <w:t xml:space="preserve">): </w:t>
            </w:r>
          </w:p>
          <w:p w14:paraId="7887964B" w14:textId="77777777" w:rsidR="00E14B32" w:rsidRPr="00BB65D7"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049DB5E8" w14:textId="77777777" w:rsidR="00E14B32" w:rsidRPr="00BB65D7"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521E1CD3" w14:textId="4625F507" w:rsidR="00E14B32"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Egypt (UNESCWA)</w:t>
            </w:r>
          </w:p>
          <w:p w14:paraId="62178200" w14:textId="391C8888" w:rsidR="00E14B32"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Jordan (UNESCWA)</w:t>
            </w:r>
          </w:p>
          <w:p w14:paraId="31584618" w14:textId="2AA9E0B4" w:rsidR="00E14B32" w:rsidRPr="00BB65D7"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2285E521" w14:textId="61D9EC8B" w:rsidR="00E14B32" w:rsidRPr="00BB65D7" w:rsidRDefault="00E14B32"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(UNCTAD)</w:t>
            </w:r>
          </w:p>
          <w:p w14:paraId="6AFF5F76" w14:textId="77777777" w:rsidR="009826C1" w:rsidRDefault="00E14B32"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 (UNCTAD)</w:t>
            </w:r>
          </w:p>
          <w:p w14:paraId="2136C5F0" w14:textId="1961773E" w:rsidR="00D85835" w:rsidRPr="00BB65D7" w:rsidRDefault="00D85835" w:rsidP="00D85835">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in </w:t>
            </w:r>
            <w:r w:rsidR="002F5338">
              <w:rPr>
                <w:b/>
                <w:bCs/>
                <w:sz w:val="16"/>
                <w:szCs w:val="16"/>
              </w:rPr>
              <w:t>one</w:t>
            </w:r>
            <w:r w:rsidRPr="00BB65D7">
              <w:rPr>
                <w:sz w:val="16"/>
                <w:szCs w:val="16"/>
              </w:rPr>
              <w:t xml:space="preserve"> target countr</w:t>
            </w:r>
            <w:r w:rsidR="002F5338">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54DBA2C6" w14:textId="63E72BF0" w:rsidR="00D85835" w:rsidRPr="00E14B32" w:rsidRDefault="002F5338"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pPr>
            <w:r>
              <w:rPr>
                <w:sz w:val="16"/>
                <w:szCs w:val="16"/>
              </w:rPr>
              <w:t>Pakistan (UNESCAP)</w:t>
            </w:r>
          </w:p>
        </w:tc>
        <w:tc>
          <w:tcPr>
            <w:tcW w:w="2409" w:type="dxa"/>
          </w:tcPr>
          <w:p w14:paraId="19E32898" w14:textId="16508924" w:rsidR="009826C1" w:rsidRPr="00D14369" w:rsidRDefault="00B35378" w:rsidP="00F6342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w:t>
            </w:r>
            <w:r w:rsidR="00B81007" w:rsidRPr="00D14369">
              <w:rPr>
                <w:sz w:val="16"/>
                <w:szCs w:val="16"/>
              </w:rPr>
              <w:t xml:space="preserve">Guidance </w:t>
            </w:r>
            <w:r w:rsidRPr="00D14369">
              <w:rPr>
                <w:sz w:val="16"/>
                <w:szCs w:val="16"/>
              </w:rPr>
              <w:t>material developed and a</w:t>
            </w:r>
            <w:r w:rsidR="00B81007" w:rsidRPr="00D14369">
              <w:rPr>
                <w:sz w:val="16"/>
                <w:szCs w:val="16"/>
              </w:rPr>
              <w:t xml:space="preserve">pplied </w:t>
            </w:r>
            <w:r w:rsidRPr="00D14369">
              <w:rPr>
                <w:sz w:val="16"/>
                <w:szCs w:val="16"/>
              </w:rPr>
              <w:t xml:space="preserve">in </w:t>
            </w:r>
            <w:r w:rsidR="00B81007" w:rsidRPr="00D14369">
              <w:rPr>
                <w:sz w:val="16"/>
                <w:szCs w:val="16"/>
              </w:rPr>
              <w:t>all target countries</w:t>
            </w:r>
            <w:r w:rsidR="00E14B32">
              <w:rPr>
                <w:sz w:val="16"/>
                <w:szCs w:val="16"/>
              </w:rPr>
              <w:t xml:space="preserve"> and regions</w:t>
            </w:r>
          </w:p>
        </w:tc>
      </w:tr>
      <w:tr w:rsidR="009826C1" w:rsidRPr="00041EA7" w14:paraId="6E63045D" w14:textId="00B19CC0" w:rsidTr="00852800">
        <w:trPr>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2DBF5792" w14:textId="77777777" w:rsidR="009826C1" w:rsidRPr="00D14369" w:rsidRDefault="009826C1" w:rsidP="00F63422">
            <w:pPr>
              <w:rPr>
                <w:sz w:val="16"/>
                <w:szCs w:val="16"/>
              </w:rPr>
            </w:pPr>
          </w:p>
        </w:tc>
        <w:tc>
          <w:tcPr>
            <w:tcW w:w="2126" w:type="dxa"/>
          </w:tcPr>
          <w:p w14:paraId="208F3F7A" w14:textId="0D7BF91A" w:rsidR="009826C1" w:rsidRPr="00D14369" w:rsidRDefault="00B81007" w:rsidP="00B81007">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IA1.2:</w:t>
            </w:r>
            <w:r w:rsidRPr="00D14369">
              <w:rPr>
                <w:sz w:val="16"/>
                <w:szCs w:val="16"/>
              </w:rPr>
              <w:t xml:space="preserve"> 80% of participants in national trainings have a sound </w:t>
            </w:r>
            <w:r w:rsidRPr="00D14369">
              <w:rPr>
                <w:sz w:val="16"/>
                <w:szCs w:val="16"/>
              </w:rPr>
              <w:lastRenderedPageBreak/>
              <w:t>understanding of the value of INFF in their country context</w:t>
            </w:r>
          </w:p>
        </w:tc>
        <w:tc>
          <w:tcPr>
            <w:tcW w:w="3119" w:type="dxa"/>
          </w:tcPr>
          <w:p w14:paraId="2208FC1C" w14:textId="53A35327" w:rsidR="009826C1" w:rsidRPr="00D14369" w:rsidRDefault="00B81007" w:rsidP="00F6342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sz w:val="16"/>
                <w:szCs w:val="16"/>
              </w:rPr>
              <w:lastRenderedPageBreak/>
              <w:t>Not a</w:t>
            </w:r>
            <w:r w:rsidR="00D14369">
              <w:rPr>
                <w:sz w:val="16"/>
                <w:szCs w:val="16"/>
              </w:rPr>
              <w:t>pplicable</w:t>
            </w:r>
          </w:p>
        </w:tc>
        <w:tc>
          <w:tcPr>
            <w:tcW w:w="2409" w:type="dxa"/>
          </w:tcPr>
          <w:p w14:paraId="38D722D4" w14:textId="4A66EF39" w:rsidR="009826C1" w:rsidRPr="00D14369" w:rsidRDefault="00B81007" w:rsidP="00F45B3A">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More than 80% of </w:t>
            </w:r>
            <w:r w:rsidR="00B35378" w:rsidRPr="00D14369">
              <w:rPr>
                <w:sz w:val="16"/>
                <w:szCs w:val="16"/>
              </w:rPr>
              <w:t xml:space="preserve">the </w:t>
            </w:r>
            <w:r w:rsidRPr="00D14369">
              <w:rPr>
                <w:sz w:val="16"/>
                <w:szCs w:val="16"/>
              </w:rPr>
              <w:t xml:space="preserve">participants </w:t>
            </w:r>
            <w:r w:rsidR="00B35378" w:rsidRPr="00D14369">
              <w:rPr>
                <w:sz w:val="16"/>
                <w:szCs w:val="16"/>
              </w:rPr>
              <w:t xml:space="preserve">of national INFF inception/ training </w:t>
            </w:r>
            <w:r w:rsidR="00B35378" w:rsidRPr="00D14369">
              <w:rPr>
                <w:sz w:val="16"/>
                <w:szCs w:val="16"/>
              </w:rPr>
              <w:lastRenderedPageBreak/>
              <w:t>workshops where surveys were conducted indicated a sound understanding of the value of INFF in their country context</w:t>
            </w:r>
          </w:p>
        </w:tc>
      </w:tr>
      <w:tr w:rsidR="009826C1" w:rsidRPr="00041EA7" w14:paraId="1435E909" w14:textId="06720B76" w:rsidTr="00852800">
        <w:trPr>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3A596E62" w14:textId="77777777" w:rsidR="009826C1" w:rsidRPr="002628BE" w:rsidRDefault="009826C1" w:rsidP="00F63422"/>
        </w:tc>
        <w:tc>
          <w:tcPr>
            <w:tcW w:w="2126" w:type="dxa"/>
          </w:tcPr>
          <w:p w14:paraId="4A3DD08E" w14:textId="77777777" w:rsidR="00B81007" w:rsidRPr="00BB65D7" w:rsidRDefault="00B81007" w:rsidP="00B81007">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BB65D7">
              <w:rPr>
                <w:b/>
                <w:bCs/>
                <w:sz w:val="16"/>
                <w:szCs w:val="16"/>
              </w:rPr>
              <w:t>IA1.3:</w:t>
            </w:r>
            <w:r w:rsidRPr="00BB65D7">
              <w:rPr>
                <w:sz w:val="16"/>
                <w:szCs w:val="16"/>
              </w:rPr>
              <w:t xml:space="preserve"> 10 target countries developed and commenced implementation of INFF methodology for their country</w:t>
            </w:r>
          </w:p>
          <w:p w14:paraId="13EC7A59" w14:textId="77777777" w:rsidR="009826C1" w:rsidRPr="00BB65D7" w:rsidRDefault="009826C1" w:rsidP="00B81007">
            <w:pPr>
              <w:pStyle w:val="Normal-sizedTableBullets"/>
              <w:numPr>
                <w:ilvl w:val="0"/>
                <w:numId w:val="0"/>
              </w:numPr>
              <w:spacing w:after="60"/>
              <w:ind w:left="170" w:hanging="170"/>
              <w:cnfStyle w:val="000000000000" w:firstRow="0" w:lastRow="0" w:firstColumn="0" w:lastColumn="0" w:oddVBand="0" w:evenVBand="0" w:oddHBand="0" w:evenHBand="0" w:firstRowFirstColumn="0" w:firstRowLastColumn="0" w:lastRowFirstColumn="0" w:lastRowLastColumn="0"/>
              <w:rPr>
                <w:sz w:val="16"/>
                <w:szCs w:val="16"/>
              </w:rPr>
            </w:pPr>
          </w:p>
        </w:tc>
        <w:tc>
          <w:tcPr>
            <w:tcW w:w="3119" w:type="dxa"/>
          </w:tcPr>
          <w:p w14:paraId="4857E389" w14:textId="339CD42E" w:rsidR="009826C1" w:rsidRPr="00BB65D7" w:rsidRDefault="00B35378" w:rsidP="00F6342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No capacity/ policies/ systems/ processes in place in focus area in </w:t>
            </w:r>
            <w:r w:rsidRPr="00BB65D7">
              <w:rPr>
                <w:b/>
                <w:bCs/>
                <w:sz w:val="16"/>
                <w:szCs w:val="16"/>
              </w:rPr>
              <w:t>f</w:t>
            </w:r>
            <w:r w:rsidR="001D5A4C">
              <w:rPr>
                <w:b/>
                <w:bCs/>
                <w:sz w:val="16"/>
                <w:szCs w:val="16"/>
              </w:rPr>
              <w:t>ive</w:t>
            </w:r>
            <w:r w:rsidRPr="00BB65D7">
              <w:rPr>
                <w:sz w:val="16"/>
                <w:szCs w:val="16"/>
              </w:rPr>
              <w:t xml:space="preserve"> target countries (</w:t>
            </w:r>
            <w:r w:rsidRPr="00BB65D7">
              <w:rPr>
                <w:b/>
                <w:bCs/>
                <w:sz w:val="16"/>
                <w:szCs w:val="16"/>
              </w:rPr>
              <w:t>support being provided by entit</w:t>
            </w:r>
            <w:r w:rsidR="00BB65D7">
              <w:rPr>
                <w:b/>
                <w:bCs/>
                <w:sz w:val="16"/>
                <w:szCs w:val="16"/>
              </w:rPr>
              <w:t>ies</w:t>
            </w:r>
            <w:r w:rsidRPr="00BB65D7">
              <w:rPr>
                <w:b/>
                <w:bCs/>
                <w:sz w:val="16"/>
                <w:szCs w:val="16"/>
              </w:rPr>
              <w:t xml:space="preserve"> in parentheses</w:t>
            </w:r>
            <w:r w:rsidRPr="00BB65D7">
              <w:rPr>
                <w:sz w:val="16"/>
                <w:szCs w:val="16"/>
              </w:rPr>
              <w:t xml:space="preserve">): </w:t>
            </w:r>
          </w:p>
          <w:p w14:paraId="5DF3BC9F" w14:textId="74401518" w:rsidR="00B35378"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4F4AB72C" w14:textId="13868C39"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051C2857" w14:textId="235400DF"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Egypt</w:t>
            </w:r>
            <w:r>
              <w:rPr>
                <w:sz w:val="16"/>
                <w:szCs w:val="16"/>
              </w:rPr>
              <w:t xml:space="preserve"> (UNESCWA)</w:t>
            </w:r>
          </w:p>
          <w:p w14:paraId="48EBF034" w14:textId="256FBDAF"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Jordan</w:t>
            </w:r>
            <w:r>
              <w:rPr>
                <w:sz w:val="16"/>
                <w:szCs w:val="16"/>
              </w:rPr>
              <w:t xml:space="preserve"> (UNESCWA)</w:t>
            </w:r>
          </w:p>
          <w:p w14:paraId="099C0402" w14:textId="6B9BB262" w:rsidR="00BB65D7" w:rsidRPr="00BB65D7" w:rsidRDefault="00BB65D7"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52B85309" w14:textId="5D491B16" w:rsidR="00BB65D7" w:rsidRPr="00BB65D7" w:rsidRDefault="00BB65D7" w:rsidP="00D14369">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Some</w:t>
            </w:r>
            <w:r w:rsidR="002F5338" w:rsidRPr="006E6E55">
              <w:rPr>
                <w:sz w:val="16"/>
                <w:szCs w:val="16"/>
              </w:rPr>
              <w:t xml:space="preserve"> capacity/ policies/ systems/ processes in place in focus area, but scope remains to strengthen them and/or enhance their integration</w:t>
            </w:r>
            <w:r w:rsidR="002F5338" w:rsidRPr="00BB65D7">
              <w:rPr>
                <w:sz w:val="16"/>
                <w:szCs w:val="16"/>
              </w:rPr>
              <w:t xml:space="preserve"> </w:t>
            </w:r>
            <w:r w:rsidRPr="00BB65D7">
              <w:rPr>
                <w:sz w:val="16"/>
                <w:szCs w:val="16"/>
              </w:rPr>
              <w:t xml:space="preserve">in </w:t>
            </w:r>
            <w:r w:rsidR="00D023D2">
              <w:rPr>
                <w:b/>
                <w:bCs/>
                <w:sz w:val="16"/>
                <w:szCs w:val="16"/>
              </w:rPr>
              <w:t>f</w:t>
            </w:r>
            <w:r w:rsidR="00416444">
              <w:rPr>
                <w:b/>
                <w:bCs/>
                <w:sz w:val="16"/>
                <w:szCs w:val="16"/>
              </w:rPr>
              <w:t>our</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04565AC9" w14:textId="77777777"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7FE594AD" w14:textId="77777777"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2585B1E0" w14:textId="0082696E"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1505B020" w14:textId="4B0FD254" w:rsidR="00BB65D7" w:rsidRPr="00BB65D7" w:rsidRDefault="00BB65D7"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 UNCTAD)</w:t>
            </w:r>
          </w:p>
          <w:p w14:paraId="154E449C" w14:textId="03AEF61C" w:rsidR="00D14369" w:rsidRPr="00BB65D7" w:rsidRDefault="00D14369" w:rsidP="002F5338">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w:t>
            </w:r>
            <w:r w:rsidRPr="00BB65D7">
              <w:rPr>
                <w:sz w:val="16"/>
                <w:szCs w:val="16"/>
              </w:rPr>
              <w:t xml:space="preserve">in </w:t>
            </w:r>
            <w:r>
              <w:rPr>
                <w:b/>
                <w:bCs/>
                <w:sz w:val="16"/>
                <w:szCs w:val="16"/>
              </w:rPr>
              <w:t>o</w:t>
            </w:r>
            <w:r w:rsidRPr="00BB65D7">
              <w:rPr>
                <w:b/>
                <w:bCs/>
                <w:sz w:val="16"/>
                <w:szCs w:val="16"/>
              </w:rPr>
              <w:t>n</w:t>
            </w:r>
            <w:r>
              <w:rPr>
                <w:b/>
                <w:bCs/>
                <w:sz w:val="16"/>
                <w:szCs w:val="16"/>
              </w:rPr>
              <w:t>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sidR="00BB5CDE">
              <w:rPr>
                <w:b/>
                <w:bCs/>
                <w:sz w:val="16"/>
                <w:szCs w:val="16"/>
              </w:rPr>
              <w:t>ies</w:t>
            </w:r>
            <w:r w:rsidRPr="00BB65D7">
              <w:rPr>
                <w:b/>
                <w:bCs/>
                <w:sz w:val="16"/>
                <w:szCs w:val="16"/>
              </w:rPr>
              <w:t xml:space="preserve"> in parentheses</w:t>
            </w:r>
            <w:r w:rsidRPr="00BB65D7">
              <w:rPr>
                <w:sz w:val="16"/>
                <w:szCs w:val="16"/>
              </w:rPr>
              <w:t xml:space="preserve">): </w:t>
            </w:r>
          </w:p>
          <w:p w14:paraId="700A8118" w14:textId="459DB69F" w:rsidR="00B35378" w:rsidRPr="00D14369" w:rsidRDefault="00D14369"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w:t>
            </w:r>
            <w:r w:rsidRPr="00BB65D7">
              <w:rPr>
                <w:sz w:val="16"/>
                <w:szCs w:val="16"/>
              </w:rPr>
              <w:t xml:space="preserve"> (UNE</w:t>
            </w:r>
            <w:r>
              <w:rPr>
                <w:sz w:val="16"/>
                <w:szCs w:val="16"/>
              </w:rPr>
              <w:t>SCAP</w:t>
            </w:r>
            <w:r w:rsidRPr="00BB65D7">
              <w:rPr>
                <w:sz w:val="16"/>
                <w:szCs w:val="16"/>
              </w:rPr>
              <w:t>; UNCTAD)</w:t>
            </w:r>
          </w:p>
        </w:tc>
        <w:tc>
          <w:tcPr>
            <w:tcW w:w="2409" w:type="dxa"/>
          </w:tcPr>
          <w:p w14:paraId="602E6696" w14:textId="6BC2BE6C" w:rsidR="009826C1" w:rsidRPr="00BB65D7" w:rsidRDefault="00D85835" w:rsidP="00F63422">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00BB5CDE">
              <w:rPr>
                <w:b/>
                <w:bCs/>
                <w:sz w:val="16"/>
                <w:szCs w:val="16"/>
              </w:rPr>
              <w:t xml:space="preserve"> </w:t>
            </w:r>
            <w:r w:rsidR="00B35378" w:rsidRPr="00BB65D7">
              <w:rPr>
                <w:sz w:val="16"/>
                <w:szCs w:val="16"/>
              </w:rPr>
              <w:t xml:space="preserve">Capacity and integrated policies/ systems/ processes in place </w:t>
            </w:r>
            <w:r w:rsidR="002B4831">
              <w:rPr>
                <w:sz w:val="16"/>
                <w:szCs w:val="16"/>
              </w:rPr>
              <w:t xml:space="preserve">in focus area </w:t>
            </w:r>
            <w:r w:rsidR="00B35378" w:rsidRPr="00BB65D7">
              <w:rPr>
                <w:sz w:val="16"/>
                <w:szCs w:val="16"/>
              </w:rPr>
              <w:t>in all target countries</w:t>
            </w:r>
          </w:p>
        </w:tc>
      </w:tr>
    </w:tbl>
    <w:p w14:paraId="7AF97612" w14:textId="591D7441" w:rsidR="005E2EF6" w:rsidRPr="006A515F" w:rsidRDefault="009A3EBD" w:rsidP="00E82E6E">
      <w:pPr>
        <w:pStyle w:val="BodyText"/>
        <w:jc w:val="right"/>
        <w:rPr>
          <w:i/>
          <w:iCs/>
          <w:sz w:val="18"/>
          <w:szCs w:val="18"/>
        </w:rPr>
      </w:pPr>
      <w:r w:rsidRPr="006A515F">
        <w:rPr>
          <w:i/>
          <w:iCs/>
          <w:sz w:val="18"/>
          <w:szCs w:val="18"/>
        </w:rPr>
        <w:t xml:space="preserve">Source: </w:t>
      </w:r>
      <w:r w:rsidR="00722D8D" w:rsidRPr="006A515F">
        <w:rPr>
          <w:i/>
          <w:iCs/>
          <w:sz w:val="18"/>
          <w:szCs w:val="18"/>
        </w:rPr>
        <w:t>F</w:t>
      </w:r>
      <w:r w:rsidRPr="006A515F">
        <w:rPr>
          <w:i/>
          <w:iCs/>
          <w:sz w:val="18"/>
          <w:szCs w:val="18"/>
        </w:rPr>
        <w:t>inal project report, March 2025</w:t>
      </w:r>
    </w:p>
    <w:p w14:paraId="4A4C9F16" w14:textId="77777777" w:rsidR="009A3EBD" w:rsidRDefault="009A3EBD" w:rsidP="00C94132">
      <w:pPr>
        <w:pStyle w:val="BodyText"/>
      </w:pPr>
    </w:p>
    <w:p w14:paraId="623B721A" w14:textId="77777777" w:rsidR="00E742F6" w:rsidRDefault="00E742F6" w:rsidP="00C94132">
      <w:pPr>
        <w:pStyle w:val="BodyText"/>
        <w:sectPr w:rsidR="00E742F6" w:rsidSect="00F666A1">
          <w:type w:val="continuous"/>
          <w:pgSz w:w="12240" w:h="15840" w:code="1"/>
          <w:pgMar w:top="1276" w:right="1276" w:bottom="568" w:left="1276" w:header="720" w:footer="720" w:gutter="0"/>
          <w:cols w:space="397"/>
          <w:docGrid w:linePitch="360"/>
        </w:sectPr>
      </w:pPr>
    </w:p>
    <w:p w14:paraId="401DA5D3" w14:textId="3E2901CE" w:rsidR="00AD3314" w:rsidRDefault="00EA1F27" w:rsidP="00BC7B6D">
      <w:pPr>
        <w:pStyle w:val="BodyText"/>
      </w:pPr>
      <w:r w:rsidRPr="00DD7436">
        <w:rPr>
          <w:b/>
          <w:bCs/>
        </w:rPr>
        <w:t xml:space="preserve">Finding </w:t>
      </w:r>
      <w:r w:rsidR="00EA7AB4">
        <w:rPr>
          <w:b/>
          <w:bCs/>
        </w:rPr>
        <w:t>6</w:t>
      </w:r>
      <w:r w:rsidR="0086439E">
        <w:rPr>
          <w:b/>
          <w:bCs/>
        </w:rPr>
        <w:t xml:space="preserve">: </w:t>
      </w:r>
      <w:r w:rsidR="005A2734" w:rsidRPr="00B6035C">
        <w:t xml:space="preserve">By creating </w:t>
      </w:r>
      <w:r w:rsidR="009802C7">
        <w:t xml:space="preserve">regional and global </w:t>
      </w:r>
      <w:r w:rsidR="00482EDF">
        <w:t>s</w:t>
      </w:r>
      <w:r w:rsidR="005A2734" w:rsidRPr="00B6035C">
        <w:t xml:space="preserve">paces for </w:t>
      </w:r>
      <w:r w:rsidR="006321A6">
        <w:t>knowledge-exchange</w:t>
      </w:r>
      <w:r w:rsidR="005A2734" w:rsidRPr="00B6035C">
        <w:t xml:space="preserve"> and peer</w:t>
      </w:r>
      <w:r w:rsidR="00241BB7">
        <w:t>-</w:t>
      </w:r>
      <w:r w:rsidR="005A2734" w:rsidRPr="00B6035C">
        <w:t>learning on the INFF methodology,</w:t>
      </w:r>
      <w:r w:rsidR="00390E5E">
        <w:t xml:space="preserve"> </w:t>
      </w:r>
      <w:r w:rsidR="005A2734" w:rsidRPr="00B6035C">
        <w:t xml:space="preserve">the project </w:t>
      </w:r>
      <w:r w:rsidR="005C5E5E">
        <w:t>contributed towards a</w:t>
      </w:r>
      <w:r w:rsidR="005A2734" w:rsidRPr="00B6035C">
        <w:t xml:space="preserve"> </w:t>
      </w:r>
      <w:r w:rsidR="005A2734" w:rsidRPr="00D51FCF">
        <w:t xml:space="preserve">demand for technical assistance </w:t>
      </w:r>
      <w:r w:rsidR="00510DEC">
        <w:t xml:space="preserve">by </w:t>
      </w:r>
      <w:r w:rsidR="00C336A8" w:rsidRPr="00D51FCF">
        <w:t>target and</w:t>
      </w:r>
      <w:r w:rsidR="004D2ADE" w:rsidRPr="00D51FCF">
        <w:t xml:space="preserve"> </w:t>
      </w:r>
      <w:r w:rsidR="005A2734" w:rsidRPr="00D51FCF">
        <w:t>non-project countries,</w:t>
      </w:r>
      <w:r w:rsidR="006935BE">
        <w:t xml:space="preserve"> and </w:t>
      </w:r>
      <w:r w:rsidR="005A2734" w:rsidRPr="00D51FCF">
        <w:t xml:space="preserve">a visible role for </w:t>
      </w:r>
      <w:r w:rsidR="00C25F7E">
        <w:t xml:space="preserve">the strategic engagement </w:t>
      </w:r>
      <w:r w:rsidR="00D727B9">
        <w:t xml:space="preserve">of </w:t>
      </w:r>
      <w:r w:rsidR="005A2734" w:rsidRPr="00D51FCF">
        <w:t xml:space="preserve">UN </w:t>
      </w:r>
      <w:r w:rsidR="004E0827">
        <w:t>e</w:t>
      </w:r>
      <w:r w:rsidR="005A2734" w:rsidRPr="00D51FCF">
        <w:t>ntities</w:t>
      </w:r>
      <w:r w:rsidR="00F64B33" w:rsidRPr="00D51FCF">
        <w:t>.</w:t>
      </w:r>
    </w:p>
    <w:p w14:paraId="295F36E5" w14:textId="6ABE4231" w:rsidR="00AD200B" w:rsidRDefault="009A3BE4" w:rsidP="00AD200B">
      <w:pPr>
        <w:pStyle w:val="BodyText"/>
      </w:pPr>
      <w:r>
        <w:t xml:space="preserve">At the level of </w:t>
      </w:r>
      <w:r w:rsidR="00B21E75">
        <w:t xml:space="preserve">Outcome 2, the </w:t>
      </w:r>
      <w:r w:rsidR="00DB047E">
        <w:t>expected result</w:t>
      </w:r>
      <w:r w:rsidR="00B21E75">
        <w:t xml:space="preserve"> of the project w</w:t>
      </w:r>
      <w:r w:rsidR="00AD200B">
        <w:t xml:space="preserve">as increased evidence of </w:t>
      </w:r>
      <w:r w:rsidR="006321A6">
        <w:t>knowledge-exchange</w:t>
      </w:r>
      <w:r w:rsidR="00AD200B">
        <w:t xml:space="preserve"> and </w:t>
      </w:r>
      <w:r w:rsidR="006321A6">
        <w:t>peer-learning</w:t>
      </w:r>
      <w:r w:rsidR="00AD200B">
        <w:t xml:space="preserve"> </w:t>
      </w:r>
      <w:r w:rsidR="00DC2C45">
        <w:t xml:space="preserve">within the target countries, </w:t>
      </w:r>
      <w:r w:rsidR="00B21E75">
        <w:t xml:space="preserve">to facilitate </w:t>
      </w:r>
      <w:r w:rsidR="00F967ED">
        <w:t xml:space="preserve">the application of INFF concepts. There was a further expectation </w:t>
      </w:r>
      <w:r w:rsidR="00023AA5">
        <w:t xml:space="preserve">that </w:t>
      </w:r>
      <w:r w:rsidR="00944A7F">
        <w:t xml:space="preserve">the Tier 3 </w:t>
      </w:r>
      <w:r w:rsidR="00023AA5">
        <w:t xml:space="preserve">Cooperating UN </w:t>
      </w:r>
      <w:r w:rsidR="00232692">
        <w:t xml:space="preserve">Entities would support the wider </w:t>
      </w:r>
      <w:r w:rsidR="00023AA5">
        <w:t>implementation of these concepts in non-project countries</w:t>
      </w:r>
      <w:r w:rsidR="00C032D4">
        <w:t xml:space="preserve"> (see Exhibit 1</w:t>
      </w:r>
      <w:r w:rsidR="008E4CE1">
        <w:t>4</w:t>
      </w:r>
      <w:r w:rsidR="00C032D4">
        <w:t>).</w:t>
      </w:r>
      <w:r w:rsidR="00023AA5">
        <w:t xml:space="preserve"> </w:t>
      </w:r>
    </w:p>
    <w:p w14:paraId="06234CF9" w14:textId="472F29D7" w:rsidR="00C032D4" w:rsidRPr="0034367A" w:rsidRDefault="001F6B87" w:rsidP="00AD200B">
      <w:pPr>
        <w:pStyle w:val="BodyText"/>
      </w:pPr>
      <w:r>
        <w:t>Four performance indicators were used t</w:t>
      </w:r>
      <w:r w:rsidR="00FE7021">
        <w:t xml:space="preserve">o </w:t>
      </w:r>
      <w:r w:rsidR="00C032D4">
        <w:t xml:space="preserve">measure </w:t>
      </w:r>
      <w:r>
        <w:t xml:space="preserve">the achievement of </w:t>
      </w:r>
      <w:r w:rsidR="000319C9">
        <w:t>Outcome 2</w:t>
      </w:r>
      <w:r w:rsidR="00FF3D41">
        <w:t xml:space="preserve">: </w:t>
      </w:r>
      <w:r>
        <w:t>i</w:t>
      </w:r>
      <w:r w:rsidR="00FF3D41">
        <w:t xml:space="preserve">) </w:t>
      </w:r>
      <w:r w:rsidR="00AF4DCA">
        <w:t xml:space="preserve">positive </w:t>
      </w:r>
      <w:r w:rsidR="00142BF7">
        <w:t xml:space="preserve">end-of-workshop </w:t>
      </w:r>
      <w:r w:rsidR="00AF4DCA">
        <w:t>reviews</w:t>
      </w:r>
      <w:r w:rsidR="00142BF7">
        <w:t xml:space="preserve">, with a focus on workshops that </w:t>
      </w:r>
      <w:r w:rsidR="004E5302">
        <w:t>wer</w:t>
      </w:r>
      <w:r w:rsidR="00A53AD7">
        <w:t xml:space="preserve">e used to engage </w:t>
      </w:r>
      <w:r w:rsidR="00267404">
        <w:t>peer countries</w:t>
      </w:r>
      <w:r w:rsidR="00A53AD7">
        <w:t xml:space="preserve">; </w:t>
      </w:r>
      <w:r>
        <w:t>ii</w:t>
      </w:r>
      <w:r w:rsidR="00A53AD7">
        <w:t>)</w:t>
      </w:r>
      <w:r w:rsidR="00623C12">
        <w:t xml:space="preserve"> the </w:t>
      </w:r>
      <w:r w:rsidR="00623C12">
        <w:t xml:space="preserve">advancement </w:t>
      </w:r>
      <w:r w:rsidR="006A7AD8">
        <w:t>o</w:t>
      </w:r>
      <w:r w:rsidR="00623C12">
        <w:t>f INFF implementation in at least one building block</w:t>
      </w:r>
      <w:r w:rsidR="006A7AD8">
        <w:t xml:space="preserve"> by target countries, following their participation in regional workshops; </w:t>
      </w:r>
      <w:r w:rsidR="00335553">
        <w:t>iii</w:t>
      </w:r>
      <w:r w:rsidR="006A7AD8">
        <w:t>)</w:t>
      </w:r>
      <w:r w:rsidR="00294924">
        <w:t xml:space="preserve"> evidence </w:t>
      </w:r>
      <w:r w:rsidR="00620FA1">
        <w:t xml:space="preserve">that target country representatives and other relevant stakeholders </w:t>
      </w:r>
      <w:r w:rsidR="00294924">
        <w:t>benefit</w:t>
      </w:r>
      <w:r w:rsidR="00620FA1">
        <w:t xml:space="preserve">ted from </w:t>
      </w:r>
      <w:r w:rsidR="00294924">
        <w:t xml:space="preserve">the </w:t>
      </w:r>
      <w:r w:rsidR="00620FA1">
        <w:t xml:space="preserve">global </w:t>
      </w:r>
      <w:r w:rsidR="006321A6">
        <w:t>knowledge-exchange</w:t>
      </w:r>
      <w:r w:rsidR="00620FA1">
        <w:t xml:space="preserve">; and </w:t>
      </w:r>
      <w:r w:rsidR="00335553">
        <w:t>iv</w:t>
      </w:r>
      <w:r w:rsidR="00620FA1">
        <w:t xml:space="preserve">) </w:t>
      </w:r>
      <w:r w:rsidR="00C94280">
        <w:t>the</w:t>
      </w:r>
      <w:r w:rsidR="002857E0">
        <w:t xml:space="preserve"> number of countries that initiated the design</w:t>
      </w:r>
      <w:r w:rsidR="00CB4E04">
        <w:t xml:space="preserve"> and implementation of an INFF</w:t>
      </w:r>
      <w:r w:rsidR="00C94280">
        <w:t xml:space="preserve"> </w:t>
      </w:r>
      <w:r w:rsidR="001672E7">
        <w:t xml:space="preserve">needed to be greater than </w:t>
      </w:r>
      <w:r w:rsidR="00417311">
        <w:t>the</w:t>
      </w:r>
      <w:r w:rsidR="00DE708D">
        <w:t xml:space="preserve"> combined</w:t>
      </w:r>
      <w:r w:rsidR="00417311">
        <w:t xml:space="preserve"> </w:t>
      </w:r>
      <w:r w:rsidR="00DE708D">
        <w:t>number of</w:t>
      </w:r>
      <w:r w:rsidR="00F51834">
        <w:t xml:space="preserve"> target countries and additional countries </w:t>
      </w:r>
      <w:r w:rsidR="00182948">
        <w:t xml:space="preserve">that </w:t>
      </w:r>
      <w:r w:rsidR="00F51834">
        <w:t>receive support from the Joint SDG Fund</w:t>
      </w:r>
      <w:r w:rsidR="00273361">
        <w:t xml:space="preserve"> (see Exhibit 1</w:t>
      </w:r>
      <w:r w:rsidR="00042353">
        <w:t>4</w:t>
      </w:r>
      <w:r w:rsidR="00273361">
        <w:t>)</w:t>
      </w:r>
      <w:r w:rsidR="00417311">
        <w:t>.</w:t>
      </w:r>
    </w:p>
    <w:p w14:paraId="4DC452B4" w14:textId="78344A24" w:rsidR="007B07A7" w:rsidRPr="00847B5D" w:rsidRDefault="008B454F" w:rsidP="00BC7B6D">
      <w:pPr>
        <w:pStyle w:val="BodyText"/>
      </w:pPr>
      <w:r>
        <w:t xml:space="preserve">As a core </w:t>
      </w:r>
      <w:r w:rsidR="00273361">
        <w:t xml:space="preserve">element of the </w:t>
      </w:r>
      <w:r w:rsidR="00A95CCC">
        <w:t xml:space="preserve">project, </w:t>
      </w:r>
      <w:r>
        <w:t>impl</w:t>
      </w:r>
      <w:r w:rsidR="00AD3A06">
        <w:t>ementation</w:t>
      </w:r>
      <w:r w:rsidR="00A95CCC">
        <w:t xml:space="preserve"> activities were used to </w:t>
      </w:r>
      <w:r w:rsidR="00260AC5">
        <w:t xml:space="preserve">establish </w:t>
      </w:r>
      <w:r w:rsidR="008627CE">
        <w:t xml:space="preserve">a space for regional and global </w:t>
      </w:r>
      <w:r w:rsidR="006321A6">
        <w:t>knowledge-exchange</w:t>
      </w:r>
      <w:r w:rsidR="00667A28">
        <w:t xml:space="preserve"> and peer</w:t>
      </w:r>
      <w:r w:rsidR="00A95CCC">
        <w:t>-</w:t>
      </w:r>
      <w:r w:rsidR="00667A28">
        <w:t>learning on the INFF</w:t>
      </w:r>
      <w:r w:rsidR="00273361">
        <w:t>s</w:t>
      </w:r>
      <w:r w:rsidR="00A95CCC">
        <w:t xml:space="preserve">. </w:t>
      </w:r>
      <w:r w:rsidR="00200425">
        <w:t>Stakeholders were engaged through</w:t>
      </w:r>
      <w:r w:rsidR="00866C13">
        <w:t xml:space="preserve"> </w:t>
      </w:r>
      <w:r w:rsidR="000C52A0">
        <w:lastRenderedPageBreak/>
        <w:t>r</w:t>
      </w:r>
      <w:r w:rsidR="00AD3A06">
        <w:t xml:space="preserve">egional workshops </w:t>
      </w:r>
      <w:r w:rsidR="00F0313F">
        <w:t xml:space="preserve">and a final global </w:t>
      </w:r>
      <w:r w:rsidR="00B730FC">
        <w:t>workshop</w:t>
      </w:r>
      <w:r w:rsidR="007D20E2">
        <w:t>,</w:t>
      </w:r>
      <w:r w:rsidR="00902B65">
        <w:rPr>
          <w:rStyle w:val="FootnoteReference"/>
        </w:rPr>
        <w:footnoteReference w:id="148"/>
      </w:r>
      <w:r w:rsidR="005919A8">
        <w:t xml:space="preserve"> </w:t>
      </w:r>
      <w:r w:rsidR="007D20E2">
        <w:t xml:space="preserve">with participation by stakeholders from </w:t>
      </w:r>
      <w:r w:rsidR="00AD3A06">
        <w:t>across sectors</w:t>
      </w:r>
      <w:r w:rsidR="00E52B12">
        <w:t xml:space="preserve"> </w:t>
      </w:r>
      <w:r w:rsidR="00B72563">
        <w:t>(i.e.</w:t>
      </w:r>
      <w:r w:rsidR="00817C94">
        <w:t xml:space="preserve"> the</w:t>
      </w:r>
      <w:r w:rsidR="00B72563">
        <w:t xml:space="preserve"> public</w:t>
      </w:r>
      <w:r w:rsidR="00817C94">
        <w:t xml:space="preserve">, </w:t>
      </w:r>
      <w:r w:rsidR="00B72563">
        <w:t>private</w:t>
      </w:r>
      <w:r w:rsidR="00817C94">
        <w:t xml:space="preserve"> and </w:t>
      </w:r>
      <w:r w:rsidR="00B72563">
        <w:t>non-governmental</w:t>
      </w:r>
      <w:r w:rsidR="00817C94">
        <w:t xml:space="preserve"> sectors</w:t>
      </w:r>
      <w:r w:rsidR="00B72563">
        <w:t>; academia</w:t>
      </w:r>
      <w:r w:rsidR="00AA41E0">
        <w:t xml:space="preserve">; </w:t>
      </w:r>
      <w:r w:rsidR="003A0C02">
        <w:t xml:space="preserve">and </w:t>
      </w:r>
      <w:r w:rsidR="00817C94">
        <w:t xml:space="preserve">the </w:t>
      </w:r>
      <w:r w:rsidR="003A0C02">
        <w:t>international development</w:t>
      </w:r>
      <w:r w:rsidR="00817C94">
        <w:t xml:space="preserve"> sector</w:t>
      </w:r>
      <w:r w:rsidR="00A74E40">
        <w:t xml:space="preserve">). </w:t>
      </w:r>
      <w:r w:rsidR="00AA41E0">
        <w:t>Th</w:t>
      </w:r>
      <w:r w:rsidR="00D15FC4">
        <w:t>e</w:t>
      </w:r>
      <w:r w:rsidR="00741BF1">
        <w:t xml:space="preserve"> </w:t>
      </w:r>
      <w:r w:rsidR="002363CA">
        <w:t xml:space="preserve">workshops </w:t>
      </w:r>
      <w:r w:rsidR="00AA41E0">
        <w:t xml:space="preserve">were used to </w:t>
      </w:r>
      <w:r w:rsidR="00D90BE7">
        <w:t xml:space="preserve">facilitate the sharing of </w:t>
      </w:r>
      <w:r w:rsidR="00D90BE7">
        <w:t>knowledge a</w:t>
      </w:r>
      <w:r w:rsidR="003C16B0">
        <w:t xml:space="preserve">nd experience on the INFF methodology, </w:t>
      </w:r>
      <w:r w:rsidR="00580B35">
        <w:t xml:space="preserve">as well as </w:t>
      </w:r>
      <w:r w:rsidR="00F942A4">
        <w:t xml:space="preserve">lessons learned </w:t>
      </w:r>
      <w:r w:rsidR="00580B35">
        <w:t xml:space="preserve">from </w:t>
      </w:r>
      <w:r w:rsidR="00BF0FF8">
        <w:t xml:space="preserve">pilot activities and project implementation </w:t>
      </w:r>
      <w:r w:rsidR="00F942A4">
        <w:t xml:space="preserve">by </w:t>
      </w:r>
      <w:r w:rsidR="005C7C0A">
        <w:t xml:space="preserve">individual </w:t>
      </w:r>
      <w:r w:rsidR="00F942A4">
        <w:t>target countries</w:t>
      </w:r>
      <w:r w:rsidR="005534B3">
        <w:t>.</w:t>
      </w:r>
      <w:r w:rsidR="00847B5D">
        <w:t xml:space="preserve"> </w:t>
      </w:r>
      <w:r w:rsidR="005D2EA0">
        <w:t>The sub-Section</w:t>
      </w:r>
      <w:r w:rsidR="00FF4D72">
        <w:t>s</w:t>
      </w:r>
      <w:r w:rsidR="005D2EA0">
        <w:t xml:space="preserve"> that follow identify project results </w:t>
      </w:r>
      <w:r w:rsidR="00642438">
        <w:t>under</w:t>
      </w:r>
      <w:r w:rsidR="005D2EA0">
        <w:t xml:space="preserve"> the </w:t>
      </w:r>
      <w:r w:rsidR="00D54F4B">
        <w:t>indicators of project performance</w:t>
      </w:r>
      <w:r w:rsidR="0033107D">
        <w:t>.</w:t>
      </w:r>
    </w:p>
    <w:p w14:paraId="1464E98B" w14:textId="77777777" w:rsidR="007B07A7" w:rsidRDefault="007B07A7" w:rsidP="00BC7B6D">
      <w:pPr>
        <w:pStyle w:val="BodyText"/>
        <w:rPr>
          <w:b/>
          <w:bCs/>
        </w:rPr>
        <w:sectPr w:rsidR="007B07A7" w:rsidSect="00F666A1">
          <w:type w:val="continuous"/>
          <w:pgSz w:w="12240" w:h="15840" w:code="1"/>
          <w:pgMar w:top="1276" w:right="1276" w:bottom="993" w:left="1276" w:header="720" w:footer="720" w:gutter="0"/>
          <w:cols w:num="2" w:space="397"/>
          <w:docGrid w:linePitch="360"/>
        </w:sectPr>
      </w:pPr>
    </w:p>
    <w:p w14:paraId="1BCD8466" w14:textId="77777777" w:rsidR="00AD3314" w:rsidRDefault="00AD3314" w:rsidP="00BC7B6D">
      <w:pPr>
        <w:pStyle w:val="BodyText"/>
        <w:rPr>
          <w:b/>
          <w:bCs/>
        </w:rPr>
      </w:pPr>
    </w:p>
    <w:p w14:paraId="4374C7C1" w14:textId="77777777" w:rsidR="00B45885" w:rsidRDefault="00B45885" w:rsidP="00BC7B6D">
      <w:pPr>
        <w:pStyle w:val="BodyText"/>
        <w:rPr>
          <w:b/>
          <w:bCs/>
        </w:rPr>
        <w:sectPr w:rsidR="00B45885" w:rsidSect="00F666A1">
          <w:type w:val="continuous"/>
          <w:pgSz w:w="12240" w:h="15840" w:code="1"/>
          <w:pgMar w:top="1276" w:right="1276" w:bottom="568" w:left="1276" w:header="720" w:footer="720" w:gutter="0"/>
          <w:cols w:num="2" w:space="397"/>
          <w:docGrid w:linePitch="360"/>
        </w:sectPr>
      </w:pPr>
    </w:p>
    <w:p w14:paraId="38567567" w14:textId="625679F7" w:rsidR="007B07A7" w:rsidRPr="00D12632" w:rsidRDefault="007B07A7" w:rsidP="007B07A7">
      <w:pPr>
        <w:pStyle w:val="Caption"/>
        <w:spacing w:before="120"/>
      </w:pPr>
      <w:bookmarkStart w:id="40" w:name="_Toc210730347"/>
      <w:r w:rsidRPr="00D12632">
        <w:t xml:space="preserve">Exhibit </w:t>
      </w:r>
      <w:r w:rsidRPr="00D12632">
        <w:fldChar w:fldCharType="begin"/>
      </w:r>
      <w:r w:rsidRPr="00D12632">
        <w:instrText xml:space="preserve"> SEQ Table \* ARABIC </w:instrText>
      </w:r>
      <w:r w:rsidRPr="00D12632">
        <w:fldChar w:fldCharType="separate"/>
      </w:r>
      <w:r w:rsidR="00AB3719">
        <w:rPr>
          <w:noProof/>
        </w:rPr>
        <w:t>14</w:t>
      </w:r>
      <w:r w:rsidRPr="00D12632">
        <w:fldChar w:fldCharType="end"/>
      </w:r>
      <w:r w:rsidRPr="00D12632">
        <w:t xml:space="preserve"> </w:t>
      </w:r>
      <w:r>
        <w:t xml:space="preserve">Summary of results – Outcome </w:t>
      </w:r>
      <w:r w:rsidR="00213CD4">
        <w:t>2</w:t>
      </w:r>
      <w:bookmarkEnd w:id="40"/>
    </w:p>
    <w:tbl>
      <w:tblPr>
        <w:tblStyle w:val="BlueTable"/>
        <w:tblW w:w="4979" w:type="pct"/>
        <w:jc w:val="center"/>
        <w:tblLayout w:type="fixed"/>
        <w:tblLook w:val="04A0" w:firstRow="1" w:lastRow="0" w:firstColumn="1" w:lastColumn="0" w:noHBand="0" w:noVBand="1"/>
      </w:tblPr>
      <w:tblGrid>
        <w:gridCol w:w="1977"/>
        <w:gridCol w:w="2126"/>
        <w:gridCol w:w="3119"/>
        <w:gridCol w:w="2409"/>
      </w:tblGrid>
      <w:tr w:rsidR="007B07A7" w:rsidRPr="00041EA7" w14:paraId="7332B115" w14:textId="77777777" w:rsidTr="003E2DE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67E2BF3E" w14:textId="77777777" w:rsidR="007B07A7" w:rsidRDefault="007B07A7" w:rsidP="003E2DEF">
            <w:r>
              <w:t>Outcome</w:t>
            </w:r>
          </w:p>
        </w:tc>
        <w:tc>
          <w:tcPr>
            <w:tcW w:w="2126" w:type="dxa"/>
            <w:vMerge w:val="restart"/>
            <w:vAlign w:val="center"/>
          </w:tcPr>
          <w:p w14:paraId="00CF8AAA" w14:textId="77777777" w:rsidR="007B07A7" w:rsidRDefault="007B07A7" w:rsidP="003E2DEF">
            <w:pPr>
              <w:jc w:val="center"/>
              <w:cnfStyle w:val="100000000000" w:firstRow="1" w:lastRow="0" w:firstColumn="0" w:lastColumn="0" w:oddVBand="0" w:evenVBand="0" w:oddHBand="0" w:evenHBand="0" w:firstRowFirstColumn="0" w:firstRowLastColumn="0" w:lastRowFirstColumn="0" w:lastRowLastColumn="0"/>
            </w:pPr>
            <w:r>
              <w:t>Indicator</w:t>
            </w:r>
          </w:p>
        </w:tc>
        <w:tc>
          <w:tcPr>
            <w:tcW w:w="5528" w:type="dxa"/>
            <w:gridSpan w:val="2"/>
          </w:tcPr>
          <w:p w14:paraId="350746C5" w14:textId="77777777" w:rsidR="007B07A7" w:rsidRDefault="007B07A7" w:rsidP="003E2DEF">
            <w:pPr>
              <w:jc w:val="center"/>
              <w:cnfStyle w:val="100000000000" w:firstRow="1" w:lastRow="0" w:firstColumn="0" w:lastColumn="0" w:oddVBand="0" w:evenVBand="0" w:oddHBand="0" w:evenHBand="0" w:firstRowFirstColumn="0" w:firstRowLastColumn="0" w:lastRowFirstColumn="0" w:lastRowLastColumn="0"/>
            </w:pPr>
            <w:r>
              <w:t>Status of indicator</w:t>
            </w:r>
          </w:p>
        </w:tc>
      </w:tr>
      <w:tr w:rsidR="00213CD4" w:rsidRPr="00041EA7" w14:paraId="194B68C9" w14:textId="77777777" w:rsidTr="003E2DEF">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1977" w:type="dxa"/>
            <w:vMerge/>
          </w:tcPr>
          <w:p w14:paraId="7AC05CD6" w14:textId="77777777" w:rsidR="007B07A7" w:rsidRPr="002628BE" w:rsidRDefault="007B07A7" w:rsidP="003E2DEF"/>
        </w:tc>
        <w:tc>
          <w:tcPr>
            <w:tcW w:w="2126" w:type="dxa"/>
            <w:vMerge/>
          </w:tcPr>
          <w:p w14:paraId="40B67D0C" w14:textId="77777777" w:rsidR="007B07A7" w:rsidRPr="002628BE" w:rsidRDefault="007B07A7" w:rsidP="003E2DEF">
            <w:pPr>
              <w:jc w:val="center"/>
              <w:cnfStyle w:val="100000000000" w:firstRow="1" w:lastRow="0" w:firstColumn="0" w:lastColumn="0" w:oddVBand="0" w:evenVBand="0" w:oddHBand="0" w:evenHBand="0" w:firstRowFirstColumn="0" w:firstRowLastColumn="0" w:lastRowFirstColumn="0" w:lastRowLastColumn="0"/>
            </w:pPr>
          </w:p>
        </w:tc>
        <w:tc>
          <w:tcPr>
            <w:tcW w:w="3119" w:type="dxa"/>
          </w:tcPr>
          <w:p w14:paraId="33E80037" w14:textId="77777777" w:rsidR="007B07A7" w:rsidRPr="002628BE" w:rsidRDefault="007B07A7" w:rsidP="003E2DEF">
            <w:pPr>
              <w:jc w:val="center"/>
              <w:cnfStyle w:val="100000000000" w:firstRow="1" w:lastRow="0" w:firstColumn="0" w:lastColumn="0" w:oddVBand="0" w:evenVBand="0" w:oddHBand="0" w:evenHBand="0" w:firstRowFirstColumn="0" w:firstRowLastColumn="0" w:lastRowFirstColumn="0" w:lastRowLastColumn="0"/>
            </w:pPr>
            <w:r>
              <w:t>Baseline</w:t>
            </w:r>
          </w:p>
        </w:tc>
        <w:tc>
          <w:tcPr>
            <w:tcW w:w="2409" w:type="dxa"/>
          </w:tcPr>
          <w:p w14:paraId="665D0310" w14:textId="77777777" w:rsidR="007B07A7" w:rsidRPr="002628BE" w:rsidRDefault="007B07A7" w:rsidP="003E2DEF">
            <w:pPr>
              <w:jc w:val="center"/>
              <w:cnfStyle w:val="100000000000" w:firstRow="1" w:lastRow="0" w:firstColumn="0" w:lastColumn="0" w:oddVBand="0" w:evenVBand="0" w:oddHBand="0" w:evenHBand="0" w:firstRowFirstColumn="0" w:firstRowLastColumn="0" w:lastRowFirstColumn="0" w:lastRowLastColumn="0"/>
            </w:pPr>
            <w:r>
              <w:t>Endline</w:t>
            </w:r>
          </w:p>
        </w:tc>
      </w:tr>
      <w:tr w:rsidR="007B07A7" w:rsidRPr="00041EA7" w14:paraId="41F00A4D" w14:textId="77777777" w:rsidTr="003E2DEF">
        <w:trP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7CFFB70A" w14:textId="024C1C2F" w:rsidR="007B07A7" w:rsidRPr="00B15CA0" w:rsidRDefault="007B07A7" w:rsidP="003E2DEF">
            <w:pPr>
              <w:rPr>
                <w:b w:val="0"/>
                <w:bCs/>
                <w:sz w:val="16"/>
                <w:szCs w:val="16"/>
              </w:rPr>
            </w:pPr>
            <w:r w:rsidRPr="00B15CA0">
              <w:rPr>
                <w:sz w:val="16"/>
                <w:szCs w:val="16"/>
              </w:rPr>
              <w:t>OC</w:t>
            </w:r>
            <w:r w:rsidR="00966F4D">
              <w:rPr>
                <w:sz w:val="16"/>
                <w:szCs w:val="16"/>
              </w:rPr>
              <w:t>2</w:t>
            </w:r>
            <w:r w:rsidRPr="00B15CA0">
              <w:rPr>
                <w:sz w:val="16"/>
                <w:szCs w:val="16"/>
              </w:rPr>
              <w:t>:</w:t>
            </w:r>
            <w:r w:rsidR="00DE7D5F" w:rsidRPr="00B15CA0">
              <w:rPr>
                <w:sz w:val="16"/>
                <w:szCs w:val="16"/>
              </w:rPr>
              <w:t xml:space="preserve"> </w:t>
            </w:r>
            <w:r w:rsidR="00DE7D5F" w:rsidRPr="00B15CA0">
              <w:rPr>
                <w:b w:val="0"/>
                <w:bCs/>
                <w:sz w:val="16"/>
                <w:szCs w:val="16"/>
              </w:rPr>
              <w:t xml:space="preserve">Increased </w:t>
            </w:r>
            <w:r w:rsidR="006321A6">
              <w:rPr>
                <w:b w:val="0"/>
                <w:bCs/>
                <w:sz w:val="16"/>
                <w:szCs w:val="16"/>
              </w:rPr>
              <w:t>knowledge-exchange</w:t>
            </w:r>
            <w:r w:rsidR="00DE7D5F" w:rsidRPr="00B15CA0">
              <w:rPr>
                <w:b w:val="0"/>
                <w:bCs/>
                <w:sz w:val="16"/>
                <w:szCs w:val="16"/>
              </w:rPr>
              <w:t xml:space="preserve"> and </w:t>
            </w:r>
            <w:r w:rsidR="006321A6">
              <w:rPr>
                <w:b w:val="0"/>
                <w:bCs/>
                <w:sz w:val="16"/>
                <w:szCs w:val="16"/>
              </w:rPr>
              <w:t>peer-learning</w:t>
            </w:r>
            <w:r w:rsidR="00DE7D5F" w:rsidRPr="00B15CA0">
              <w:rPr>
                <w:b w:val="0"/>
                <w:bCs/>
                <w:sz w:val="16"/>
                <w:szCs w:val="16"/>
              </w:rPr>
              <w:t xml:space="preserve"> on applying INFF concepts among target countries </w:t>
            </w:r>
            <w:r w:rsidR="00B479EC">
              <w:rPr>
                <w:b w:val="0"/>
                <w:bCs/>
                <w:sz w:val="16"/>
                <w:szCs w:val="16"/>
              </w:rPr>
              <w:t xml:space="preserve">… </w:t>
            </w:r>
            <w:r w:rsidR="00DE7D5F" w:rsidRPr="00B15CA0">
              <w:rPr>
                <w:b w:val="0"/>
                <w:bCs/>
                <w:sz w:val="16"/>
                <w:szCs w:val="16"/>
              </w:rPr>
              <w:t>inform wider implementation efforts of INFFs in other countries and UN support to this effect</w:t>
            </w:r>
          </w:p>
        </w:tc>
        <w:tc>
          <w:tcPr>
            <w:tcW w:w="2126" w:type="dxa"/>
          </w:tcPr>
          <w:p w14:paraId="791DFA88" w14:textId="7EF534AB" w:rsidR="007B07A7" w:rsidRPr="00D14369" w:rsidRDefault="007B07A7" w:rsidP="003E2DEF">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w:t>
            </w:r>
            <w:r w:rsidR="009600E4">
              <w:rPr>
                <w:b/>
                <w:bCs/>
                <w:sz w:val="16"/>
                <w:szCs w:val="16"/>
              </w:rPr>
              <w:t>2</w:t>
            </w:r>
            <w:r w:rsidRPr="00D14369">
              <w:rPr>
                <w:b/>
                <w:bCs/>
                <w:sz w:val="16"/>
                <w:szCs w:val="16"/>
              </w:rPr>
              <w:t>.1</w:t>
            </w:r>
            <w:r w:rsidRPr="00D14369">
              <w:rPr>
                <w:sz w:val="16"/>
                <w:szCs w:val="16"/>
              </w:rPr>
              <w:t xml:space="preserve">: </w:t>
            </w:r>
            <w:r w:rsidR="009600E4" w:rsidRPr="00B15CA0">
              <w:rPr>
                <w:sz w:val="16"/>
                <w:szCs w:val="16"/>
              </w:rPr>
              <w:t>75% of participants submitted positive end-of-workshop surveys from the exchange with peer countries</w:t>
            </w:r>
          </w:p>
        </w:tc>
        <w:tc>
          <w:tcPr>
            <w:tcW w:w="3119" w:type="dxa"/>
          </w:tcPr>
          <w:p w14:paraId="1513ADBF" w14:textId="22C6064C" w:rsidR="007B07A7" w:rsidRPr="00286E7F" w:rsidRDefault="00286E7F" w:rsidP="00286E7F">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w:t>
            </w:r>
          </w:p>
        </w:tc>
        <w:tc>
          <w:tcPr>
            <w:tcW w:w="2409" w:type="dxa"/>
          </w:tcPr>
          <w:p w14:paraId="469D9BE8" w14:textId="77777777" w:rsidR="009C62CE" w:rsidRDefault="007B07A7" w:rsidP="00F37C80">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w:t>
            </w:r>
            <w:r w:rsidR="00BB32B4" w:rsidRPr="00D14369">
              <w:rPr>
                <w:sz w:val="16"/>
                <w:szCs w:val="16"/>
              </w:rPr>
              <w:t xml:space="preserve">More than </w:t>
            </w:r>
            <w:r w:rsidR="00BB32B4">
              <w:rPr>
                <w:sz w:val="16"/>
                <w:szCs w:val="16"/>
              </w:rPr>
              <w:t>75</w:t>
            </w:r>
            <w:r w:rsidR="00BB32B4" w:rsidRPr="00D14369">
              <w:rPr>
                <w:sz w:val="16"/>
                <w:szCs w:val="16"/>
              </w:rPr>
              <w:t xml:space="preserve">% of the participants of </w:t>
            </w:r>
            <w:r w:rsidR="00BB32B4">
              <w:rPr>
                <w:sz w:val="16"/>
                <w:szCs w:val="16"/>
              </w:rPr>
              <w:t xml:space="preserve">regional workshops </w:t>
            </w:r>
            <w:r w:rsidR="00BB32B4" w:rsidRPr="00D14369">
              <w:rPr>
                <w:sz w:val="16"/>
                <w:szCs w:val="16"/>
              </w:rPr>
              <w:t>where surveys were conducted</w:t>
            </w:r>
            <w:r w:rsidR="00D5140E">
              <w:rPr>
                <w:sz w:val="16"/>
                <w:szCs w:val="16"/>
              </w:rPr>
              <w:t xml:space="preserve"> submitted positive end-of-workshop surveys on the exchange with peer countries </w:t>
            </w:r>
          </w:p>
          <w:p w14:paraId="2EFD2E90" w14:textId="2772ECE6" w:rsidR="00F37C80" w:rsidRPr="00F37C80" w:rsidRDefault="00F37C80" w:rsidP="009C62CE">
            <w:pPr>
              <w:pStyle w:val="Normal-sizedTableBullets"/>
              <w:numPr>
                <w:ilvl w:val="0"/>
                <w:numId w:val="0"/>
              </w:numPr>
              <w:ind w:left="17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(Similar positive review were submitted at the end of national workshop</w:t>
            </w:r>
            <w:r w:rsidR="009C62CE">
              <w:rPr>
                <w:sz w:val="16"/>
                <w:szCs w:val="16"/>
              </w:rPr>
              <w:t>s</w:t>
            </w:r>
            <w:r>
              <w:rPr>
                <w:sz w:val="16"/>
                <w:szCs w:val="16"/>
              </w:rPr>
              <w:t>)</w:t>
            </w:r>
          </w:p>
        </w:tc>
      </w:tr>
      <w:tr w:rsidR="007B07A7" w:rsidRPr="00041EA7" w14:paraId="2AEBE664" w14:textId="77777777" w:rsidTr="003E2DEF">
        <w:trPr>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30C80A75" w14:textId="77777777" w:rsidR="007B07A7" w:rsidRPr="00D14369" w:rsidRDefault="007B07A7" w:rsidP="003E2DEF">
            <w:pPr>
              <w:rPr>
                <w:sz w:val="16"/>
                <w:szCs w:val="16"/>
              </w:rPr>
            </w:pPr>
          </w:p>
        </w:tc>
        <w:tc>
          <w:tcPr>
            <w:tcW w:w="2126" w:type="dxa"/>
          </w:tcPr>
          <w:p w14:paraId="05460638" w14:textId="1CE8564D" w:rsidR="007B07A7" w:rsidRPr="00D14369" w:rsidRDefault="007B07A7" w:rsidP="003E2DEF">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w:t>
            </w:r>
            <w:r w:rsidR="00D70551">
              <w:rPr>
                <w:b/>
                <w:bCs/>
                <w:sz w:val="16"/>
                <w:szCs w:val="16"/>
              </w:rPr>
              <w:t>2</w:t>
            </w:r>
            <w:r w:rsidRPr="00D14369">
              <w:rPr>
                <w:b/>
                <w:bCs/>
                <w:sz w:val="16"/>
                <w:szCs w:val="16"/>
              </w:rPr>
              <w:t>.2:</w:t>
            </w:r>
            <w:r w:rsidRPr="00D14369">
              <w:rPr>
                <w:sz w:val="16"/>
                <w:szCs w:val="16"/>
              </w:rPr>
              <w:t xml:space="preserve"> </w:t>
            </w:r>
            <w:r w:rsidR="00D70551" w:rsidRPr="00D70551">
              <w:rPr>
                <w:sz w:val="16"/>
                <w:szCs w:val="16"/>
              </w:rPr>
              <w:t>Target countries advance INFF implementation in at least one building block, based on lessons learned at the regional workshop</w:t>
            </w:r>
          </w:p>
        </w:tc>
        <w:tc>
          <w:tcPr>
            <w:tcW w:w="3119" w:type="dxa"/>
          </w:tcPr>
          <w:p w14:paraId="52F3A6F4" w14:textId="3DB53ACC" w:rsidR="00CD22BB" w:rsidRPr="00BB65D7" w:rsidRDefault="00CD22BB" w:rsidP="00CD22BB">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No capacity/ policies/ systems/ processes in place in focus area in </w:t>
            </w:r>
            <w:r w:rsidRPr="00BB65D7">
              <w:rPr>
                <w:b/>
                <w:bCs/>
                <w:sz w:val="16"/>
                <w:szCs w:val="16"/>
              </w:rPr>
              <w:t>f</w:t>
            </w:r>
            <w:r>
              <w:rPr>
                <w:b/>
                <w:bCs/>
                <w:sz w:val="16"/>
                <w:szCs w:val="16"/>
              </w:rPr>
              <w:t>ive</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6858BE66" w14:textId="16B1F0BE"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Belarus </w:t>
            </w:r>
            <w:r>
              <w:rPr>
                <w:sz w:val="16"/>
                <w:szCs w:val="16"/>
              </w:rPr>
              <w:t>(</w:t>
            </w:r>
            <w:r w:rsidRPr="00BB65D7">
              <w:rPr>
                <w:sz w:val="16"/>
                <w:szCs w:val="16"/>
              </w:rPr>
              <w:t>UNCTAD)</w:t>
            </w:r>
          </w:p>
          <w:p w14:paraId="2F8D2E24" w14:textId="21DC2523"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(UNCTAD)</w:t>
            </w:r>
          </w:p>
          <w:p w14:paraId="562FE1CF" w14:textId="77777777"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Egypt</w:t>
            </w:r>
            <w:r>
              <w:rPr>
                <w:sz w:val="16"/>
                <w:szCs w:val="16"/>
              </w:rPr>
              <w:t xml:space="preserve"> (UNESCWA)</w:t>
            </w:r>
          </w:p>
          <w:p w14:paraId="05F6AE06" w14:textId="77777777"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Jordan</w:t>
            </w:r>
            <w:r>
              <w:rPr>
                <w:sz w:val="16"/>
                <w:szCs w:val="16"/>
              </w:rPr>
              <w:t xml:space="preserve"> (UNESCWA)</w:t>
            </w:r>
          </w:p>
          <w:p w14:paraId="637EDE44" w14:textId="77777777" w:rsidR="00CD22BB" w:rsidRPr="00BB65D7" w:rsidRDefault="00CD22BB"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1521B87D" w14:textId="06C2511C" w:rsidR="00CD22BB" w:rsidRPr="00BB65D7" w:rsidRDefault="00CD22BB" w:rsidP="00CD22BB">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Some</w:t>
            </w:r>
            <w:r w:rsidRPr="006E6E55">
              <w:rPr>
                <w:sz w:val="16"/>
                <w:szCs w:val="16"/>
              </w:rPr>
              <w:t xml:space="preserve"> capacity/ policies/ systems/ processes in place in focus area, but scope remains to strengthen them and/or enhance their integration</w:t>
            </w:r>
            <w:r w:rsidRPr="00BB65D7">
              <w:rPr>
                <w:sz w:val="16"/>
                <w:szCs w:val="16"/>
              </w:rPr>
              <w:t xml:space="preserve"> in </w:t>
            </w:r>
            <w:r w:rsidR="002063F3">
              <w:rPr>
                <w:b/>
                <w:bCs/>
                <w:sz w:val="16"/>
                <w:szCs w:val="16"/>
              </w:rPr>
              <w:t>four</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49AF4876" w14:textId="5A7EA96D"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w:t>
            </w:r>
          </w:p>
          <w:p w14:paraId="647BA16B" w14:textId="10B06A96"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w:t>
            </w:r>
          </w:p>
          <w:p w14:paraId="75EC7BCE" w14:textId="77777777"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0C568A4C" w14:textId="77777777" w:rsidR="00CD22BB" w:rsidRPr="00BB65D7" w:rsidRDefault="00CD22BB"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 UNCTAD)</w:t>
            </w:r>
          </w:p>
          <w:p w14:paraId="0E5FA611" w14:textId="77777777" w:rsidR="00CD22BB" w:rsidRPr="00BB65D7" w:rsidRDefault="00CD22BB" w:rsidP="00CD22BB">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w:t>
            </w:r>
            <w:r w:rsidRPr="00BB65D7">
              <w:rPr>
                <w:sz w:val="16"/>
                <w:szCs w:val="16"/>
              </w:rPr>
              <w:t xml:space="preserve">in </w:t>
            </w:r>
            <w:r>
              <w:rPr>
                <w:b/>
                <w:bCs/>
                <w:sz w:val="16"/>
                <w:szCs w:val="16"/>
              </w:rPr>
              <w:t>o</w:t>
            </w:r>
            <w:r w:rsidRPr="00BB65D7">
              <w:rPr>
                <w:b/>
                <w:bCs/>
                <w:sz w:val="16"/>
                <w:szCs w:val="16"/>
              </w:rPr>
              <w:t>n</w:t>
            </w:r>
            <w:r>
              <w:rPr>
                <w:b/>
                <w:bCs/>
                <w:sz w:val="16"/>
                <w:szCs w:val="16"/>
              </w:rPr>
              <w:t>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6A695268" w14:textId="0672918D" w:rsidR="007B07A7" w:rsidRPr="00D14369" w:rsidRDefault="00CD22BB" w:rsidP="00CD22BB">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w:t>
            </w:r>
            <w:r w:rsidRPr="00BB65D7">
              <w:rPr>
                <w:sz w:val="16"/>
                <w:szCs w:val="16"/>
              </w:rPr>
              <w:t xml:space="preserve"> (UNE</w:t>
            </w:r>
            <w:r>
              <w:rPr>
                <w:sz w:val="16"/>
                <w:szCs w:val="16"/>
              </w:rPr>
              <w:t>SCAP</w:t>
            </w:r>
            <w:r w:rsidRPr="00BB65D7">
              <w:rPr>
                <w:sz w:val="16"/>
                <w:szCs w:val="16"/>
              </w:rPr>
              <w:t>; UNCTAD)</w:t>
            </w:r>
          </w:p>
        </w:tc>
        <w:tc>
          <w:tcPr>
            <w:tcW w:w="2409" w:type="dxa"/>
          </w:tcPr>
          <w:p w14:paraId="658B453B" w14:textId="42CB4B76" w:rsidR="007B07A7" w:rsidRPr="00D14369" w:rsidRDefault="007B07A7" w:rsidP="003E2DEF">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w:t>
            </w:r>
            <w:r w:rsidR="002B4831" w:rsidRPr="00BB65D7">
              <w:rPr>
                <w:sz w:val="16"/>
                <w:szCs w:val="16"/>
              </w:rPr>
              <w:t xml:space="preserve">Capacity and integrated policies/ systems/ processes in place in </w:t>
            </w:r>
            <w:r w:rsidR="002B4831">
              <w:rPr>
                <w:sz w:val="16"/>
                <w:szCs w:val="16"/>
              </w:rPr>
              <w:t xml:space="preserve">focus area in </w:t>
            </w:r>
            <w:r w:rsidR="002B4831" w:rsidRPr="00BB65D7">
              <w:rPr>
                <w:sz w:val="16"/>
                <w:szCs w:val="16"/>
              </w:rPr>
              <w:t>all target countries</w:t>
            </w:r>
          </w:p>
        </w:tc>
      </w:tr>
      <w:tr w:rsidR="007B07A7" w:rsidRPr="00041EA7" w14:paraId="036B42B9" w14:textId="77777777" w:rsidTr="003E2DEF">
        <w:trPr>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36F24AC4" w14:textId="77777777" w:rsidR="007B07A7" w:rsidRPr="002628BE" w:rsidRDefault="007B07A7" w:rsidP="003E2DEF"/>
        </w:tc>
        <w:tc>
          <w:tcPr>
            <w:tcW w:w="2126" w:type="dxa"/>
          </w:tcPr>
          <w:p w14:paraId="79EFB8B3" w14:textId="6C66194E" w:rsidR="007B07A7" w:rsidRPr="00BB65D7" w:rsidRDefault="005D2E81" w:rsidP="005D2E81">
            <w:pPr>
              <w:pStyle w:val="Normal-sizedTableBullets"/>
              <w:numPr>
                <w:ilvl w:val="0"/>
                <w:numId w:val="0"/>
              </w:numPr>
              <w:spacing w:after="60"/>
              <w:cnfStyle w:val="000000000000" w:firstRow="0" w:lastRow="0" w:firstColumn="0" w:lastColumn="0" w:oddVBand="0" w:evenVBand="0" w:oddHBand="0" w:evenHBand="0" w:firstRowFirstColumn="0" w:firstRowLastColumn="0" w:lastRowFirstColumn="0" w:lastRowLastColumn="0"/>
              <w:rPr>
                <w:sz w:val="16"/>
                <w:szCs w:val="16"/>
              </w:rPr>
            </w:pPr>
            <w:r w:rsidRPr="005D2E81">
              <w:rPr>
                <w:b/>
                <w:bCs/>
                <w:sz w:val="16"/>
                <w:szCs w:val="16"/>
              </w:rPr>
              <w:t>IA 2.3:</w:t>
            </w:r>
            <w:r>
              <w:rPr>
                <w:sz w:val="16"/>
                <w:szCs w:val="16"/>
              </w:rPr>
              <w:t xml:space="preserve"> </w:t>
            </w:r>
            <w:r w:rsidR="00877CDC" w:rsidRPr="00877CDC">
              <w:rPr>
                <w:sz w:val="16"/>
                <w:szCs w:val="16"/>
              </w:rPr>
              <w:t>75% of participants,</w:t>
            </w:r>
            <w:r w:rsidR="00712E72">
              <w:rPr>
                <w:sz w:val="16"/>
                <w:szCs w:val="16"/>
              </w:rPr>
              <w:t xml:space="preserve"> </w:t>
            </w:r>
            <w:r w:rsidR="00877CDC" w:rsidRPr="00877CDC">
              <w:rPr>
                <w:sz w:val="16"/>
                <w:szCs w:val="16"/>
              </w:rPr>
              <w:t xml:space="preserve">including target country representatives and other stakeholders, benefited from the global </w:t>
            </w:r>
            <w:r w:rsidR="006321A6">
              <w:rPr>
                <w:sz w:val="16"/>
                <w:szCs w:val="16"/>
              </w:rPr>
              <w:t>knowledge-exchange</w:t>
            </w:r>
            <w:r w:rsidR="00877CDC" w:rsidRPr="00BB65D7">
              <w:rPr>
                <w:sz w:val="16"/>
                <w:szCs w:val="16"/>
              </w:rPr>
              <w:t xml:space="preserve"> </w:t>
            </w:r>
          </w:p>
        </w:tc>
        <w:tc>
          <w:tcPr>
            <w:tcW w:w="3119" w:type="dxa"/>
          </w:tcPr>
          <w:p w14:paraId="1F16197D" w14:textId="655192DD" w:rsidR="007B07A7" w:rsidRPr="00D14369" w:rsidRDefault="007B07A7" w:rsidP="009B7647">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N</w:t>
            </w:r>
            <w:r w:rsidR="009B7647">
              <w:rPr>
                <w:sz w:val="16"/>
                <w:szCs w:val="16"/>
              </w:rPr>
              <w:t>ot applicable</w:t>
            </w:r>
          </w:p>
        </w:tc>
        <w:tc>
          <w:tcPr>
            <w:tcW w:w="2409" w:type="dxa"/>
          </w:tcPr>
          <w:p w14:paraId="2DDC9C77" w14:textId="3EEC86EB" w:rsidR="00B53D28" w:rsidRPr="00722D8D" w:rsidRDefault="007B07A7" w:rsidP="00722D8D">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Pr>
                <w:b/>
                <w:bCs/>
                <w:sz w:val="16"/>
                <w:szCs w:val="16"/>
              </w:rPr>
              <w:t xml:space="preserve"> </w:t>
            </w:r>
            <w:r w:rsidR="00C9753C" w:rsidRPr="00722D8D">
              <w:rPr>
                <w:sz w:val="16"/>
                <w:szCs w:val="16"/>
              </w:rPr>
              <w:t>INFF survey results indicated that over 75 % of participants at the global worksh</w:t>
            </w:r>
            <w:r w:rsidR="00722D8D" w:rsidRPr="00722D8D">
              <w:rPr>
                <w:sz w:val="16"/>
                <w:szCs w:val="16"/>
              </w:rPr>
              <w:t xml:space="preserve">op, including target country representatives and other stakeholders, benefited from the global </w:t>
            </w:r>
            <w:r w:rsidR="006321A6">
              <w:rPr>
                <w:sz w:val="16"/>
                <w:szCs w:val="16"/>
              </w:rPr>
              <w:t>knowledge-exchange</w:t>
            </w:r>
          </w:p>
        </w:tc>
      </w:tr>
      <w:tr w:rsidR="007D3877" w:rsidRPr="00041EA7" w14:paraId="41F776AA" w14:textId="77777777" w:rsidTr="003E2DEF">
        <w:trPr>
          <w:jc w:val="center"/>
        </w:trPr>
        <w:tc>
          <w:tcPr>
            <w:cnfStyle w:val="001000000000" w:firstRow="0" w:lastRow="0" w:firstColumn="1" w:lastColumn="0" w:oddVBand="0" w:evenVBand="0" w:oddHBand="0" w:evenHBand="0" w:firstRowFirstColumn="0" w:firstRowLastColumn="0" w:lastRowFirstColumn="0" w:lastRowLastColumn="0"/>
            <w:tcW w:w="1977" w:type="dxa"/>
            <w:vAlign w:val="center"/>
          </w:tcPr>
          <w:p w14:paraId="0EA17CCD" w14:textId="77777777" w:rsidR="007D3877" w:rsidRPr="002628BE" w:rsidRDefault="007D3877" w:rsidP="003E2DEF"/>
        </w:tc>
        <w:tc>
          <w:tcPr>
            <w:tcW w:w="2126" w:type="dxa"/>
          </w:tcPr>
          <w:p w14:paraId="643D704E" w14:textId="4A509166" w:rsidR="007D3877" w:rsidRPr="00712E72" w:rsidRDefault="005D2E81" w:rsidP="005D2E81">
            <w:pPr>
              <w:pStyle w:val="Normal-sizedTableBullets"/>
              <w:numPr>
                <w:ilvl w:val="0"/>
                <w:numId w:val="0"/>
              </w:numPr>
              <w:spacing w:after="60"/>
              <w:cnfStyle w:val="000000000000" w:firstRow="0" w:lastRow="0" w:firstColumn="0" w:lastColumn="0" w:oddVBand="0" w:evenVBand="0" w:oddHBand="0" w:evenHBand="0" w:firstRowFirstColumn="0" w:firstRowLastColumn="0" w:lastRowFirstColumn="0" w:lastRowLastColumn="0"/>
              <w:rPr>
                <w:b/>
                <w:bCs/>
                <w:sz w:val="16"/>
                <w:szCs w:val="16"/>
              </w:rPr>
            </w:pPr>
            <w:r w:rsidRPr="005D2E81">
              <w:rPr>
                <w:b/>
                <w:bCs/>
                <w:sz w:val="16"/>
                <w:szCs w:val="16"/>
              </w:rPr>
              <w:t>IA 2.4:</w:t>
            </w:r>
            <w:r>
              <w:rPr>
                <w:sz w:val="16"/>
                <w:szCs w:val="16"/>
              </w:rPr>
              <w:t xml:space="preserve"> </w:t>
            </w:r>
            <w:r w:rsidR="007D3877" w:rsidRPr="00712E72">
              <w:rPr>
                <w:sz w:val="16"/>
                <w:szCs w:val="16"/>
              </w:rPr>
              <w:t>Increase in the number of countries that initiate design and implementation of an INFF, over and above the baseline of 10 target countries and additional countries that receive support from the Joint SDG Fund</w:t>
            </w:r>
          </w:p>
        </w:tc>
        <w:tc>
          <w:tcPr>
            <w:tcW w:w="3119" w:type="dxa"/>
          </w:tcPr>
          <w:p w14:paraId="240A4424" w14:textId="5E58F7D2" w:rsidR="007D3877" w:rsidRPr="00BB65D7" w:rsidRDefault="005E4CF6" w:rsidP="009B7647">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 countries</w:t>
            </w:r>
          </w:p>
        </w:tc>
        <w:tc>
          <w:tcPr>
            <w:tcW w:w="2409" w:type="dxa"/>
          </w:tcPr>
          <w:p w14:paraId="38E4F0D2" w14:textId="5CE9B447" w:rsidR="007D3877" w:rsidRPr="00733178" w:rsidRDefault="00733178" w:rsidP="00722D8D">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733178">
              <w:rPr>
                <w:sz w:val="16"/>
                <w:szCs w:val="16"/>
              </w:rPr>
              <w:t>86 countries as of March 2025</w:t>
            </w:r>
          </w:p>
        </w:tc>
      </w:tr>
    </w:tbl>
    <w:p w14:paraId="44EB5D3E" w14:textId="22B3B3C5" w:rsidR="007B07A7" w:rsidRPr="001C156E" w:rsidRDefault="007B07A7" w:rsidP="007B07A7">
      <w:pPr>
        <w:pStyle w:val="BodyText"/>
        <w:jc w:val="right"/>
        <w:rPr>
          <w:i/>
          <w:iCs/>
          <w:sz w:val="18"/>
          <w:szCs w:val="18"/>
        </w:rPr>
      </w:pPr>
      <w:r w:rsidRPr="001C156E">
        <w:rPr>
          <w:i/>
          <w:iCs/>
          <w:sz w:val="18"/>
          <w:szCs w:val="18"/>
        </w:rPr>
        <w:t>Source:  Final project report, March 2025</w:t>
      </w:r>
    </w:p>
    <w:p w14:paraId="39C3BE1F" w14:textId="77777777" w:rsidR="00B45885" w:rsidRDefault="00B45885" w:rsidP="00BC7B6D">
      <w:pPr>
        <w:pStyle w:val="BodyText"/>
        <w:rPr>
          <w:b/>
          <w:bCs/>
        </w:rPr>
      </w:pPr>
    </w:p>
    <w:p w14:paraId="757D9AA9" w14:textId="77777777" w:rsidR="007B07A7" w:rsidRDefault="007B07A7" w:rsidP="00BC7B6D">
      <w:pPr>
        <w:pStyle w:val="BodyText"/>
        <w:rPr>
          <w:b/>
          <w:bCs/>
        </w:rPr>
        <w:sectPr w:rsidR="007B07A7" w:rsidSect="00F666A1">
          <w:type w:val="continuous"/>
          <w:pgSz w:w="12240" w:h="15840" w:code="1"/>
          <w:pgMar w:top="1276" w:right="1276" w:bottom="568" w:left="1276" w:header="720" w:footer="720" w:gutter="0"/>
          <w:cols w:space="397"/>
          <w:docGrid w:linePitch="360"/>
        </w:sectPr>
      </w:pPr>
    </w:p>
    <w:p w14:paraId="06B8C44D" w14:textId="20C254A0" w:rsidR="00DA534F" w:rsidRPr="00CB61C0" w:rsidRDefault="00633055" w:rsidP="00A45ED1">
      <w:pPr>
        <w:pStyle w:val="BodyText"/>
        <w:rPr>
          <w:i/>
          <w:iCs/>
        </w:rPr>
      </w:pPr>
      <w:r>
        <w:rPr>
          <w:i/>
          <w:iCs/>
        </w:rPr>
        <w:t xml:space="preserve">Participant feedback </w:t>
      </w:r>
      <w:r w:rsidR="002F5AE5">
        <w:rPr>
          <w:i/>
          <w:iCs/>
        </w:rPr>
        <w:t xml:space="preserve">on </w:t>
      </w:r>
      <w:r>
        <w:rPr>
          <w:i/>
          <w:iCs/>
        </w:rPr>
        <w:t>regional and g</w:t>
      </w:r>
      <w:r w:rsidR="00DA534F" w:rsidRPr="00CB61C0">
        <w:rPr>
          <w:i/>
          <w:iCs/>
        </w:rPr>
        <w:t>lobal</w:t>
      </w:r>
      <w:r w:rsidR="00D41968">
        <w:rPr>
          <w:i/>
          <w:iCs/>
        </w:rPr>
        <w:t xml:space="preserve"> </w:t>
      </w:r>
      <w:r w:rsidR="006321A6">
        <w:rPr>
          <w:i/>
          <w:iCs/>
        </w:rPr>
        <w:t>knowledge-exchange</w:t>
      </w:r>
      <w:r w:rsidR="00012314">
        <w:rPr>
          <w:i/>
          <w:iCs/>
        </w:rPr>
        <w:t xml:space="preserve"> (IA 2.1</w:t>
      </w:r>
      <w:r w:rsidR="0091590B">
        <w:rPr>
          <w:i/>
          <w:iCs/>
        </w:rPr>
        <w:t>/ IA 2.3)</w:t>
      </w:r>
    </w:p>
    <w:p w14:paraId="300AD8C2" w14:textId="6F4623F0" w:rsidR="001E3ED9" w:rsidRDefault="00EA7001" w:rsidP="00A45ED1">
      <w:pPr>
        <w:pStyle w:val="BodyText"/>
      </w:pPr>
      <w:r>
        <w:t>In addition to the global workshop, 1</w:t>
      </w:r>
      <w:r w:rsidR="00B34F82">
        <w:t>5</w:t>
      </w:r>
      <w:r w:rsidR="00A45ED1">
        <w:t xml:space="preserve"> regional workshops were conducted across the target regions, for in-person</w:t>
      </w:r>
      <w:r w:rsidR="0071717F">
        <w:t xml:space="preserve">; virtual; and </w:t>
      </w:r>
      <w:r w:rsidR="002F02DF">
        <w:t>hy</w:t>
      </w:r>
      <w:r w:rsidR="0071717F">
        <w:t xml:space="preserve">brid </w:t>
      </w:r>
      <w:r w:rsidR="00A45ED1">
        <w:t>participa</w:t>
      </w:r>
      <w:r w:rsidR="002F02DF">
        <w:t>tion</w:t>
      </w:r>
      <w:r w:rsidR="0071717F">
        <w:t>, as applicable</w:t>
      </w:r>
      <w:r w:rsidR="00A45ED1">
        <w:t>.</w:t>
      </w:r>
      <w:r w:rsidR="00A45ED1">
        <w:rPr>
          <w:rStyle w:val="FootnoteReference"/>
        </w:rPr>
        <w:footnoteReference w:id="149"/>
      </w:r>
      <w:r w:rsidR="00A45ED1">
        <w:t xml:space="preserve"> The regional workshops engaged over </w:t>
      </w:r>
      <w:r w:rsidR="008F783F">
        <w:t>2</w:t>
      </w:r>
      <w:r w:rsidR="00A45ED1">
        <w:t>,</w:t>
      </w:r>
      <w:r w:rsidR="008F783F">
        <w:t>0</w:t>
      </w:r>
      <w:r w:rsidR="00A45ED1">
        <w:t>93 participants</w:t>
      </w:r>
      <w:r w:rsidR="00A45ED1">
        <w:rPr>
          <w:rStyle w:val="FootnoteReference"/>
        </w:rPr>
        <w:footnoteReference w:id="150"/>
      </w:r>
      <w:r w:rsidR="00A45ED1">
        <w:t xml:space="preserve"> and the global workshop engaged 33 participants from 16 countries (11 women and 22 men). </w:t>
      </w:r>
      <w:r w:rsidR="00506D7E">
        <w:t>As th</w:t>
      </w:r>
      <w:r w:rsidR="007A4650">
        <w:t xml:space="preserve">ere have been gaps in the availability of participant feedback on the </w:t>
      </w:r>
      <w:r w:rsidR="00A417C6">
        <w:t xml:space="preserve">regional workshops, the results of the end-of-workshop survey </w:t>
      </w:r>
      <w:r w:rsidR="0005581A">
        <w:t xml:space="preserve">for the global workshop </w:t>
      </w:r>
      <w:r w:rsidR="00E732BB">
        <w:t xml:space="preserve">has been used as a proxy for </w:t>
      </w:r>
      <w:r w:rsidR="00D75D04">
        <w:t>participant feedback across the project regions.</w:t>
      </w:r>
      <w:r w:rsidR="00A31136">
        <w:t xml:space="preserve"> </w:t>
      </w:r>
      <w:r w:rsidR="000F27E0">
        <w:t xml:space="preserve">The discourse </w:t>
      </w:r>
      <w:r w:rsidR="00D210F7">
        <w:t xml:space="preserve">refers to </w:t>
      </w:r>
      <w:r w:rsidR="000F27E0">
        <w:t>p</w:t>
      </w:r>
      <w:r w:rsidR="004F35F0">
        <w:t xml:space="preserve">articipant feedback at the regional level, </w:t>
      </w:r>
      <w:r w:rsidR="00D210F7">
        <w:t>where</w:t>
      </w:r>
      <w:r w:rsidR="004F35F0">
        <w:t xml:space="preserve"> available, as an </w:t>
      </w:r>
      <w:r w:rsidR="009302C0">
        <w:t>example of feedback received at this level.</w:t>
      </w:r>
    </w:p>
    <w:p w14:paraId="134075A5" w14:textId="3AC74F33" w:rsidR="001E3ED9" w:rsidRPr="001E3ED9" w:rsidRDefault="001E3ED9" w:rsidP="00A45ED1">
      <w:pPr>
        <w:pStyle w:val="BodyText"/>
      </w:pPr>
      <w:r w:rsidRPr="001E3ED9">
        <w:rPr>
          <w:u w:val="single"/>
        </w:rPr>
        <w:t>Global workshop</w:t>
      </w:r>
      <w:r>
        <w:t>:</w:t>
      </w:r>
      <w:r w:rsidR="00795A37">
        <w:t xml:space="preserve"> </w:t>
      </w:r>
      <w:hyperlink r:id="rId42" w:history="1">
        <w:r w:rsidR="00795A37" w:rsidRPr="00795A37">
          <w:rPr>
            <w:rStyle w:val="Hyperlink"/>
          </w:rPr>
          <w:t>Transforming economies through INFFs</w:t>
        </w:r>
      </w:hyperlink>
    </w:p>
    <w:p w14:paraId="5C17E9C9" w14:textId="77777777" w:rsidR="00BF1507" w:rsidRDefault="00BF1507" w:rsidP="00BF1507">
      <w:pPr>
        <w:pStyle w:val="BodyText"/>
      </w:pPr>
      <w:r>
        <w:t>Workshop sessions were facilitated under three thematic areas:</w:t>
      </w:r>
    </w:p>
    <w:p w14:paraId="1C709EE9" w14:textId="633A9C8B" w:rsidR="00BF1507" w:rsidRPr="0024256D" w:rsidRDefault="00BF1507" w:rsidP="003B672F">
      <w:pPr>
        <w:pStyle w:val="ListParagraph"/>
        <w:numPr>
          <w:ilvl w:val="0"/>
          <w:numId w:val="96"/>
        </w:numPr>
        <w:spacing w:after="60"/>
        <w:ind w:left="714" w:hanging="357"/>
        <w:contextualSpacing w:val="0"/>
      </w:pPr>
      <w:r w:rsidRPr="00BF1507">
        <w:rPr>
          <w:b/>
          <w:bCs/>
        </w:rPr>
        <w:t>Advancing resilient and inclusive economies through INFFs</w:t>
      </w:r>
      <w:r w:rsidR="0045417B" w:rsidRPr="0045417B">
        <w:t xml:space="preserve"> – </w:t>
      </w:r>
      <w:r>
        <w:t>highlights of INFFs as tool</w:t>
      </w:r>
      <w:r w:rsidR="0045417B">
        <w:t xml:space="preserve">s for </w:t>
      </w:r>
      <w:r>
        <w:t>advanc</w:t>
      </w:r>
      <w:r w:rsidR="0045417B">
        <w:t>ing</w:t>
      </w:r>
      <w:r>
        <w:t xml:space="preserve"> resilient and inclusive economies</w:t>
      </w:r>
      <w:r w:rsidR="000314D1">
        <w:t>;</w:t>
      </w:r>
    </w:p>
    <w:p w14:paraId="278D10C9" w14:textId="2CC96203" w:rsidR="00BF1507" w:rsidRPr="0024256D" w:rsidRDefault="00BF1507" w:rsidP="003B672F">
      <w:pPr>
        <w:pStyle w:val="ListParagraph"/>
        <w:numPr>
          <w:ilvl w:val="0"/>
          <w:numId w:val="96"/>
        </w:numPr>
        <w:spacing w:after="60"/>
        <w:ind w:left="714" w:hanging="357"/>
        <w:contextualSpacing w:val="0"/>
      </w:pPr>
      <w:r w:rsidRPr="00DC0FF2">
        <w:rPr>
          <w:b/>
          <w:bCs/>
        </w:rPr>
        <w:t>Strengthening national capacity to mobili</w:t>
      </w:r>
      <w:r w:rsidR="00660E0A">
        <w:rPr>
          <w:b/>
          <w:bCs/>
        </w:rPr>
        <w:t>s</w:t>
      </w:r>
      <w:r w:rsidRPr="00DC0FF2">
        <w:rPr>
          <w:b/>
          <w:bCs/>
        </w:rPr>
        <w:t>e domestic resources</w:t>
      </w:r>
      <w:r w:rsidR="00E11E34" w:rsidRPr="0045417B">
        <w:t xml:space="preserve"> – </w:t>
      </w:r>
      <w:r>
        <w:t>an overview of country-level experience in domestic resource mobilisation to support national priorities</w:t>
      </w:r>
      <w:r w:rsidR="000314D1">
        <w:t>; and</w:t>
      </w:r>
    </w:p>
    <w:p w14:paraId="69C9B513" w14:textId="1DF09069" w:rsidR="00BF1507" w:rsidRDefault="00BF1507" w:rsidP="003B672F">
      <w:pPr>
        <w:pStyle w:val="ListParagraph"/>
        <w:numPr>
          <w:ilvl w:val="0"/>
          <w:numId w:val="96"/>
        </w:numPr>
        <w:spacing w:after="60"/>
        <w:ind w:left="714" w:hanging="357"/>
        <w:contextualSpacing w:val="0"/>
      </w:pPr>
      <w:r w:rsidRPr="00794861">
        <w:rPr>
          <w:b/>
          <w:bCs/>
        </w:rPr>
        <w:t>Harnessing the potential of the private sector for sustainable development</w:t>
      </w:r>
      <w:r w:rsidR="00846AC4">
        <w:t xml:space="preserve"> </w:t>
      </w:r>
      <w:r w:rsidR="00846AC4" w:rsidRPr="0045417B">
        <w:t xml:space="preserve">– </w:t>
      </w:r>
      <w:r>
        <w:t xml:space="preserve">an </w:t>
      </w:r>
      <w:r>
        <w:t>exploration of the potential contribution of PPP; infrastructure evaluation tools; and entrepreneurship training to sustainable development</w:t>
      </w:r>
    </w:p>
    <w:p w14:paraId="0891C358" w14:textId="232FE88F" w:rsidR="000314D1" w:rsidRPr="0024256D" w:rsidRDefault="000314D1" w:rsidP="000314D1">
      <w:pPr>
        <w:spacing w:after="60"/>
        <w:jc w:val="right"/>
      </w:pPr>
      <w:r>
        <w:t xml:space="preserve">Source: </w:t>
      </w:r>
      <w:r w:rsidR="00846AC4">
        <w:t>Global w</w:t>
      </w:r>
      <w:r>
        <w:t>orkshop programme.</w:t>
      </w:r>
    </w:p>
    <w:p w14:paraId="464D3EBC" w14:textId="4CAF31A4" w:rsidR="002544C7" w:rsidRDefault="00E54EE6" w:rsidP="002544C7">
      <w:pPr>
        <w:pStyle w:val="BodyText"/>
      </w:pPr>
      <w:r>
        <w:t xml:space="preserve">Feedback from </w:t>
      </w:r>
      <w:r w:rsidR="00E94E5F">
        <w:t xml:space="preserve">the </w:t>
      </w:r>
      <w:r>
        <w:t>p</w:t>
      </w:r>
      <w:r w:rsidR="0066792D">
        <w:t>articipant</w:t>
      </w:r>
      <w:r>
        <w:t>s</w:t>
      </w:r>
      <w:r w:rsidR="00A45ED1">
        <w:t xml:space="preserve"> </w:t>
      </w:r>
      <w:r w:rsidR="00E94E5F">
        <w:t>of</w:t>
      </w:r>
      <w:r w:rsidR="00A45ED1">
        <w:t xml:space="preserve"> the global workshop was generally positive and was provided by all 33 participants</w:t>
      </w:r>
      <w:r>
        <w:t xml:space="preserve">. </w:t>
      </w:r>
      <w:r w:rsidR="00C10DBC">
        <w:t xml:space="preserve">Survey respondents indicated that they had </w:t>
      </w:r>
      <w:r w:rsidR="00A45ED1">
        <w:t>value</w:t>
      </w:r>
      <w:r w:rsidR="00640C7F">
        <w:t>d</w:t>
      </w:r>
      <w:r w:rsidR="00A45ED1">
        <w:t xml:space="preserve"> the opportunity for exchang</w:t>
      </w:r>
      <w:r w:rsidR="00F65AC8">
        <w:t>ing</w:t>
      </w:r>
      <w:r w:rsidR="00A45ED1">
        <w:t xml:space="preserve"> ideas and experiences. The</w:t>
      </w:r>
      <w:r w:rsidR="00C10DBC">
        <w:t xml:space="preserve">y </w:t>
      </w:r>
      <w:r w:rsidR="00EA1F95">
        <w:t xml:space="preserve">stated </w:t>
      </w:r>
      <w:r w:rsidR="00A45ED1">
        <w:t xml:space="preserve">that they </w:t>
      </w:r>
      <w:r w:rsidR="00EA1F95">
        <w:t xml:space="preserve">had </w:t>
      </w:r>
      <w:r w:rsidR="00A45ED1">
        <w:t>gained insight</w:t>
      </w:r>
      <w:r w:rsidR="009D5C38">
        <w:t xml:space="preserve"> </w:t>
      </w:r>
      <w:r w:rsidR="00A45ED1">
        <w:t xml:space="preserve">into the experiences of other countries, </w:t>
      </w:r>
      <w:r w:rsidR="00EA1F95">
        <w:t>in</w:t>
      </w:r>
      <w:r w:rsidR="00A54C20">
        <w:t>cluding</w:t>
      </w:r>
      <w:r w:rsidR="00EA1F95">
        <w:t xml:space="preserve"> </w:t>
      </w:r>
      <w:r w:rsidR="00A45ED1">
        <w:t xml:space="preserve">challenges </w:t>
      </w:r>
      <w:r w:rsidR="00EA1F95">
        <w:t>to INFF facilitation</w:t>
      </w:r>
      <w:r w:rsidR="009A7320">
        <w:t>.</w:t>
      </w:r>
      <w:r w:rsidR="00A54C20">
        <w:t xml:space="preserve"> From a participant perspective, th</w:t>
      </w:r>
      <w:r w:rsidR="00421EDC">
        <w:t xml:space="preserve">e most useful session was Session 2: </w:t>
      </w:r>
      <w:r w:rsidR="00421EDC" w:rsidRPr="00411CF7">
        <w:rPr>
          <w:i/>
          <w:iCs/>
        </w:rPr>
        <w:t>Strengthening national capacity to mobili</w:t>
      </w:r>
      <w:r w:rsidR="00D55CB1">
        <w:rPr>
          <w:i/>
          <w:iCs/>
        </w:rPr>
        <w:t>s</w:t>
      </w:r>
      <w:r w:rsidR="00421EDC" w:rsidRPr="00411CF7">
        <w:rPr>
          <w:i/>
          <w:iCs/>
        </w:rPr>
        <w:t>e domestic resources</w:t>
      </w:r>
      <w:r w:rsidR="00421EDC">
        <w:t xml:space="preserve">, as indicated by </w:t>
      </w:r>
      <w:r w:rsidR="00A71411">
        <w:t>7</w:t>
      </w:r>
      <w:r w:rsidR="005507EF">
        <w:t>9</w:t>
      </w:r>
      <w:r w:rsidR="00A71411">
        <w:t xml:space="preserve"> percent of respondents. This was followed by Session </w:t>
      </w:r>
      <w:r w:rsidR="001A6D44">
        <w:t xml:space="preserve">1: </w:t>
      </w:r>
      <w:r w:rsidR="001A6D44" w:rsidRPr="00E626CF">
        <w:rPr>
          <w:i/>
          <w:iCs/>
        </w:rPr>
        <w:t>Advancing resilient and inclusive economies through INFFs</w:t>
      </w:r>
      <w:r w:rsidR="001A6D44" w:rsidRPr="001A6D44">
        <w:t xml:space="preserve">, as identified by 73 percent of the </w:t>
      </w:r>
      <w:r w:rsidR="001A6D44">
        <w:t>workshop participants</w:t>
      </w:r>
      <w:r w:rsidR="001A6D44" w:rsidRPr="001A6D44">
        <w:t>.</w:t>
      </w:r>
      <w:r w:rsidR="001A6D44">
        <w:rPr>
          <w:b/>
          <w:bCs/>
        </w:rPr>
        <w:t xml:space="preserve"> </w:t>
      </w:r>
      <w:r w:rsidR="001A6D44" w:rsidRPr="003030BB">
        <w:t>An aggregate 67 percent of the workshop participant</w:t>
      </w:r>
      <w:r w:rsidR="007F2198" w:rsidRPr="003030BB">
        <w:t xml:space="preserve">s indicated a preference for </w:t>
      </w:r>
      <w:r w:rsidR="003030BB" w:rsidRPr="003030BB">
        <w:t xml:space="preserve">Session 3: </w:t>
      </w:r>
      <w:r w:rsidR="003030BB" w:rsidRPr="00E626CF">
        <w:rPr>
          <w:i/>
          <w:iCs/>
        </w:rPr>
        <w:t>Harnessing the potential of the private sector for sustainable development</w:t>
      </w:r>
      <w:r w:rsidR="003030BB" w:rsidRPr="003030BB">
        <w:t>, in terms of usefulness. (see Exhibit 1</w:t>
      </w:r>
      <w:r w:rsidR="00042353">
        <w:t>5</w:t>
      </w:r>
      <w:r w:rsidR="003030BB" w:rsidRPr="003030BB">
        <w:t>).</w:t>
      </w:r>
    </w:p>
    <w:p w14:paraId="15A27CCB" w14:textId="1C6C7B81" w:rsidR="002544C7" w:rsidRDefault="002544C7" w:rsidP="002544C7">
      <w:pPr>
        <w:pStyle w:val="BodyText"/>
      </w:pPr>
      <w:r>
        <w:t>Key take-aways from the project, as identified by the participants, included an understanding of:</w:t>
      </w:r>
    </w:p>
    <w:p w14:paraId="159A46F3" w14:textId="77777777" w:rsidR="002544C7" w:rsidRDefault="002544C7" w:rsidP="003B672F">
      <w:pPr>
        <w:pStyle w:val="BodyText"/>
        <w:numPr>
          <w:ilvl w:val="0"/>
          <w:numId w:val="92"/>
        </w:numPr>
        <w:spacing w:before="0" w:after="0"/>
        <w:ind w:left="714" w:hanging="357"/>
      </w:pPr>
      <w:r>
        <w:t>The importance of aligning development plans with budget/ finance plans;</w:t>
      </w:r>
    </w:p>
    <w:p w14:paraId="5AA08B87" w14:textId="77777777" w:rsidR="002544C7" w:rsidRDefault="002544C7" w:rsidP="003B672F">
      <w:pPr>
        <w:pStyle w:val="BodyText"/>
        <w:numPr>
          <w:ilvl w:val="0"/>
          <w:numId w:val="92"/>
        </w:numPr>
        <w:spacing w:before="0" w:after="0"/>
        <w:ind w:left="714" w:hanging="357"/>
      </w:pPr>
      <w:r>
        <w:t>Support for the dynamic risk management agenda;</w:t>
      </w:r>
    </w:p>
    <w:p w14:paraId="5C159D2C" w14:textId="77777777" w:rsidR="002544C7" w:rsidRDefault="002544C7" w:rsidP="003B672F">
      <w:pPr>
        <w:pStyle w:val="BodyText"/>
        <w:numPr>
          <w:ilvl w:val="0"/>
          <w:numId w:val="92"/>
        </w:numPr>
        <w:spacing w:before="0" w:after="0"/>
        <w:ind w:left="714" w:hanging="357"/>
      </w:pPr>
      <w:r>
        <w:t>The need to promote transparency and citizen participation;</w:t>
      </w:r>
    </w:p>
    <w:p w14:paraId="443B86BD" w14:textId="77777777" w:rsidR="002544C7" w:rsidRDefault="002544C7" w:rsidP="003B672F">
      <w:pPr>
        <w:pStyle w:val="BodyText"/>
        <w:numPr>
          <w:ilvl w:val="0"/>
          <w:numId w:val="92"/>
        </w:numPr>
        <w:spacing w:before="0" w:after="0"/>
        <w:ind w:left="714" w:hanging="357"/>
      </w:pPr>
      <w:r>
        <w:t>The harnessing of private investment;</w:t>
      </w:r>
    </w:p>
    <w:p w14:paraId="3AACCDC3" w14:textId="77777777" w:rsidR="002544C7" w:rsidRDefault="002544C7" w:rsidP="003B672F">
      <w:pPr>
        <w:pStyle w:val="BodyText"/>
        <w:numPr>
          <w:ilvl w:val="0"/>
          <w:numId w:val="92"/>
        </w:numPr>
        <w:spacing w:before="0" w:after="0"/>
        <w:ind w:left="714" w:hanging="357"/>
      </w:pPr>
      <w:r>
        <w:lastRenderedPageBreak/>
        <w:t>Sustainability reporting; and</w:t>
      </w:r>
    </w:p>
    <w:p w14:paraId="125E8829" w14:textId="77777777" w:rsidR="002544C7" w:rsidRDefault="002544C7" w:rsidP="003B672F">
      <w:pPr>
        <w:pStyle w:val="BodyText"/>
        <w:numPr>
          <w:ilvl w:val="0"/>
          <w:numId w:val="92"/>
        </w:numPr>
        <w:spacing w:before="0" w:after="0"/>
        <w:ind w:left="714" w:hanging="357"/>
      </w:pPr>
      <w:r>
        <w:t>The role of the private sector in localising projects to achieve the SDGs</w:t>
      </w:r>
    </w:p>
    <w:p w14:paraId="4F9A49F6" w14:textId="77777777" w:rsidR="002544C7" w:rsidRDefault="002544C7" w:rsidP="002544C7">
      <w:pPr>
        <w:pStyle w:val="BodyText"/>
        <w:jc w:val="right"/>
      </w:pPr>
      <w:r>
        <w:t>Source: Final project report, March 2025.</w:t>
      </w:r>
    </w:p>
    <w:p w14:paraId="477994FA" w14:textId="2B491943" w:rsidR="00C6687D" w:rsidRPr="00D12632" w:rsidRDefault="00C6687D" w:rsidP="00C6687D">
      <w:pPr>
        <w:pStyle w:val="Caption"/>
        <w:spacing w:before="120"/>
      </w:pPr>
      <w:bookmarkStart w:id="41" w:name="_Toc210730348"/>
      <w:r w:rsidRPr="00D12632">
        <w:t xml:space="preserve">Exhibit </w:t>
      </w:r>
      <w:r w:rsidRPr="00D12632">
        <w:fldChar w:fldCharType="begin"/>
      </w:r>
      <w:r w:rsidRPr="00D12632">
        <w:instrText xml:space="preserve"> SEQ Table \* ARABIC </w:instrText>
      </w:r>
      <w:r w:rsidRPr="00D12632">
        <w:fldChar w:fldCharType="separate"/>
      </w:r>
      <w:r w:rsidR="00042353">
        <w:rPr>
          <w:noProof/>
        </w:rPr>
        <w:t>15</w:t>
      </w:r>
      <w:r w:rsidRPr="00D12632">
        <w:fldChar w:fldCharType="end"/>
      </w:r>
      <w:r>
        <w:t xml:space="preserve"> Participant perception of the </w:t>
      </w:r>
      <w:r w:rsidR="004D5EFA">
        <w:t>most useful session</w:t>
      </w:r>
      <w:bookmarkEnd w:id="41"/>
    </w:p>
    <w:p w14:paraId="71D3F2D1" w14:textId="61C58F55" w:rsidR="00265BC6" w:rsidRDefault="00251818" w:rsidP="005F3D6A">
      <w:pPr>
        <w:pStyle w:val="BodyText"/>
        <w:jc w:val="center"/>
      </w:pPr>
      <w:r w:rsidRPr="00251818">
        <w:rPr>
          <w:noProof/>
        </w:rPr>
        <w:drawing>
          <wp:inline distT="0" distB="0" distL="0" distR="0" wp14:anchorId="7B2397C5" wp14:editId="5AEF99F2">
            <wp:extent cx="2949575" cy="1769110"/>
            <wp:effectExtent l="0" t="0" r="3175" b="2540"/>
            <wp:docPr id="6228867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949575" cy="1769110"/>
                    </a:xfrm>
                    <a:prstGeom prst="rect">
                      <a:avLst/>
                    </a:prstGeom>
                    <a:noFill/>
                    <a:ln>
                      <a:noFill/>
                    </a:ln>
                  </pic:spPr>
                </pic:pic>
              </a:graphicData>
            </a:graphic>
          </wp:inline>
        </w:drawing>
      </w:r>
    </w:p>
    <w:p w14:paraId="4BBC1CB7" w14:textId="492A3C03" w:rsidR="004D5EFA" w:rsidRDefault="004D5EFA" w:rsidP="004D5EFA">
      <w:pPr>
        <w:pStyle w:val="BodyText"/>
        <w:rPr>
          <w:i/>
          <w:iCs/>
        </w:rPr>
      </w:pPr>
      <w:r w:rsidRPr="00D91983">
        <w:rPr>
          <w:i/>
          <w:iCs/>
        </w:rPr>
        <w:t>Source: End-of-workshop survey</w:t>
      </w:r>
      <w:r w:rsidR="005F3D6A">
        <w:rPr>
          <w:i/>
          <w:iCs/>
        </w:rPr>
        <w:t xml:space="preserve"> report</w:t>
      </w:r>
      <w:r w:rsidRPr="00D91983">
        <w:rPr>
          <w:i/>
          <w:iCs/>
        </w:rPr>
        <w:t xml:space="preserve">, </w:t>
      </w:r>
      <w:r>
        <w:rPr>
          <w:i/>
          <w:iCs/>
        </w:rPr>
        <w:t xml:space="preserve">Final </w:t>
      </w:r>
      <w:r w:rsidRPr="00D91983">
        <w:rPr>
          <w:i/>
          <w:iCs/>
        </w:rPr>
        <w:t>Global workshop,</w:t>
      </w:r>
      <w:r>
        <w:rPr>
          <w:i/>
          <w:iCs/>
        </w:rPr>
        <w:t xml:space="preserve"> April</w:t>
      </w:r>
      <w:r w:rsidRPr="00D91983">
        <w:rPr>
          <w:i/>
          <w:iCs/>
        </w:rPr>
        <w:t xml:space="preserve"> 2024</w:t>
      </w:r>
    </w:p>
    <w:p w14:paraId="5EC7E58A" w14:textId="3EAA9D0D" w:rsidR="00192ED9" w:rsidRDefault="00DF1B06" w:rsidP="00A45ED1">
      <w:pPr>
        <w:pStyle w:val="BodyText"/>
      </w:pPr>
      <w:r>
        <w:t>Eighty-two (</w:t>
      </w:r>
      <w:r w:rsidR="009A2EDB">
        <w:t>82</w:t>
      </w:r>
      <w:r>
        <w:t>)</w:t>
      </w:r>
      <w:r w:rsidR="009A2EDB">
        <w:t xml:space="preserve"> </w:t>
      </w:r>
      <w:r w:rsidR="002412B4">
        <w:t>percent</w:t>
      </w:r>
      <w:r w:rsidR="00066C25">
        <w:rPr>
          <w:rStyle w:val="FootnoteReference"/>
        </w:rPr>
        <w:footnoteReference w:id="151"/>
      </w:r>
      <w:r w:rsidR="002412B4">
        <w:t xml:space="preserve"> of the workshop participants i</w:t>
      </w:r>
      <w:r w:rsidR="00042334">
        <w:t xml:space="preserve">dentified </w:t>
      </w:r>
      <w:r w:rsidR="008B7B8E">
        <w:t xml:space="preserve">a </w:t>
      </w:r>
      <w:r w:rsidR="00770AA0">
        <w:t xml:space="preserve">likelihood for </w:t>
      </w:r>
      <w:r w:rsidR="00506D7E">
        <w:t xml:space="preserve">INFF strategies and approaches to be </w:t>
      </w:r>
      <w:r w:rsidR="002412B4">
        <w:t>inco</w:t>
      </w:r>
      <w:r w:rsidR="005F28FC">
        <w:t>rporat</w:t>
      </w:r>
      <w:r w:rsidR="00506D7E">
        <w:t>ed</w:t>
      </w:r>
      <w:r w:rsidR="005F28FC">
        <w:t xml:space="preserve"> into the development plans </w:t>
      </w:r>
      <w:r w:rsidR="00192ED9">
        <w:t xml:space="preserve">of their countries based on </w:t>
      </w:r>
      <w:r w:rsidR="00770AA0">
        <w:t xml:space="preserve">acquired project </w:t>
      </w:r>
      <w:r w:rsidR="00192ED9">
        <w:t>learning</w:t>
      </w:r>
      <w:r w:rsidR="00770AA0">
        <w:t>s</w:t>
      </w:r>
      <w:r w:rsidR="00192ED9">
        <w:t xml:space="preserve"> (see Exhibit 1</w:t>
      </w:r>
      <w:r w:rsidR="00042353">
        <w:t>6</w:t>
      </w:r>
      <w:r w:rsidR="00192ED9">
        <w:t>).</w:t>
      </w:r>
    </w:p>
    <w:p w14:paraId="7291D70D" w14:textId="30E10FFD" w:rsidR="007C26F4" w:rsidRPr="00D12632" w:rsidRDefault="007C26F4" w:rsidP="007C26F4">
      <w:pPr>
        <w:pStyle w:val="Caption"/>
        <w:spacing w:before="120"/>
      </w:pPr>
      <w:bookmarkStart w:id="42" w:name="_Toc210730349"/>
      <w:r w:rsidRPr="00D12632">
        <w:t xml:space="preserve">Exhibit </w:t>
      </w:r>
      <w:r w:rsidRPr="00D12632">
        <w:fldChar w:fldCharType="begin"/>
      </w:r>
      <w:r w:rsidRPr="00D12632">
        <w:instrText xml:space="preserve"> SEQ Table \* ARABIC </w:instrText>
      </w:r>
      <w:r w:rsidRPr="00D12632">
        <w:fldChar w:fldCharType="separate"/>
      </w:r>
      <w:r w:rsidR="00042353">
        <w:rPr>
          <w:noProof/>
        </w:rPr>
        <w:t>16</w:t>
      </w:r>
      <w:r w:rsidRPr="00D12632">
        <w:fldChar w:fldCharType="end"/>
      </w:r>
      <w:r>
        <w:t xml:space="preserve"> Likelihood of incorporating INFF strategies or approaches into country development plans</w:t>
      </w:r>
      <w:bookmarkEnd w:id="42"/>
    </w:p>
    <w:p w14:paraId="5FF40754" w14:textId="77777777" w:rsidR="007C26F4" w:rsidRDefault="007C26F4" w:rsidP="007C26F4">
      <w:pPr>
        <w:pStyle w:val="BodyText"/>
      </w:pPr>
      <w:r w:rsidRPr="006D14D8">
        <w:rPr>
          <w:noProof/>
        </w:rPr>
        <w:drawing>
          <wp:inline distT="0" distB="0" distL="0" distR="0" wp14:anchorId="775CEE72" wp14:editId="43348147">
            <wp:extent cx="2949575" cy="1770380"/>
            <wp:effectExtent l="0" t="0" r="3175" b="1270"/>
            <wp:docPr id="196307123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949575" cy="1770380"/>
                    </a:xfrm>
                    <a:prstGeom prst="rect">
                      <a:avLst/>
                    </a:prstGeom>
                    <a:noFill/>
                    <a:ln>
                      <a:noFill/>
                    </a:ln>
                  </pic:spPr>
                </pic:pic>
              </a:graphicData>
            </a:graphic>
          </wp:inline>
        </w:drawing>
      </w:r>
    </w:p>
    <w:p w14:paraId="0C92BB14" w14:textId="4DDB4751" w:rsidR="007C26F4" w:rsidRDefault="007C26F4" w:rsidP="007C26F4">
      <w:pPr>
        <w:pStyle w:val="BodyText"/>
        <w:rPr>
          <w:i/>
          <w:iCs/>
        </w:rPr>
      </w:pPr>
      <w:r w:rsidRPr="00D91983">
        <w:rPr>
          <w:i/>
          <w:iCs/>
        </w:rPr>
        <w:t>Source: End-of-workshop survey</w:t>
      </w:r>
      <w:r w:rsidR="005F3D6A">
        <w:rPr>
          <w:i/>
          <w:iCs/>
        </w:rPr>
        <w:t xml:space="preserve"> report</w:t>
      </w:r>
      <w:r w:rsidRPr="00D91983">
        <w:rPr>
          <w:i/>
          <w:iCs/>
        </w:rPr>
        <w:t xml:space="preserve">, </w:t>
      </w:r>
      <w:r>
        <w:rPr>
          <w:i/>
          <w:iCs/>
        </w:rPr>
        <w:t xml:space="preserve">Final </w:t>
      </w:r>
      <w:r w:rsidRPr="00D91983">
        <w:rPr>
          <w:i/>
          <w:iCs/>
        </w:rPr>
        <w:t>Global workshop,</w:t>
      </w:r>
      <w:r w:rsidR="004D5EFA">
        <w:rPr>
          <w:i/>
          <w:iCs/>
        </w:rPr>
        <w:t xml:space="preserve"> April</w:t>
      </w:r>
      <w:r w:rsidRPr="00D91983">
        <w:rPr>
          <w:i/>
          <w:iCs/>
        </w:rPr>
        <w:t xml:space="preserve"> 2024</w:t>
      </w:r>
    </w:p>
    <w:p w14:paraId="5746F390" w14:textId="77777777" w:rsidR="00D16B7E" w:rsidRDefault="00D16B7E" w:rsidP="007C26F4">
      <w:pPr>
        <w:pStyle w:val="BodyText"/>
        <w:rPr>
          <w:i/>
          <w:iCs/>
        </w:rPr>
      </w:pPr>
    </w:p>
    <w:p w14:paraId="650057FA" w14:textId="5B45C0D7" w:rsidR="005B7CF5" w:rsidRDefault="005147D2" w:rsidP="005D5070">
      <w:pPr>
        <w:pStyle w:val="BodyText"/>
      </w:pPr>
      <w:r w:rsidRPr="00DF1B06">
        <w:rPr>
          <w:u w:val="single"/>
        </w:rPr>
        <w:t>Africa regional workshop</w:t>
      </w:r>
      <w:r w:rsidR="00DF1B06" w:rsidRPr="00DF1B06">
        <w:rPr>
          <w:u w:val="single"/>
        </w:rPr>
        <w:t>s</w:t>
      </w:r>
      <w:r>
        <w:t>:</w:t>
      </w:r>
    </w:p>
    <w:p w14:paraId="73987F46" w14:textId="393C827D" w:rsidR="005147D2" w:rsidRDefault="00C77CB8" w:rsidP="005D5070">
      <w:pPr>
        <w:pStyle w:val="BodyText"/>
      </w:pPr>
      <w:r>
        <w:t>In August 2021, UNECA facilitated a</w:t>
      </w:r>
      <w:r w:rsidR="009E0C3F">
        <w:t xml:space="preserve"> three-day </w:t>
      </w:r>
      <w:r w:rsidR="00FC5228">
        <w:t xml:space="preserve">online training </w:t>
      </w:r>
      <w:r w:rsidR="009E0C3F">
        <w:t>inception workshop</w:t>
      </w:r>
      <w:r w:rsidR="00FC5228">
        <w:t xml:space="preserve">, in coordination with UNDESA; UNDP; and UNITAR. </w:t>
      </w:r>
      <w:r w:rsidR="00304FF1">
        <w:t>The workshop engaged 685 participants from 62 African countries, including 49 UNECA States.</w:t>
      </w:r>
      <w:r w:rsidR="003C42D3">
        <w:rPr>
          <w:rStyle w:val="FootnoteReference"/>
        </w:rPr>
        <w:footnoteReference w:id="152"/>
      </w:r>
      <w:r w:rsidR="002358EB">
        <w:t xml:space="preserve"> </w:t>
      </w:r>
      <w:r w:rsidR="000A59FA">
        <w:t xml:space="preserve">As its main </w:t>
      </w:r>
      <w:r w:rsidR="00824E8D">
        <w:t>purpose</w:t>
      </w:r>
      <w:r w:rsidR="000A59FA">
        <w:t>, t</w:t>
      </w:r>
      <w:r w:rsidR="002358EB">
        <w:t xml:space="preserve">he workshop </w:t>
      </w:r>
      <w:r w:rsidR="000A59FA">
        <w:t xml:space="preserve">aimed </w:t>
      </w:r>
      <w:r w:rsidR="002358EB">
        <w:t xml:space="preserve">to strengthen the knowledge of government officials and other </w:t>
      </w:r>
      <w:r w:rsidR="00C371EA">
        <w:t>relevant</w:t>
      </w:r>
      <w:r w:rsidR="002358EB">
        <w:t xml:space="preserve"> stakeholders </w:t>
      </w:r>
      <w:r w:rsidR="009E0FCD">
        <w:t xml:space="preserve">within the African region </w:t>
      </w:r>
      <w:r w:rsidR="00C371EA">
        <w:t>on INFFs</w:t>
      </w:r>
      <w:r w:rsidR="00824E8D">
        <w:t>. To facilitate this objective</w:t>
      </w:r>
      <w:r w:rsidR="009E0FCD">
        <w:t>,</w:t>
      </w:r>
      <w:r w:rsidR="00824E8D">
        <w:t xml:space="preserve"> the workshop </w:t>
      </w:r>
      <w:r w:rsidR="00462220">
        <w:t>creat</w:t>
      </w:r>
      <w:r w:rsidR="00824E8D">
        <w:t xml:space="preserve">ed </w:t>
      </w:r>
      <w:r w:rsidR="00462220">
        <w:t xml:space="preserve">a space for </w:t>
      </w:r>
      <w:r w:rsidR="00E6756A">
        <w:t xml:space="preserve">learning and the </w:t>
      </w:r>
      <w:r w:rsidR="001706B8">
        <w:t>sharing of knowledge</w:t>
      </w:r>
      <w:r w:rsidR="004F309E">
        <w:t xml:space="preserve">; </w:t>
      </w:r>
      <w:r w:rsidR="001706B8">
        <w:t>experience</w:t>
      </w:r>
      <w:r w:rsidR="004F309E">
        <w:t>; and best practices</w:t>
      </w:r>
      <w:r w:rsidR="00151949">
        <w:t xml:space="preserve">, to support the </w:t>
      </w:r>
      <w:r w:rsidR="002D5A0A">
        <w:t>achievement of the SDGs and Agenda 2063 of the African Union</w:t>
      </w:r>
      <w:r w:rsidR="00B40B23">
        <w:t>.</w:t>
      </w:r>
      <w:r w:rsidR="002D5A0A">
        <w:t xml:space="preserve"> </w:t>
      </w:r>
      <w:r w:rsidR="009E0FCD">
        <w:rPr>
          <w:rStyle w:val="FootnoteReference"/>
        </w:rPr>
        <w:footnoteReference w:id="153"/>
      </w:r>
    </w:p>
    <w:p w14:paraId="0CC0DEC2" w14:textId="6C1810B1" w:rsidR="009F4FF2" w:rsidRDefault="00225CF4" w:rsidP="005D5070">
      <w:pPr>
        <w:pStyle w:val="BodyText"/>
      </w:pPr>
      <w:r>
        <w:t>A</w:t>
      </w:r>
      <w:r w:rsidR="00216930">
        <w:t xml:space="preserve">n </w:t>
      </w:r>
      <w:r>
        <w:t>end</w:t>
      </w:r>
      <w:r w:rsidR="00216930">
        <w:t>-of-</w:t>
      </w:r>
      <w:r>
        <w:t>workshop</w:t>
      </w:r>
      <w:r w:rsidR="00216930">
        <w:t xml:space="preserve"> survey </w:t>
      </w:r>
      <w:r w:rsidR="00227423">
        <w:t>was completed by 127 workshop participants, reflecting a response rate of 18 percent.</w:t>
      </w:r>
      <w:r w:rsidR="00E65908">
        <w:t xml:space="preserve"> </w:t>
      </w:r>
      <w:r w:rsidR="00EB46B8">
        <w:t xml:space="preserve">For 59 percent of the survey respondents, the information that was presented in the training was new to them. </w:t>
      </w:r>
      <w:r w:rsidR="008F1E59">
        <w:t>At 85 percent, the majority of the surv</w:t>
      </w:r>
      <w:r w:rsidR="00F626DD">
        <w:t>ey</w:t>
      </w:r>
      <w:r w:rsidR="008F1E59">
        <w:t xml:space="preserve"> respondents were of the view that the content of the training</w:t>
      </w:r>
      <w:r w:rsidR="00F626DD">
        <w:t xml:space="preserve"> was relevant to their job. </w:t>
      </w:r>
      <w:r w:rsidR="00BE2057">
        <w:t>Eighty-two (82) percent of the surv</w:t>
      </w:r>
      <w:r w:rsidR="009F4FF2">
        <w:t>e</w:t>
      </w:r>
      <w:r w:rsidR="00BE2057">
        <w:t>y respondents also indicated that it was likely that they would use</w:t>
      </w:r>
      <w:r w:rsidR="009F4FF2">
        <w:t xml:space="preserve"> acquired learnings in their jobs</w:t>
      </w:r>
      <w:r w:rsidR="00A93676">
        <w:t xml:space="preserve"> (see Exhibit 1</w:t>
      </w:r>
      <w:r w:rsidR="00042353">
        <w:t>7</w:t>
      </w:r>
      <w:r w:rsidR="00A93676">
        <w:t>).</w:t>
      </w:r>
      <w:r w:rsidR="00EB46B8">
        <w:t xml:space="preserve"> </w:t>
      </w:r>
    </w:p>
    <w:p w14:paraId="65BCAE68" w14:textId="5D353946" w:rsidR="000F7BBD" w:rsidRPr="00D12632" w:rsidRDefault="000F7BBD" w:rsidP="000F7BBD">
      <w:pPr>
        <w:pStyle w:val="Caption"/>
        <w:spacing w:before="120"/>
      </w:pPr>
      <w:bookmarkStart w:id="43" w:name="_Toc210730350"/>
      <w:r w:rsidRPr="00D12632">
        <w:t xml:space="preserve">Exhibit </w:t>
      </w:r>
      <w:r w:rsidRPr="00D12632">
        <w:fldChar w:fldCharType="begin"/>
      </w:r>
      <w:r w:rsidRPr="00D12632">
        <w:instrText xml:space="preserve"> SEQ Table \* ARABIC </w:instrText>
      </w:r>
      <w:r w:rsidRPr="00D12632">
        <w:fldChar w:fldCharType="separate"/>
      </w:r>
      <w:r w:rsidR="00042353">
        <w:rPr>
          <w:noProof/>
        </w:rPr>
        <w:t>17</w:t>
      </w:r>
      <w:r w:rsidRPr="00D12632">
        <w:fldChar w:fldCharType="end"/>
      </w:r>
      <w:r>
        <w:t xml:space="preserve"> </w:t>
      </w:r>
      <w:r w:rsidR="00280995">
        <w:t xml:space="preserve">Participation </w:t>
      </w:r>
      <w:r w:rsidR="00744EBF">
        <w:t xml:space="preserve">perception of training relevance – INFF </w:t>
      </w:r>
      <w:r w:rsidR="00CA3F9B">
        <w:t xml:space="preserve">inception workshop, </w:t>
      </w:r>
      <w:r w:rsidR="00744EBF">
        <w:t>Africa region</w:t>
      </w:r>
      <w:bookmarkEnd w:id="43"/>
    </w:p>
    <w:p w14:paraId="4F64B229" w14:textId="0357F50D" w:rsidR="007D43DD" w:rsidRDefault="00322362" w:rsidP="005D5070">
      <w:pPr>
        <w:pStyle w:val="BodyText"/>
      </w:pPr>
      <w:r w:rsidRPr="00322362">
        <w:rPr>
          <w:noProof/>
        </w:rPr>
        <w:drawing>
          <wp:inline distT="0" distB="0" distL="0" distR="0" wp14:anchorId="78EE6319" wp14:editId="118BCAA9">
            <wp:extent cx="2949575" cy="1769110"/>
            <wp:effectExtent l="0" t="0" r="3175" b="2540"/>
            <wp:docPr id="15376374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2949575" cy="1769110"/>
                    </a:xfrm>
                    <a:prstGeom prst="rect">
                      <a:avLst/>
                    </a:prstGeom>
                    <a:noFill/>
                    <a:ln>
                      <a:noFill/>
                    </a:ln>
                  </pic:spPr>
                </pic:pic>
              </a:graphicData>
            </a:graphic>
          </wp:inline>
        </w:drawing>
      </w:r>
    </w:p>
    <w:p w14:paraId="57BEA053" w14:textId="6EBE1B9D" w:rsidR="000F7BBD" w:rsidRDefault="000F7BBD" w:rsidP="000F7BBD">
      <w:pPr>
        <w:pStyle w:val="BodyText"/>
        <w:rPr>
          <w:i/>
          <w:iCs/>
        </w:rPr>
      </w:pPr>
      <w:r w:rsidRPr="00D91983">
        <w:rPr>
          <w:i/>
          <w:iCs/>
        </w:rPr>
        <w:t>Source: E</w:t>
      </w:r>
      <w:r w:rsidR="00A04CC4">
        <w:rPr>
          <w:i/>
          <w:iCs/>
        </w:rPr>
        <w:t xml:space="preserve">valuation report, </w:t>
      </w:r>
      <w:r w:rsidR="00CA3F9B">
        <w:rPr>
          <w:i/>
          <w:iCs/>
        </w:rPr>
        <w:t>Inception</w:t>
      </w:r>
      <w:r w:rsidR="00280995">
        <w:rPr>
          <w:i/>
          <w:iCs/>
        </w:rPr>
        <w:t xml:space="preserve"> workshop, Africa region, </w:t>
      </w:r>
      <w:r w:rsidR="009F454C">
        <w:rPr>
          <w:i/>
          <w:iCs/>
        </w:rPr>
        <w:t>August 2021</w:t>
      </w:r>
    </w:p>
    <w:p w14:paraId="4697B3D8" w14:textId="162C63BD" w:rsidR="000F7BBD" w:rsidRPr="00191AD1" w:rsidRDefault="00BF4944" w:rsidP="00642438">
      <w:pPr>
        <w:pStyle w:val="BodyText"/>
        <w:spacing w:before="240"/>
        <w:rPr>
          <w:i/>
          <w:iCs/>
        </w:rPr>
      </w:pPr>
      <w:r>
        <w:rPr>
          <w:i/>
          <w:iCs/>
        </w:rPr>
        <w:t xml:space="preserve">Initiation of </w:t>
      </w:r>
      <w:r w:rsidR="00744FA1">
        <w:rPr>
          <w:i/>
          <w:iCs/>
        </w:rPr>
        <w:t>INFF</w:t>
      </w:r>
      <w:r w:rsidR="00191AD1" w:rsidRPr="00191AD1">
        <w:rPr>
          <w:i/>
          <w:iCs/>
        </w:rPr>
        <w:t xml:space="preserve"> </w:t>
      </w:r>
      <w:r w:rsidR="00E44571">
        <w:rPr>
          <w:i/>
          <w:iCs/>
        </w:rPr>
        <w:t>Building Block</w:t>
      </w:r>
      <w:r w:rsidR="00EC2FD6">
        <w:rPr>
          <w:i/>
          <w:iCs/>
        </w:rPr>
        <w:t xml:space="preserve"> </w:t>
      </w:r>
      <w:r w:rsidR="00E44571" w:rsidRPr="00191AD1">
        <w:rPr>
          <w:i/>
          <w:iCs/>
        </w:rPr>
        <w:t>implementatio</w:t>
      </w:r>
      <w:r w:rsidR="00E44571">
        <w:rPr>
          <w:i/>
          <w:iCs/>
        </w:rPr>
        <w:t xml:space="preserve">n </w:t>
      </w:r>
      <w:r w:rsidR="00EC2FD6">
        <w:rPr>
          <w:i/>
          <w:iCs/>
        </w:rPr>
        <w:t>by target and non-project countries</w:t>
      </w:r>
      <w:r w:rsidR="00744FA1">
        <w:rPr>
          <w:i/>
          <w:iCs/>
        </w:rPr>
        <w:t xml:space="preserve"> (</w:t>
      </w:r>
      <w:r w:rsidR="004A742A">
        <w:rPr>
          <w:i/>
          <w:iCs/>
        </w:rPr>
        <w:t>IA 2.2/ IA 2.4</w:t>
      </w:r>
      <w:r w:rsidR="007056CD">
        <w:rPr>
          <w:rStyle w:val="FootnoteReference"/>
          <w:i/>
          <w:iCs/>
        </w:rPr>
        <w:footnoteReference w:id="154"/>
      </w:r>
      <w:r w:rsidR="004A742A">
        <w:rPr>
          <w:i/>
          <w:iCs/>
        </w:rPr>
        <w:t>)</w:t>
      </w:r>
    </w:p>
    <w:p w14:paraId="59C476E7" w14:textId="334BAE7B" w:rsidR="00F6161D" w:rsidRDefault="00260D1D" w:rsidP="009F3007">
      <w:pPr>
        <w:pStyle w:val="BodyText"/>
      </w:pPr>
      <w:r>
        <w:t xml:space="preserve">There has been evidence of </w:t>
      </w:r>
      <w:r w:rsidR="00F55FBF">
        <w:t xml:space="preserve">progress towards </w:t>
      </w:r>
      <w:r w:rsidR="00BF4944">
        <w:t>INFF implementation a</w:t>
      </w:r>
      <w:r w:rsidR="00D41000">
        <w:t xml:space="preserve">t the level of target and non-project </w:t>
      </w:r>
      <w:r w:rsidR="00D41000">
        <w:lastRenderedPageBreak/>
        <w:t>countries</w:t>
      </w:r>
      <w:r w:rsidR="002B21B9">
        <w:t xml:space="preserve">, with emphasis on contributions towards the INFF </w:t>
      </w:r>
      <w:r w:rsidR="00F05FBC">
        <w:t>building blocks</w:t>
      </w:r>
      <w:r w:rsidR="00025A13">
        <w:t>.</w:t>
      </w:r>
      <w:r w:rsidR="00025A13" w:rsidRPr="00025A13">
        <w:rPr>
          <w:rStyle w:val="FootnoteReference"/>
          <w:i/>
          <w:iCs/>
        </w:rPr>
        <w:t xml:space="preserve"> </w:t>
      </w:r>
      <w:r w:rsidR="00025A13">
        <w:rPr>
          <w:rStyle w:val="FootnoteReference"/>
          <w:i/>
          <w:iCs/>
        </w:rPr>
        <w:footnoteReference w:id="155"/>
      </w:r>
      <w:r w:rsidR="00025A13">
        <w:t xml:space="preserve"> </w:t>
      </w:r>
      <w:r w:rsidR="009F3007">
        <w:t xml:space="preserve">Given the difference in </w:t>
      </w:r>
      <w:r w:rsidR="00CD04A9">
        <w:t xml:space="preserve">country </w:t>
      </w:r>
      <w:r w:rsidR="009F3007">
        <w:t>contexts</w:t>
      </w:r>
      <w:r w:rsidR="006875C0">
        <w:t xml:space="preserve"> (e.g. </w:t>
      </w:r>
      <w:r w:rsidR="008F75B2">
        <w:t xml:space="preserve">knowledge </w:t>
      </w:r>
      <w:r w:rsidR="006875C0">
        <w:t xml:space="preserve">about </w:t>
      </w:r>
      <w:r w:rsidR="008F75B2">
        <w:t>the INFF methodology</w:t>
      </w:r>
      <w:r w:rsidR="006875C0">
        <w:t xml:space="preserve">; </w:t>
      </w:r>
      <w:r w:rsidR="008F75B2">
        <w:t>re</w:t>
      </w:r>
      <w:r w:rsidR="00C1258B">
        <w:t>source availability</w:t>
      </w:r>
      <w:r w:rsidR="00642907">
        <w:t xml:space="preserve">; etc.), </w:t>
      </w:r>
      <w:r w:rsidR="0054528A" w:rsidRPr="0054528A">
        <w:rPr>
          <w:rStyle w:val="FootnoteReference"/>
          <w:i/>
          <w:iCs/>
        </w:rPr>
        <w:t xml:space="preserve"> </w:t>
      </w:r>
      <w:r w:rsidR="009F3007">
        <w:t>the target countrie</w:t>
      </w:r>
      <w:r w:rsidR="00F6161D">
        <w:t xml:space="preserve">s </w:t>
      </w:r>
      <w:r w:rsidR="009F3007">
        <w:t xml:space="preserve">were at different stages of INFF implementation at the end of the project. </w:t>
      </w:r>
      <w:r w:rsidR="00844786">
        <w:t>Bas</w:t>
      </w:r>
      <w:r w:rsidR="00980E5D">
        <w:t>e</w:t>
      </w:r>
      <w:r w:rsidR="00844786">
        <w:t xml:space="preserve">d on their </w:t>
      </w:r>
      <w:r w:rsidR="003543E1">
        <w:t xml:space="preserve">project engagement, however, they have all advanced beyond the baseline measures, which ranged from </w:t>
      </w:r>
      <w:r w:rsidR="0057168E">
        <w:t>undefined project activities</w:t>
      </w:r>
      <w:r w:rsidR="00B40357">
        <w:t xml:space="preserve"> to some evidence of required capacities. </w:t>
      </w:r>
      <w:r w:rsidR="00DB3997">
        <w:t>Brief e</w:t>
      </w:r>
      <w:r w:rsidR="00E11B47">
        <w:t xml:space="preserve">xamples of achieved results by region and target </w:t>
      </w:r>
      <w:r w:rsidR="00165C73">
        <w:t>country</w:t>
      </w:r>
      <w:r w:rsidR="00DB3997">
        <w:t xml:space="preserve"> are</w:t>
      </w:r>
      <w:r w:rsidR="00FB11FE">
        <w:t xml:space="preserve"> presented in the sub-Sections that follow: </w:t>
      </w:r>
    </w:p>
    <w:p w14:paraId="2FC704E4" w14:textId="420D51CE" w:rsidR="000F7BBD" w:rsidRDefault="008724C2" w:rsidP="005D5070">
      <w:pPr>
        <w:pStyle w:val="BodyText"/>
      </w:pPr>
      <w:r w:rsidRPr="008724C2">
        <w:rPr>
          <w:u w:val="single"/>
        </w:rPr>
        <w:t>Africa</w:t>
      </w:r>
      <w:r>
        <w:t>:</w:t>
      </w:r>
    </w:p>
    <w:p w14:paraId="26175C2E" w14:textId="77777777" w:rsidR="007A2EBF" w:rsidRDefault="00AA0559" w:rsidP="005D5070">
      <w:pPr>
        <w:pStyle w:val="BodyText"/>
      </w:pPr>
      <w:r>
        <w:t xml:space="preserve">In addition </w:t>
      </w:r>
      <w:r w:rsidR="00A22E2B">
        <w:t xml:space="preserve">to </w:t>
      </w:r>
      <w:r>
        <w:t xml:space="preserve">the online </w:t>
      </w:r>
      <w:r w:rsidR="00A22E2B">
        <w:t xml:space="preserve">training inception workshop, UNDESA facilitated three </w:t>
      </w:r>
      <w:r w:rsidR="00AC02ED">
        <w:t xml:space="preserve">regional </w:t>
      </w:r>
      <w:r w:rsidR="007A2EBF">
        <w:t>events:</w:t>
      </w:r>
    </w:p>
    <w:p w14:paraId="28249329" w14:textId="7CD1682D" w:rsidR="007A2EBF" w:rsidRPr="00C832F7" w:rsidRDefault="00226F1E" w:rsidP="003B672F">
      <w:pPr>
        <w:pStyle w:val="BodyText"/>
        <w:numPr>
          <w:ilvl w:val="0"/>
          <w:numId w:val="97"/>
        </w:numPr>
      </w:pPr>
      <w:hyperlink r:id="rId46" w:history="1">
        <w:r w:rsidRPr="00C832F7">
          <w:rPr>
            <w:rStyle w:val="Hyperlink"/>
            <w:rFonts w:cs="Arial"/>
            <w:szCs w:val="20"/>
          </w:rPr>
          <w:t>INFFs and Open Budgets for Sustainable Development in Africa</w:t>
        </w:r>
      </w:hyperlink>
      <w:r w:rsidR="00496B82">
        <w:rPr>
          <w:rFonts w:cs="Arial"/>
          <w:szCs w:val="20"/>
        </w:rPr>
        <w:t xml:space="preserve"> (September 2022</w:t>
      </w:r>
      <w:r w:rsidR="00506370">
        <w:rPr>
          <w:rFonts w:cs="Arial"/>
          <w:szCs w:val="20"/>
        </w:rPr>
        <w:t>, Abuja Nigeria</w:t>
      </w:r>
      <w:r w:rsidR="00496B82">
        <w:rPr>
          <w:rFonts w:cs="Arial"/>
          <w:szCs w:val="20"/>
        </w:rPr>
        <w:t>)</w:t>
      </w:r>
      <w:r w:rsidR="00506370">
        <w:rPr>
          <w:rFonts w:cs="Arial"/>
          <w:szCs w:val="20"/>
        </w:rPr>
        <w:t>;</w:t>
      </w:r>
    </w:p>
    <w:p w14:paraId="52EF2076" w14:textId="23EC20CE" w:rsidR="00226F1E" w:rsidRPr="00E36732" w:rsidRDefault="00E36732" w:rsidP="003B672F">
      <w:pPr>
        <w:pStyle w:val="BodyText"/>
        <w:numPr>
          <w:ilvl w:val="0"/>
          <w:numId w:val="97"/>
        </w:numPr>
        <w:rPr>
          <w:szCs w:val="20"/>
        </w:rPr>
      </w:pPr>
      <w:r w:rsidRPr="00E36732">
        <w:rPr>
          <w:rFonts w:cstheme="minorHAnsi"/>
          <w:szCs w:val="20"/>
        </w:rPr>
        <w:t>Regional Workshop on INFF</w:t>
      </w:r>
      <w:r w:rsidR="0082249A">
        <w:rPr>
          <w:rFonts w:cs="Arial"/>
          <w:szCs w:val="20"/>
        </w:rPr>
        <w:t xml:space="preserve">, </w:t>
      </w:r>
      <w:r w:rsidR="0082249A" w:rsidRPr="00E36732">
        <w:rPr>
          <w:rFonts w:cs="Arial"/>
          <w:szCs w:val="20"/>
        </w:rPr>
        <w:t>co-organised by UNECA; UNDP; and UNDESA</w:t>
      </w:r>
      <w:r w:rsidR="00C832F7" w:rsidRPr="00E36732">
        <w:rPr>
          <w:rFonts w:cs="Arial"/>
          <w:szCs w:val="20"/>
        </w:rPr>
        <w:t xml:space="preserve">, </w:t>
      </w:r>
      <w:r w:rsidR="0082249A">
        <w:rPr>
          <w:rFonts w:cs="Arial"/>
          <w:szCs w:val="20"/>
        </w:rPr>
        <w:t>(</w:t>
      </w:r>
      <w:r w:rsidR="0082249A" w:rsidRPr="00E36732">
        <w:rPr>
          <w:rFonts w:cs="Arial"/>
          <w:szCs w:val="20"/>
        </w:rPr>
        <w:t>June 2024</w:t>
      </w:r>
      <w:r w:rsidR="0082249A">
        <w:rPr>
          <w:rFonts w:cs="Arial"/>
          <w:szCs w:val="20"/>
        </w:rPr>
        <w:t>,</w:t>
      </w:r>
      <w:r w:rsidR="0082249A" w:rsidRPr="00E36732">
        <w:rPr>
          <w:rFonts w:cs="Arial"/>
          <w:szCs w:val="20"/>
        </w:rPr>
        <w:t xml:space="preserve"> </w:t>
      </w:r>
      <w:r w:rsidR="00C832F7" w:rsidRPr="00E36732">
        <w:rPr>
          <w:rFonts w:cs="Arial"/>
          <w:szCs w:val="20"/>
        </w:rPr>
        <w:t>Addis Aba</w:t>
      </w:r>
      <w:r w:rsidR="00287677" w:rsidRPr="00E36732">
        <w:rPr>
          <w:rFonts w:cs="Arial"/>
          <w:szCs w:val="20"/>
        </w:rPr>
        <w:t>da, Ethiopia</w:t>
      </w:r>
      <w:r w:rsidR="0082249A">
        <w:rPr>
          <w:rFonts w:cs="Arial"/>
          <w:szCs w:val="20"/>
        </w:rPr>
        <w:t>)</w:t>
      </w:r>
      <w:r>
        <w:rPr>
          <w:rFonts w:cs="Arial"/>
          <w:szCs w:val="20"/>
        </w:rPr>
        <w:t>;</w:t>
      </w:r>
      <w:r w:rsidR="0076742B">
        <w:rPr>
          <w:rFonts w:cs="Arial"/>
          <w:szCs w:val="20"/>
        </w:rPr>
        <w:t xml:space="preserve"> and</w:t>
      </w:r>
    </w:p>
    <w:p w14:paraId="6BEF3FD8" w14:textId="5BE8CE18" w:rsidR="0082249A" w:rsidRPr="0082249A" w:rsidRDefault="0082249A" w:rsidP="003B672F">
      <w:pPr>
        <w:pStyle w:val="BodyText"/>
        <w:numPr>
          <w:ilvl w:val="0"/>
          <w:numId w:val="97"/>
        </w:numPr>
        <w:ind w:right="210"/>
        <w:rPr>
          <w:rFonts w:cstheme="minorHAnsi"/>
        </w:rPr>
      </w:pPr>
      <w:r w:rsidRPr="0082249A">
        <w:rPr>
          <w:rFonts w:cstheme="minorHAnsi"/>
        </w:rPr>
        <w:t xml:space="preserve">INFF </w:t>
      </w:r>
      <w:r w:rsidR="00506370">
        <w:rPr>
          <w:rFonts w:cstheme="minorHAnsi"/>
        </w:rPr>
        <w:t>s</w:t>
      </w:r>
      <w:r w:rsidRPr="0082249A">
        <w:rPr>
          <w:rFonts w:cstheme="minorHAnsi"/>
        </w:rPr>
        <w:t xml:space="preserve">ide </w:t>
      </w:r>
      <w:r w:rsidR="00506370">
        <w:rPr>
          <w:rFonts w:cstheme="minorHAnsi"/>
        </w:rPr>
        <w:t>e</w:t>
      </w:r>
      <w:r w:rsidRPr="0082249A">
        <w:rPr>
          <w:rFonts w:cstheme="minorHAnsi"/>
        </w:rPr>
        <w:t xml:space="preserve">vent at the </w:t>
      </w:r>
      <w:hyperlink r:id="rId47" w:history="1">
        <w:r w:rsidRPr="00BE2C97">
          <w:rPr>
            <w:rStyle w:val="Hyperlink"/>
            <w:rFonts w:cstheme="minorHAnsi"/>
          </w:rPr>
          <w:t>Africa Regional Consultation on Financing for Development</w:t>
        </w:r>
      </w:hyperlink>
      <w:r w:rsidRPr="0082249A">
        <w:rPr>
          <w:rFonts w:cstheme="minorHAnsi"/>
        </w:rPr>
        <w:t xml:space="preserve"> (November 2024, Addis Ababa, Ethiopia)</w:t>
      </w:r>
    </w:p>
    <w:p w14:paraId="50DECF81" w14:textId="7198870A" w:rsidR="00A33097" w:rsidRDefault="0096189A" w:rsidP="005D5070">
      <w:pPr>
        <w:pStyle w:val="BodyText"/>
      </w:pPr>
      <w:r>
        <w:t>The events coincided with country-level technical support to Burkina Faso and Zambia</w:t>
      </w:r>
      <w:r w:rsidR="00915869">
        <w:t xml:space="preserve"> </w:t>
      </w:r>
      <w:r w:rsidR="00F6015E">
        <w:t>for t</w:t>
      </w:r>
      <w:r w:rsidR="00B31A5B">
        <w:t xml:space="preserve">he contextual </w:t>
      </w:r>
      <w:r w:rsidR="001C74DC">
        <w:t xml:space="preserve">application </w:t>
      </w:r>
      <w:r w:rsidR="00B31A5B">
        <w:t xml:space="preserve">of the INFF </w:t>
      </w:r>
      <w:r w:rsidR="001C74DC">
        <w:t>methodology</w:t>
      </w:r>
      <w:r>
        <w:t xml:space="preserve">. </w:t>
      </w:r>
    </w:p>
    <w:p w14:paraId="454B46B9" w14:textId="2DB76AAE" w:rsidR="0049699A" w:rsidRDefault="00E53EBF" w:rsidP="00BD061A">
      <w:pPr>
        <w:pStyle w:val="BodyText"/>
      </w:pPr>
      <w:r>
        <w:t>As</w:t>
      </w:r>
      <w:r w:rsidR="005829BA">
        <w:t xml:space="preserve"> a foll</w:t>
      </w:r>
      <w:r w:rsidR="00A83CA4">
        <w:t xml:space="preserve">ow up to the </w:t>
      </w:r>
      <w:r>
        <w:t xml:space="preserve">regional </w:t>
      </w:r>
      <w:r w:rsidR="00A83CA4">
        <w:t xml:space="preserve">inception </w:t>
      </w:r>
      <w:r>
        <w:t xml:space="preserve">workshop, </w:t>
      </w:r>
      <w:r w:rsidR="005A5A20">
        <w:t xml:space="preserve">the Government of </w:t>
      </w:r>
      <w:r w:rsidR="002A2CF1">
        <w:t>Burkina Faso</w:t>
      </w:r>
      <w:r w:rsidR="00D10C7C">
        <w:t>, through the</w:t>
      </w:r>
      <w:r w:rsidR="00D10C7C" w:rsidRPr="00D10C7C">
        <w:t xml:space="preserve"> </w:t>
      </w:r>
      <w:r w:rsidR="00D10C7C">
        <w:t>National INFF Steering Committee,</w:t>
      </w:r>
      <w:r w:rsidR="00114831">
        <w:t xml:space="preserve"> </w:t>
      </w:r>
      <w:r w:rsidR="002A2CF1">
        <w:t xml:space="preserve">led the </w:t>
      </w:r>
      <w:r w:rsidR="00AB5273">
        <w:t xml:space="preserve">completion and </w:t>
      </w:r>
      <w:r w:rsidR="00DB27D2">
        <w:t xml:space="preserve">validation of </w:t>
      </w:r>
      <w:r w:rsidR="00D10C7C">
        <w:t xml:space="preserve">a </w:t>
      </w:r>
      <w:r w:rsidR="00DB27D2">
        <w:t>Development Finance Assessment</w:t>
      </w:r>
      <w:r w:rsidR="00884F7B">
        <w:t xml:space="preserve"> (DFA)</w:t>
      </w:r>
      <w:r w:rsidR="00DB27D2">
        <w:t xml:space="preserve"> and </w:t>
      </w:r>
      <w:r w:rsidR="00AB5273">
        <w:t xml:space="preserve">the </w:t>
      </w:r>
      <w:r w:rsidR="00DB27D2">
        <w:t>INFF implem</w:t>
      </w:r>
      <w:r w:rsidR="00AB5273">
        <w:t>entation roadmap</w:t>
      </w:r>
      <w:r w:rsidR="00831AFA">
        <w:t xml:space="preserve"> in 2022</w:t>
      </w:r>
      <w:r w:rsidR="0054710F">
        <w:t xml:space="preserve">. The process </w:t>
      </w:r>
      <w:r w:rsidR="0039083D">
        <w:t xml:space="preserve">was complemented by </w:t>
      </w:r>
      <w:r w:rsidR="00084EBF">
        <w:t>a search for potential sources of funding</w:t>
      </w:r>
      <w:r w:rsidR="00541733">
        <w:t xml:space="preserve">, with a stated commitment by UNDP to provide </w:t>
      </w:r>
      <w:r w:rsidR="00E249EE">
        <w:t xml:space="preserve">financial support </w:t>
      </w:r>
      <w:r w:rsidR="00903ABB">
        <w:t>to</w:t>
      </w:r>
      <w:r w:rsidR="00E249EE">
        <w:t xml:space="preserve"> develop an INFF strategy</w:t>
      </w:r>
      <w:r w:rsidR="00D02402">
        <w:t>.</w:t>
      </w:r>
      <w:r w:rsidR="00D02402">
        <w:rPr>
          <w:rStyle w:val="FootnoteReference"/>
        </w:rPr>
        <w:footnoteReference w:id="156"/>
      </w:r>
      <w:r w:rsidR="003B4634">
        <w:t xml:space="preserve"> </w:t>
      </w:r>
      <w:r w:rsidR="005D273D">
        <w:t>G</w:t>
      </w:r>
      <w:r w:rsidR="00797D7D">
        <w:t>overnment</w:t>
      </w:r>
      <w:r w:rsidR="005D273D">
        <w:t xml:space="preserve"> MDAs</w:t>
      </w:r>
      <w:r w:rsidR="00E5370D">
        <w:t xml:space="preserve"> in Burkina Faso </w:t>
      </w:r>
      <w:r w:rsidR="00BB6290">
        <w:t>ha</w:t>
      </w:r>
      <w:r w:rsidR="005D273D">
        <w:t>ve</w:t>
      </w:r>
      <w:r w:rsidR="00BB6290">
        <w:t xml:space="preserve"> </w:t>
      </w:r>
      <w:r w:rsidR="00B02A85">
        <w:t xml:space="preserve">actively </w:t>
      </w:r>
      <w:r w:rsidR="00797D7D">
        <w:t>engage</w:t>
      </w:r>
      <w:r w:rsidR="00E5370D">
        <w:t>d</w:t>
      </w:r>
      <w:r w:rsidR="00797D7D">
        <w:t xml:space="preserve"> with </w:t>
      </w:r>
      <w:r w:rsidR="00734AC4">
        <w:t xml:space="preserve">UNECA to acquire ongoing </w:t>
      </w:r>
      <w:r w:rsidR="00642AC2">
        <w:t>support to</w:t>
      </w:r>
      <w:r w:rsidR="00734AC4">
        <w:t xml:space="preserve"> </w:t>
      </w:r>
      <w:r w:rsidR="000A0E06">
        <w:t xml:space="preserve">implement the INFF </w:t>
      </w:r>
      <w:r w:rsidR="00F05FBC">
        <w:t>building blocks</w:t>
      </w:r>
      <w:r w:rsidR="000A0E06">
        <w:t xml:space="preserve">. In April 2022, </w:t>
      </w:r>
      <w:r w:rsidR="007F7741">
        <w:t>with the support of a Technical Working Grou</w:t>
      </w:r>
      <w:r w:rsidR="00F379FF">
        <w:t xml:space="preserve">p, </w:t>
      </w:r>
      <w:r w:rsidR="00A548F0">
        <w:t>the National Institute of Statistics</w:t>
      </w:r>
      <w:r w:rsidR="00F379FF">
        <w:t xml:space="preserve"> </w:t>
      </w:r>
      <w:r w:rsidR="000933DD">
        <w:t xml:space="preserve">collaborated with </w:t>
      </w:r>
      <w:r w:rsidR="004039A0">
        <w:t xml:space="preserve">UNECA and UNCTAD </w:t>
      </w:r>
      <w:r w:rsidR="00642AC2">
        <w:t xml:space="preserve">to </w:t>
      </w:r>
      <w:r w:rsidR="00EE502C">
        <w:t>organise</w:t>
      </w:r>
      <w:r w:rsidR="005C27EA">
        <w:t xml:space="preserve"> a</w:t>
      </w:r>
      <w:r w:rsidR="00470854">
        <w:t>n applied data</w:t>
      </w:r>
      <w:r w:rsidR="00621F05">
        <w:t xml:space="preserve"> </w:t>
      </w:r>
      <w:r w:rsidR="009847B5">
        <w:t>workshop on trade ga</w:t>
      </w:r>
      <w:r w:rsidR="00470854">
        <w:t xml:space="preserve">p </w:t>
      </w:r>
      <w:r w:rsidR="00470854">
        <w:t>analysis.</w:t>
      </w:r>
      <w:r w:rsidR="00470854">
        <w:rPr>
          <w:rStyle w:val="FootnoteReference"/>
        </w:rPr>
        <w:footnoteReference w:id="157"/>
      </w:r>
      <w:r w:rsidR="00470854">
        <w:t xml:space="preserve"> </w:t>
      </w:r>
      <w:r w:rsidR="0049699A">
        <w:t>A</w:t>
      </w:r>
      <w:r w:rsidR="00E30080">
        <w:t>n</w:t>
      </w:r>
      <w:r w:rsidR="0049699A">
        <w:t xml:space="preserve"> additional w</w:t>
      </w:r>
      <w:r w:rsidR="00585074">
        <w:t xml:space="preserve">orkshop on </w:t>
      </w:r>
      <w:r w:rsidR="00570046">
        <w:t xml:space="preserve">illicit financial flows </w:t>
      </w:r>
      <w:r w:rsidR="0049699A">
        <w:t>(</w:t>
      </w:r>
      <w:r w:rsidR="00570046">
        <w:t>IFFs</w:t>
      </w:r>
      <w:r w:rsidR="0049699A">
        <w:t>)</w:t>
      </w:r>
      <w:r w:rsidR="00570046">
        <w:t xml:space="preserve"> in the e</w:t>
      </w:r>
      <w:r w:rsidR="00164EC3">
        <w:t xml:space="preserve">xtractive sector </w:t>
      </w:r>
      <w:r w:rsidR="0049699A">
        <w:t xml:space="preserve">was </w:t>
      </w:r>
      <w:r w:rsidR="00F379FF">
        <w:t>held</w:t>
      </w:r>
      <w:r w:rsidR="0049699A">
        <w:t xml:space="preserve"> in </w:t>
      </w:r>
      <w:r w:rsidR="00E65113">
        <w:t xml:space="preserve">February </w:t>
      </w:r>
      <w:r w:rsidR="0049699A">
        <w:t>2023</w:t>
      </w:r>
      <w:r w:rsidR="00E65113">
        <w:rPr>
          <w:rStyle w:val="FootnoteReference"/>
        </w:rPr>
        <w:footnoteReference w:id="158"/>
      </w:r>
      <w:r w:rsidR="008B0522">
        <w:t xml:space="preserve"> </w:t>
      </w:r>
      <w:r w:rsidR="00EF791D">
        <w:t xml:space="preserve">and </w:t>
      </w:r>
      <w:r w:rsidR="00B27BF7">
        <w:t xml:space="preserve">was used to inform </w:t>
      </w:r>
      <w:r w:rsidR="00EF791D">
        <w:t>a technical repo</w:t>
      </w:r>
      <w:r w:rsidR="009A7F3A">
        <w:t>r</w:t>
      </w:r>
      <w:r w:rsidR="00EF791D">
        <w:t xml:space="preserve">t </w:t>
      </w:r>
      <w:r w:rsidR="00CA2E71">
        <w:t xml:space="preserve">by </w:t>
      </w:r>
      <w:r w:rsidR="00CA2E71" w:rsidRPr="009A7F3A">
        <w:rPr>
          <w:szCs w:val="20"/>
        </w:rPr>
        <w:t>the</w:t>
      </w:r>
      <w:r w:rsidR="009A7F3A" w:rsidRPr="009A7F3A">
        <w:rPr>
          <w:rFonts w:cs="Arial"/>
          <w:szCs w:val="20"/>
        </w:rPr>
        <w:t xml:space="preserve"> Extractive Industries Transparency Initiative Department</w:t>
      </w:r>
      <w:r w:rsidR="00B30E17">
        <w:rPr>
          <w:rFonts w:cs="Arial"/>
          <w:szCs w:val="20"/>
        </w:rPr>
        <w:t xml:space="preserve"> </w:t>
      </w:r>
      <w:r w:rsidR="00EF791D">
        <w:t xml:space="preserve">on </w:t>
      </w:r>
      <w:r w:rsidR="00CA2E71">
        <w:t>IFFs.</w:t>
      </w:r>
      <w:r w:rsidR="000736ED">
        <w:rPr>
          <w:rStyle w:val="FootnoteReference"/>
        </w:rPr>
        <w:footnoteReference w:id="159"/>
      </w:r>
      <w:r w:rsidR="00CA2E71">
        <w:t xml:space="preserve"> </w:t>
      </w:r>
    </w:p>
    <w:p w14:paraId="32800561" w14:textId="1956683A" w:rsidR="0049699A" w:rsidRDefault="0029442C" w:rsidP="005D5070">
      <w:pPr>
        <w:pStyle w:val="BodyText"/>
      </w:pPr>
      <w:r>
        <w:t xml:space="preserve">In Zambia, </w:t>
      </w:r>
      <w:r w:rsidR="008C1743">
        <w:t xml:space="preserve">UNECA and </w:t>
      </w:r>
      <w:r w:rsidR="00375B75">
        <w:t>UNCTAD</w:t>
      </w:r>
      <w:r w:rsidR="008C1743">
        <w:t xml:space="preserve"> facilitated three workshops</w:t>
      </w:r>
      <w:r w:rsidR="00F426FD">
        <w:t xml:space="preserve"> to build the capacity of </w:t>
      </w:r>
      <w:r w:rsidR="00544A90">
        <w:t xml:space="preserve">counterpart MDAs in critical elements </w:t>
      </w:r>
      <w:r w:rsidR="00811495">
        <w:t>o</w:t>
      </w:r>
      <w:r w:rsidR="00544A90">
        <w:t>f INFF development and implementation:</w:t>
      </w:r>
    </w:p>
    <w:p w14:paraId="275ABB5F" w14:textId="5FE97798" w:rsidR="00544A90" w:rsidRPr="00A05F14" w:rsidRDefault="00E545AE" w:rsidP="003B672F">
      <w:pPr>
        <w:pStyle w:val="BodyText"/>
        <w:numPr>
          <w:ilvl w:val="0"/>
          <w:numId w:val="98"/>
        </w:numPr>
        <w:rPr>
          <w:szCs w:val="20"/>
        </w:rPr>
      </w:pPr>
      <w:hyperlink r:id="rId48" w:history="1">
        <w:r w:rsidRPr="00A05F14">
          <w:rPr>
            <w:rStyle w:val="Hyperlink"/>
            <w:rFonts w:cs="Arial"/>
            <w:szCs w:val="20"/>
          </w:rPr>
          <w:t>Capacity building workshop on domestic resource mobilization (DRM) and Illicit Financial Flows (IFF) in Zambia</w:t>
        </w:r>
      </w:hyperlink>
      <w:r w:rsidRPr="00A05F14">
        <w:rPr>
          <w:szCs w:val="20"/>
        </w:rPr>
        <w:t>, March 2022</w:t>
      </w:r>
      <w:r w:rsidR="002A250B" w:rsidRPr="00A05F14">
        <w:rPr>
          <w:szCs w:val="20"/>
        </w:rPr>
        <w:t>;</w:t>
      </w:r>
    </w:p>
    <w:p w14:paraId="1CF4AB38" w14:textId="7E19C477" w:rsidR="00E545AE" w:rsidRPr="00A05F14" w:rsidRDefault="002A250B" w:rsidP="003B672F">
      <w:pPr>
        <w:pStyle w:val="BodyText"/>
        <w:numPr>
          <w:ilvl w:val="0"/>
          <w:numId w:val="98"/>
        </w:numPr>
        <w:rPr>
          <w:szCs w:val="20"/>
        </w:rPr>
      </w:pPr>
      <w:hyperlink r:id="rId49" w:history="1">
        <w:r w:rsidRPr="00A05F14">
          <w:rPr>
            <w:rStyle w:val="Hyperlink"/>
            <w:rFonts w:cs="Arial"/>
            <w:szCs w:val="20"/>
          </w:rPr>
          <w:t>Workshop on impact investing in Zambia and corporate sustainability reporting for the implementation of SDGs in Africa</w:t>
        </w:r>
      </w:hyperlink>
      <w:r w:rsidRPr="00A05F14">
        <w:rPr>
          <w:szCs w:val="20"/>
        </w:rPr>
        <w:t>, March 2023; and</w:t>
      </w:r>
    </w:p>
    <w:p w14:paraId="4D45346A" w14:textId="38D0EA2A" w:rsidR="002A250B" w:rsidRDefault="00645C47" w:rsidP="003B672F">
      <w:pPr>
        <w:pStyle w:val="BodyText"/>
        <w:numPr>
          <w:ilvl w:val="0"/>
          <w:numId w:val="98"/>
        </w:numPr>
        <w:rPr>
          <w:szCs w:val="20"/>
        </w:rPr>
      </w:pPr>
      <w:hyperlink r:id="rId50" w:history="1">
        <w:r w:rsidRPr="00A05F14">
          <w:rPr>
            <w:rStyle w:val="Hyperlink"/>
            <w:rFonts w:cs="Arial"/>
            <w:szCs w:val="20"/>
          </w:rPr>
          <w:t>Capacity-Building Workshops on Public-Private Partnerships (PPP) in Zambia</w:t>
        </w:r>
      </w:hyperlink>
      <w:r w:rsidR="00E504DA" w:rsidRPr="00A05F14">
        <w:rPr>
          <w:szCs w:val="20"/>
        </w:rPr>
        <w:t>, February 2024</w:t>
      </w:r>
      <w:r w:rsidR="00A05F14" w:rsidRPr="00A05F14">
        <w:rPr>
          <w:szCs w:val="20"/>
        </w:rPr>
        <w:t>.</w:t>
      </w:r>
    </w:p>
    <w:p w14:paraId="56D4C897" w14:textId="77777777" w:rsidR="00355D79" w:rsidRDefault="00355D79" w:rsidP="00355D79">
      <w:pPr>
        <w:pStyle w:val="BodyText"/>
        <w:jc w:val="right"/>
      </w:pPr>
      <w:r>
        <w:t>Source: Final project report, March 2025.</w:t>
      </w:r>
    </w:p>
    <w:p w14:paraId="081B7467" w14:textId="78361A67" w:rsidR="008A014B" w:rsidRDefault="00E84546" w:rsidP="00A05F14">
      <w:pPr>
        <w:pStyle w:val="BodyText"/>
      </w:pPr>
      <w:r>
        <w:t xml:space="preserve">UNECA also developed </w:t>
      </w:r>
      <w:r w:rsidR="00F37E9A">
        <w:t>several guidance documents</w:t>
      </w:r>
      <w:r w:rsidR="002439C6">
        <w:t xml:space="preserve"> </w:t>
      </w:r>
      <w:r w:rsidR="005D494C">
        <w:t xml:space="preserve">with the support of </w:t>
      </w:r>
      <w:r w:rsidR="008A014B">
        <w:t>MDAs</w:t>
      </w:r>
      <w:r w:rsidR="002439C6">
        <w:t xml:space="preserve"> in Zambia</w:t>
      </w:r>
      <w:r w:rsidR="008A014B">
        <w:t xml:space="preserve"> to inform the INFF process in </w:t>
      </w:r>
      <w:r w:rsidR="002439C6">
        <w:t>the country</w:t>
      </w:r>
      <w:r w:rsidR="008A014B">
        <w:t>:</w:t>
      </w:r>
    </w:p>
    <w:p w14:paraId="1AE3455A" w14:textId="5B83A40B" w:rsidR="00E504DA" w:rsidRPr="001403F7" w:rsidRDefault="008A014B" w:rsidP="003B672F">
      <w:pPr>
        <w:pStyle w:val="BodyText"/>
        <w:numPr>
          <w:ilvl w:val="0"/>
          <w:numId w:val="99"/>
        </w:numPr>
        <w:spacing w:before="0" w:after="60"/>
        <w:ind w:left="714" w:hanging="357"/>
        <w:rPr>
          <w:szCs w:val="20"/>
        </w:rPr>
      </w:pPr>
      <w:hyperlink r:id="rId51" w:history="1">
        <w:r w:rsidRPr="001403F7">
          <w:rPr>
            <w:rStyle w:val="Hyperlink"/>
            <w:rFonts w:cs="Arial"/>
            <w:szCs w:val="20"/>
          </w:rPr>
          <w:t>Infrastructure Public-Private Partnership Diagnostic Study Report on Zambia</w:t>
        </w:r>
      </w:hyperlink>
      <w:r w:rsidR="00B9712C" w:rsidRPr="001403F7">
        <w:rPr>
          <w:szCs w:val="20"/>
        </w:rPr>
        <w:t>,</w:t>
      </w:r>
      <w:r w:rsidR="00606795" w:rsidRPr="001403F7">
        <w:rPr>
          <w:szCs w:val="20"/>
        </w:rPr>
        <w:t xml:space="preserve"> February 2023</w:t>
      </w:r>
    </w:p>
    <w:p w14:paraId="24551522" w14:textId="4C9CEA85" w:rsidR="00606795" w:rsidRPr="001403F7" w:rsidRDefault="00606795" w:rsidP="003B672F">
      <w:pPr>
        <w:pStyle w:val="BodyText"/>
        <w:numPr>
          <w:ilvl w:val="0"/>
          <w:numId w:val="99"/>
        </w:numPr>
        <w:spacing w:before="0" w:after="60"/>
        <w:ind w:left="714" w:hanging="357"/>
        <w:rPr>
          <w:szCs w:val="20"/>
        </w:rPr>
      </w:pPr>
      <w:hyperlink r:id="rId52" w:history="1">
        <w:r w:rsidRPr="001403F7">
          <w:rPr>
            <w:rStyle w:val="Hyperlink"/>
            <w:szCs w:val="20"/>
            <w:lang w:eastAsia="en-CA"/>
          </w:rPr>
          <w:t>Enhanced Domestic Resource Mobilisation in Zambia</w:t>
        </w:r>
      </w:hyperlink>
      <w:r w:rsidRPr="001403F7">
        <w:rPr>
          <w:szCs w:val="20"/>
          <w:lang w:eastAsia="en-CA"/>
        </w:rPr>
        <w:t>,</w:t>
      </w:r>
      <w:r w:rsidR="00612EDF" w:rsidRPr="001403F7">
        <w:rPr>
          <w:szCs w:val="20"/>
          <w:lang w:eastAsia="en-CA"/>
        </w:rPr>
        <w:t xml:space="preserve"> 2024 (</w:t>
      </w:r>
      <w:r w:rsidRPr="001403F7">
        <w:rPr>
          <w:szCs w:val="20"/>
          <w:lang w:eastAsia="en-CA"/>
        </w:rPr>
        <w:t>in collaboration with the Ministry of Finance and National Planning, to support post-COVID-19 recover</w:t>
      </w:r>
      <w:r w:rsidR="00B24E35" w:rsidRPr="001403F7">
        <w:rPr>
          <w:szCs w:val="20"/>
          <w:lang w:eastAsia="en-CA"/>
        </w:rPr>
        <w:t>y);</w:t>
      </w:r>
      <w:r w:rsidR="0096130F">
        <w:rPr>
          <w:szCs w:val="20"/>
          <w:lang w:eastAsia="en-CA"/>
        </w:rPr>
        <w:t xml:space="preserve"> and</w:t>
      </w:r>
    </w:p>
    <w:p w14:paraId="3285D6A2" w14:textId="77777777" w:rsidR="00B24E35" w:rsidRPr="001403F7" w:rsidRDefault="00B24E35" w:rsidP="003B672F">
      <w:pPr>
        <w:pStyle w:val="ListParagraph"/>
        <w:numPr>
          <w:ilvl w:val="0"/>
          <w:numId w:val="99"/>
        </w:numPr>
        <w:spacing w:after="60"/>
        <w:ind w:left="714" w:hanging="357"/>
        <w:contextualSpacing w:val="0"/>
        <w:rPr>
          <w:lang w:eastAsia="en-CA"/>
        </w:rPr>
      </w:pPr>
      <w:r w:rsidRPr="001403F7">
        <w:rPr>
          <w:lang w:eastAsia="en-CA"/>
        </w:rPr>
        <w:t xml:space="preserve">A </w:t>
      </w:r>
      <w:r w:rsidRPr="001403F7">
        <w:rPr>
          <w:rFonts w:cs="Arial"/>
        </w:rPr>
        <w:t>Handbook on innovative finance for promoting inclusive industrialization and private sector development in Zambia in 2024</w:t>
      </w:r>
    </w:p>
    <w:p w14:paraId="1B4462A7" w14:textId="77777777" w:rsidR="00355D79" w:rsidRDefault="00355D79" w:rsidP="00355D79">
      <w:pPr>
        <w:pStyle w:val="BodyText"/>
        <w:jc w:val="right"/>
      </w:pPr>
      <w:r>
        <w:t>Source: Final project report, March 2025.</w:t>
      </w:r>
    </w:p>
    <w:p w14:paraId="1B4D05DD" w14:textId="3134A46C" w:rsidR="00B9712C" w:rsidRPr="001403F7" w:rsidRDefault="001403F7" w:rsidP="00B9712C">
      <w:pPr>
        <w:pStyle w:val="BodyText"/>
        <w:rPr>
          <w:szCs w:val="20"/>
        </w:rPr>
      </w:pPr>
      <w:r w:rsidRPr="001403F7">
        <w:rPr>
          <w:szCs w:val="20"/>
        </w:rPr>
        <w:t>A t</w:t>
      </w:r>
      <w:r w:rsidR="00B9712C" w:rsidRPr="001403F7">
        <w:rPr>
          <w:szCs w:val="20"/>
          <w:lang w:eastAsia="en-CA"/>
        </w:rPr>
        <w:t xml:space="preserve">echnical partnership between UNECA and Zambia </w:t>
      </w:r>
      <w:r w:rsidRPr="001403F7">
        <w:rPr>
          <w:szCs w:val="20"/>
          <w:lang w:eastAsia="en-CA"/>
        </w:rPr>
        <w:t xml:space="preserve">also </w:t>
      </w:r>
      <w:r w:rsidR="00B9712C" w:rsidRPr="001403F7">
        <w:rPr>
          <w:szCs w:val="20"/>
          <w:lang w:eastAsia="en-CA"/>
        </w:rPr>
        <w:t xml:space="preserve">led to a Joint SDG Fund project, </w:t>
      </w:r>
      <w:hyperlink r:id="rId53" w:history="1">
        <w:r w:rsidR="00B9712C" w:rsidRPr="001403F7">
          <w:rPr>
            <w:rStyle w:val="Hyperlink"/>
            <w:rFonts w:cs="Arial"/>
            <w:szCs w:val="20"/>
          </w:rPr>
          <w:t>Zambia’s Integrated Financing Framework for Sustainable Development</w:t>
        </w:r>
      </w:hyperlink>
      <w:r w:rsidR="004E74A7">
        <w:rPr>
          <w:szCs w:val="20"/>
        </w:rPr>
        <w:t>.</w:t>
      </w:r>
    </w:p>
    <w:p w14:paraId="755753E5" w14:textId="188369CA" w:rsidR="00E76E1D" w:rsidRDefault="008B1455" w:rsidP="008B1455">
      <w:pPr>
        <w:jc w:val="both"/>
      </w:pPr>
      <w:r>
        <w:lastRenderedPageBreak/>
        <w:t xml:space="preserve">In line with the INFF </w:t>
      </w:r>
      <w:r w:rsidR="00F05FBC">
        <w:t>building blocks</w:t>
      </w:r>
      <w:r>
        <w:t xml:space="preserve"> methodology, Burkina Faso and Zambia have </w:t>
      </w:r>
      <w:r w:rsidR="00157AFB">
        <w:t xml:space="preserve">engaged in </w:t>
      </w:r>
      <w:r>
        <w:t xml:space="preserve">activities under </w:t>
      </w:r>
      <w:r w:rsidR="005A6132">
        <w:t xml:space="preserve">the </w:t>
      </w:r>
      <w:r>
        <w:t>Inception</w:t>
      </w:r>
      <w:r w:rsidR="00C60C07">
        <w:t xml:space="preserve"> Stage</w:t>
      </w:r>
      <w:r>
        <w:t xml:space="preserve"> and Building Block </w:t>
      </w:r>
      <w:r w:rsidR="00C60C07">
        <w:t>1</w:t>
      </w:r>
      <w:r>
        <w:t xml:space="preserve">: Assessment and Diagnostics. </w:t>
      </w:r>
      <w:r w:rsidR="000156C0">
        <w:t xml:space="preserve">Both countries have completed a </w:t>
      </w:r>
      <w:r w:rsidR="001F44ED">
        <w:t>DFA</w:t>
      </w:r>
      <w:r w:rsidR="00CC04CA">
        <w:t xml:space="preserve"> (Burkina Faso, 2022; Zambia, 2023), </w:t>
      </w:r>
      <w:r w:rsidR="00B97D67">
        <w:t xml:space="preserve">involving </w:t>
      </w:r>
      <w:r w:rsidR="00E41042">
        <w:t>t</w:t>
      </w:r>
      <w:r w:rsidR="00B97D67">
        <w:t>he assessmen</w:t>
      </w:r>
      <w:r w:rsidR="00EB1F86">
        <w:t>t of their financing needs for INFF implementation</w:t>
      </w:r>
      <w:r w:rsidR="00523695">
        <w:t xml:space="preserve">, as well as the identification of </w:t>
      </w:r>
      <w:r w:rsidR="00CA6592">
        <w:t xml:space="preserve">sources </w:t>
      </w:r>
      <w:r w:rsidR="00E05766">
        <w:t>of funding</w:t>
      </w:r>
      <w:r w:rsidR="00976DB5">
        <w:t xml:space="preserve">. To the extent that </w:t>
      </w:r>
      <w:r w:rsidR="00AC0881">
        <w:t>Burkina Faso has established a National INFF Steering Committee, it has</w:t>
      </w:r>
      <w:r w:rsidR="00760E48">
        <w:t xml:space="preserve"> also</w:t>
      </w:r>
      <w:r w:rsidR="00AC0881">
        <w:t xml:space="preserve"> made an initial contribution towards Building Block 4: Governance and Coordination</w:t>
      </w:r>
      <w:r w:rsidR="000F0FC2">
        <w:t xml:space="preserve">, </w:t>
      </w:r>
      <w:r w:rsidR="009D3B11">
        <w:t>in relation to the joint development and implementation of the</w:t>
      </w:r>
      <w:r w:rsidR="00FC5301">
        <w:t xml:space="preserve"> </w:t>
      </w:r>
      <w:r w:rsidR="009D3B11">
        <w:t>INFF.</w:t>
      </w:r>
      <w:r w:rsidR="00E76E1D">
        <w:t xml:space="preserve"> </w:t>
      </w:r>
    </w:p>
    <w:p w14:paraId="754DDAA6" w14:textId="09C27F1F" w:rsidR="008724C2" w:rsidRDefault="008724C2" w:rsidP="005D5070">
      <w:pPr>
        <w:pStyle w:val="BodyText"/>
      </w:pPr>
      <w:r w:rsidRPr="008724C2">
        <w:rPr>
          <w:u w:val="single"/>
        </w:rPr>
        <w:t>Asia and the Pacific</w:t>
      </w:r>
      <w:r>
        <w:t>:</w:t>
      </w:r>
    </w:p>
    <w:p w14:paraId="2FC94F71" w14:textId="634A87C3" w:rsidR="002804E7" w:rsidRDefault="002804E7" w:rsidP="005D5070">
      <w:pPr>
        <w:pStyle w:val="BodyText"/>
      </w:pPr>
      <w:r>
        <w:t xml:space="preserve">UNESCAP organised two </w:t>
      </w:r>
      <w:r w:rsidR="009642A0">
        <w:t xml:space="preserve">regional </w:t>
      </w:r>
      <w:r>
        <w:t>events in 2021 and 2023</w:t>
      </w:r>
      <w:r w:rsidR="00E16493">
        <w:t xml:space="preserve">. </w:t>
      </w:r>
    </w:p>
    <w:p w14:paraId="7144D755" w14:textId="0A459D99" w:rsidR="00F03741" w:rsidRDefault="00F03741" w:rsidP="003B672F">
      <w:pPr>
        <w:pStyle w:val="BodyText"/>
        <w:numPr>
          <w:ilvl w:val="0"/>
          <w:numId w:val="100"/>
        </w:numPr>
      </w:pPr>
      <w:hyperlink r:id="rId54" w:history="1">
        <w:r w:rsidRPr="0006107C">
          <w:rPr>
            <w:rStyle w:val="Hyperlink"/>
            <w:rFonts w:cs="Arial"/>
            <w:szCs w:val="20"/>
          </w:rPr>
          <w:t>INFFs and the alignment of SDG planning and budgeting</w:t>
        </w:r>
      </w:hyperlink>
      <w:r w:rsidRPr="0006107C">
        <w:rPr>
          <w:szCs w:val="20"/>
        </w:rPr>
        <w:t>, March 2021</w:t>
      </w:r>
      <w:r>
        <w:rPr>
          <w:szCs w:val="20"/>
        </w:rPr>
        <w:t xml:space="preserve"> (co-organised with </w:t>
      </w:r>
      <w:r>
        <w:t>UNITAR; UNDP; and UNDESA); and</w:t>
      </w:r>
    </w:p>
    <w:p w14:paraId="59DC6E98" w14:textId="3A82961A" w:rsidR="00F03741" w:rsidRDefault="00F03741" w:rsidP="003B672F">
      <w:pPr>
        <w:pStyle w:val="BodyText"/>
        <w:numPr>
          <w:ilvl w:val="0"/>
          <w:numId w:val="100"/>
        </w:numPr>
      </w:pPr>
      <w:hyperlink r:id="rId55" w:history="1">
        <w:r w:rsidRPr="0006107C">
          <w:rPr>
            <w:rStyle w:val="Hyperlink"/>
            <w:rFonts w:cstheme="minorHAnsi"/>
            <w:szCs w:val="20"/>
          </w:rPr>
          <w:t>Financing Sustainable Development in Asia-Pacific Region in times of Volatility and Uncertainties</w:t>
        </w:r>
      </w:hyperlink>
      <w:r>
        <w:rPr>
          <w:szCs w:val="20"/>
        </w:rPr>
        <w:t>, June 2023 (</w:t>
      </w:r>
      <w:r w:rsidRPr="0006107C">
        <w:rPr>
          <w:rFonts w:cstheme="minorHAnsi"/>
          <w:szCs w:val="20"/>
        </w:rPr>
        <w:t>co-organised with UNDP; UNDESA; the EU and the INFF Facility</w:t>
      </w:r>
      <w:r>
        <w:rPr>
          <w:rFonts w:cstheme="minorHAnsi"/>
          <w:szCs w:val="20"/>
        </w:rPr>
        <w:t>)</w:t>
      </w:r>
    </w:p>
    <w:p w14:paraId="67F8209C" w14:textId="77777777" w:rsidR="00355D79" w:rsidRDefault="00355D79" w:rsidP="00355D79">
      <w:pPr>
        <w:pStyle w:val="BodyText"/>
        <w:jc w:val="right"/>
      </w:pPr>
      <w:r>
        <w:t>Source: Final project report, March 2025.</w:t>
      </w:r>
    </w:p>
    <w:p w14:paraId="74803D9A" w14:textId="50CFA8CB" w:rsidR="002804E7" w:rsidRDefault="00F03741" w:rsidP="005D5070">
      <w:pPr>
        <w:pStyle w:val="BodyText"/>
      </w:pPr>
      <w:r>
        <w:t xml:space="preserve">At the country level, </w:t>
      </w:r>
      <w:r w:rsidR="00527DCA">
        <w:t xml:space="preserve">as stakeholders in Pakistan </w:t>
      </w:r>
      <w:r w:rsidR="009C4B33">
        <w:t xml:space="preserve">did not have </w:t>
      </w:r>
      <w:r w:rsidR="00527DCA">
        <w:t xml:space="preserve">prior knowledge about INFFs at project baseline, </w:t>
      </w:r>
      <w:r w:rsidR="00527DCA" w:rsidRPr="00395BC7">
        <w:rPr>
          <w:szCs w:val="20"/>
        </w:rPr>
        <w:t xml:space="preserve">UNESCAP </w:t>
      </w:r>
      <w:r w:rsidR="00527DCA">
        <w:rPr>
          <w:szCs w:val="20"/>
        </w:rPr>
        <w:t xml:space="preserve">also conducted </w:t>
      </w:r>
      <w:r w:rsidR="00527DCA" w:rsidRPr="00395BC7">
        <w:rPr>
          <w:szCs w:val="20"/>
        </w:rPr>
        <w:t xml:space="preserve">an </w:t>
      </w:r>
      <w:r w:rsidR="00527DCA">
        <w:rPr>
          <w:szCs w:val="20"/>
        </w:rPr>
        <w:t xml:space="preserve">in-country </w:t>
      </w:r>
      <w:r w:rsidR="00527DCA" w:rsidRPr="00395BC7">
        <w:rPr>
          <w:szCs w:val="20"/>
        </w:rPr>
        <w:t>inception workshop in December 2022</w:t>
      </w:r>
      <w:r w:rsidR="00527DCA">
        <w:rPr>
          <w:szCs w:val="20"/>
        </w:rPr>
        <w:t xml:space="preserve"> that built on the regional workshop.</w:t>
      </w:r>
      <w:r w:rsidR="00527DCA">
        <w:rPr>
          <w:rStyle w:val="FootnoteReference"/>
          <w:szCs w:val="20"/>
        </w:rPr>
        <w:footnoteReference w:id="160"/>
      </w:r>
      <w:r w:rsidR="00527DCA">
        <w:rPr>
          <w:szCs w:val="20"/>
        </w:rPr>
        <w:t xml:space="preserve"> It was used to</w:t>
      </w:r>
      <w:r w:rsidR="00527DCA" w:rsidRPr="00395BC7">
        <w:rPr>
          <w:szCs w:val="20"/>
        </w:rPr>
        <w:t xml:space="preserve"> engage </w:t>
      </w:r>
      <w:r w:rsidR="00527DCA">
        <w:rPr>
          <w:szCs w:val="20"/>
        </w:rPr>
        <w:t xml:space="preserve">counterpart MDAs </w:t>
      </w:r>
      <w:r w:rsidR="00527DCA" w:rsidRPr="00395BC7">
        <w:rPr>
          <w:szCs w:val="20"/>
        </w:rPr>
        <w:t>in a discussion on the elements of the INFF methodology that could be prioritised for implementation</w:t>
      </w:r>
      <w:r w:rsidR="00527DCA">
        <w:rPr>
          <w:szCs w:val="20"/>
        </w:rPr>
        <w:t>.</w:t>
      </w:r>
      <w:r w:rsidR="00527DCA" w:rsidRPr="00527DCA">
        <w:rPr>
          <w:szCs w:val="20"/>
        </w:rPr>
        <w:t xml:space="preserve"> </w:t>
      </w:r>
      <w:r w:rsidR="00527DCA" w:rsidRPr="00395BC7">
        <w:rPr>
          <w:szCs w:val="20"/>
        </w:rPr>
        <w:t>The</w:t>
      </w:r>
      <w:r w:rsidR="00527DCA">
        <w:rPr>
          <w:szCs w:val="20"/>
        </w:rPr>
        <w:t>re was a</w:t>
      </w:r>
      <w:r w:rsidR="00527DCA" w:rsidRPr="00395BC7">
        <w:rPr>
          <w:szCs w:val="20"/>
        </w:rPr>
        <w:t xml:space="preserve"> focus on </w:t>
      </w:r>
      <w:r w:rsidR="00527DCA">
        <w:rPr>
          <w:szCs w:val="20"/>
        </w:rPr>
        <w:t xml:space="preserve">the strengthening of </w:t>
      </w:r>
      <w:r w:rsidR="00527DCA" w:rsidRPr="00395BC7">
        <w:rPr>
          <w:szCs w:val="20"/>
        </w:rPr>
        <w:t>national financial policies</w:t>
      </w:r>
      <w:r w:rsidR="00527DCA">
        <w:rPr>
          <w:szCs w:val="20"/>
        </w:rPr>
        <w:t xml:space="preserve"> to facilitate national contributions to the SDGs.</w:t>
      </w:r>
      <w:r w:rsidR="00527DCA">
        <w:rPr>
          <w:rStyle w:val="FootnoteReference"/>
          <w:szCs w:val="20"/>
        </w:rPr>
        <w:footnoteReference w:id="161"/>
      </w:r>
    </w:p>
    <w:p w14:paraId="6F2F25FA" w14:textId="7DD46558" w:rsidR="00BB2C13" w:rsidRDefault="0048043B" w:rsidP="00BB2C13">
      <w:pPr>
        <w:pStyle w:val="BodyText"/>
      </w:pPr>
      <w:r>
        <w:t xml:space="preserve">Further to the regional workshops, </w:t>
      </w:r>
      <w:r w:rsidR="00BB2C13">
        <w:t xml:space="preserve">UNESCAP received a </w:t>
      </w:r>
      <w:r w:rsidR="00046806">
        <w:t xml:space="preserve">follow-up </w:t>
      </w:r>
      <w:r w:rsidR="00BB2C13">
        <w:t>request from the Pakistan Federal Board of Revenue (FBR)</w:t>
      </w:r>
      <w:r w:rsidR="00046806">
        <w:t xml:space="preserve">, </w:t>
      </w:r>
      <w:r>
        <w:t>for technical</w:t>
      </w:r>
      <w:r w:rsidR="00891C1E">
        <w:t xml:space="preserve"> support</w:t>
      </w:r>
      <w:r>
        <w:t xml:space="preserve"> </w:t>
      </w:r>
      <w:r w:rsidR="00BB2C13">
        <w:t>to strengthen the national taxation system</w:t>
      </w:r>
      <w:r w:rsidR="00AD360B">
        <w:t>, with</w:t>
      </w:r>
      <w:r w:rsidR="00640B6D">
        <w:t xml:space="preserve"> a focus</w:t>
      </w:r>
      <w:r w:rsidR="000C327B">
        <w:t xml:space="preserve"> on digitalisation</w:t>
      </w:r>
      <w:r w:rsidR="00597C10">
        <w:t xml:space="preserve">. </w:t>
      </w:r>
      <w:r w:rsidR="00D4643D">
        <w:t>FBR identified four interven</w:t>
      </w:r>
      <w:r w:rsidR="00ED5E12">
        <w:t>t</w:t>
      </w:r>
      <w:r w:rsidR="00D4643D">
        <w:t>ion areas:</w:t>
      </w:r>
      <w:r w:rsidR="00BB2C13">
        <w:t xml:space="preserve"> </w:t>
      </w:r>
      <w:r w:rsidR="00A72203">
        <w:t>i</w:t>
      </w:r>
      <w:r w:rsidR="00BB2C13">
        <w:t xml:space="preserve">) e-invoicing; </w:t>
      </w:r>
      <w:r w:rsidR="00A72203">
        <w:t>ii</w:t>
      </w:r>
      <w:r w:rsidR="00BB2C13">
        <w:t xml:space="preserve">) e-withholding taxes; </w:t>
      </w:r>
      <w:r w:rsidR="00A72203">
        <w:t>iii</w:t>
      </w:r>
      <w:r w:rsidR="00BB2C13">
        <w:t xml:space="preserve">) point-of-sale-systems; and </w:t>
      </w:r>
      <w:r w:rsidR="00A72203">
        <w:t>iv</w:t>
      </w:r>
      <w:r w:rsidR="00BB2C13">
        <w:t>) track-and-trace systems.</w:t>
      </w:r>
      <w:r w:rsidR="00BB2C13">
        <w:rPr>
          <w:rStyle w:val="FootnoteReference"/>
        </w:rPr>
        <w:footnoteReference w:id="162"/>
      </w:r>
      <w:r w:rsidR="00BB2C13">
        <w:t xml:space="preserve"> The FBR request was </w:t>
      </w:r>
      <w:r w:rsidR="007C6EF4">
        <w:t xml:space="preserve">informed by </w:t>
      </w:r>
      <w:r w:rsidR="00BB2C13">
        <w:t xml:space="preserve">a recognition of the </w:t>
      </w:r>
      <w:r w:rsidR="007C6EF4">
        <w:t xml:space="preserve">role of </w:t>
      </w:r>
      <w:r w:rsidR="00BB2C13">
        <w:t xml:space="preserve">improved tax compliance </w:t>
      </w:r>
      <w:r w:rsidR="007C6EF4">
        <w:t xml:space="preserve">for </w:t>
      </w:r>
      <w:r w:rsidR="00BB2C13">
        <w:t xml:space="preserve">increased tax revenues in Pakistan. </w:t>
      </w:r>
    </w:p>
    <w:p w14:paraId="7ED0C8D9" w14:textId="3E7EE472" w:rsidR="00BB2C13" w:rsidRDefault="00BB2C13" w:rsidP="00BB2C13">
      <w:pPr>
        <w:pStyle w:val="BodyText"/>
      </w:pPr>
      <w:r>
        <w:t>UNESCAP organised three technical workshops in Pakistan, and developed guidance material to inform the digitalisation of the taxation system:</w:t>
      </w:r>
    </w:p>
    <w:p w14:paraId="2AB635BA" w14:textId="70168AB0" w:rsidR="00BB2C13" w:rsidRPr="00F7383E" w:rsidRDefault="00BB2C13" w:rsidP="003B672F">
      <w:pPr>
        <w:pStyle w:val="BodyText"/>
        <w:numPr>
          <w:ilvl w:val="0"/>
          <w:numId w:val="95"/>
        </w:numPr>
        <w:ind w:left="714" w:hanging="357"/>
        <w:rPr>
          <w:szCs w:val="20"/>
        </w:rPr>
      </w:pPr>
      <w:hyperlink r:id="rId56" w:history="1">
        <w:r w:rsidRPr="00F7383E">
          <w:rPr>
            <w:rStyle w:val="Hyperlink"/>
            <w:rFonts w:cs="Arial"/>
            <w:szCs w:val="20"/>
          </w:rPr>
          <w:t>International conference on digitalization of taxes in Pakistan</w:t>
        </w:r>
      </w:hyperlink>
      <w:r w:rsidR="00324FBC">
        <w:t>, June 2023</w:t>
      </w:r>
    </w:p>
    <w:p w14:paraId="2B37F504" w14:textId="5B655153" w:rsidR="00BB2C13" w:rsidRPr="00F7383E" w:rsidRDefault="00BB2C13" w:rsidP="003B672F">
      <w:pPr>
        <w:pStyle w:val="BodyText"/>
        <w:numPr>
          <w:ilvl w:val="0"/>
          <w:numId w:val="95"/>
        </w:numPr>
        <w:ind w:left="714" w:hanging="357"/>
        <w:rPr>
          <w:szCs w:val="20"/>
        </w:rPr>
      </w:pPr>
      <w:hyperlink r:id="rId57" w:history="1">
        <w:r w:rsidRPr="00F7383E">
          <w:rPr>
            <w:rStyle w:val="Hyperlink"/>
            <w:rFonts w:cs="Arial"/>
            <w:szCs w:val="20"/>
          </w:rPr>
          <w:t>Capacity Building Workshop on Data Analytic Tools to Enhance Tax Compliance through E-invoicing, Track and Trace Systems, E-withholding taxes, and POS Systems</w:t>
        </w:r>
      </w:hyperlink>
      <w:r w:rsidR="00324FBC">
        <w:t>, October 2023</w:t>
      </w:r>
      <w:r w:rsidRPr="00F7383E">
        <w:rPr>
          <w:szCs w:val="20"/>
        </w:rPr>
        <w:t>;</w:t>
      </w:r>
    </w:p>
    <w:p w14:paraId="1CBF6921" w14:textId="53957F0E" w:rsidR="00BB2C13" w:rsidRPr="00F7383E" w:rsidRDefault="00BB2C13" w:rsidP="003B672F">
      <w:pPr>
        <w:pStyle w:val="BodyText"/>
        <w:numPr>
          <w:ilvl w:val="0"/>
          <w:numId w:val="95"/>
        </w:numPr>
        <w:ind w:left="714" w:hanging="357"/>
        <w:rPr>
          <w:szCs w:val="20"/>
        </w:rPr>
      </w:pPr>
      <w:hyperlink r:id="rId58" w:history="1">
        <w:r w:rsidRPr="00F7383E">
          <w:rPr>
            <w:rStyle w:val="Hyperlink"/>
            <w:rFonts w:cstheme="minorHAnsi"/>
            <w:szCs w:val="20"/>
          </w:rPr>
          <w:t>Training Workshop on Public Finance for SDGs in Pakistan: An Integrated National Financing Framework Approach</w:t>
        </w:r>
      </w:hyperlink>
      <w:r w:rsidR="00324FBC">
        <w:t>, February 2024</w:t>
      </w:r>
      <w:r w:rsidRPr="00F7383E">
        <w:rPr>
          <w:szCs w:val="20"/>
        </w:rPr>
        <w:t>;</w:t>
      </w:r>
    </w:p>
    <w:p w14:paraId="7630E62F" w14:textId="259C6902" w:rsidR="00BB2C13" w:rsidRPr="00F7383E" w:rsidRDefault="00BB2C13" w:rsidP="003B672F">
      <w:pPr>
        <w:pStyle w:val="BodyText"/>
        <w:numPr>
          <w:ilvl w:val="0"/>
          <w:numId w:val="95"/>
        </w:numPr>
        <w:ind w:left="714" w:hanging="357"/>
        <w:rPr>
          <w:szCs w:val="20"/>
        </w:rPr>
      </w:pPr>
      <w:r w:rsidRPr="00F7383E">
        <w:rPr>
          <w:szCs w:val="20"/>
        </w:rPr>
        <w:t xml:space="preserve">Guidance material 1: </w:t>
      </w:r>
      <w:hyperlink r:id="rId59" w:history="1">
        <w:r w:rsidRPr="00F7383E">
          <w:rPr>
            <w:rStyle w:val="Hyperlink"/>
            <w:rFonts w:cstheme="minorHAnsi"/>
            <w:szCs w:val="20"/>
          </w:rPr>
          <w:t>Advancing Tax Compliance through Digital Solutions: Best Practices, Tools, and Possible Strategies for Pakistan</w:t>
        </w:r>
      </w:hyperlink>
      <w:r w:rsidR="00355D79">
        <w:t>;</w:t>
      </w:r>
      <w:r w:rsidR="0096130F">
        <w:t xml:space="preserve"> and</w:t>
      </w:r>
    </w:p>
    <w:p w14:paraId="4CFB990D" w14:textId="77777777" w:rsidR="00BB2C13" w:rsidRPr="00F7383E" w:rsidRDefault="00BB2C13" w:rsidP="003B672F">
      <w:pPr>
        <w:pStyle w:val="BodyText"/>
        <w:numPr>
          <w:ilvl w:val="0"/>
          <w:numId w:val="95"/>
        </w:numPr>
        <w:ind w:left="714" w:hanging="357"/>
        <w:rPr>
          <w:szCs w:val="20"/>
        </w:rPr>
      </w:pPr>
      <w:r w:rsidRPr="00F7383E">
        <w:rPr>
          <w:szCs w:val="20"/>
        </w:rPr>
        <w:t xml:space="preserve">Guidance material 2: </w:t>
      </w:r>
      <w:hyperlink r:id="rId60" w:history="1">
        <w:r w:rsidRPr="00F7383E">
          <w:rPr>
            <w:rStyle w:val="Hyperlink"/>
            <w:rFonts w:cstheme="minorHAnsi"/>
            <w:szCs w:val="20"/>
          </w:rPr>
          <w:t>Towards an Integrated National Financing Framework for Pakistan</w:t>
        </w:r>
      </w:hyperlink>
    </w:p>
    <w:p w14:paraId="6B2B6ADA" w14:textId="77777777" w:rsidR="00BB2C13" w:rsidRDefault="00BB2C13" w:rsidP="00BB2C13">
      <w:pPr>
        <w:pStyle w:val="BodyText"/>
        <w:jc w:val="right"/>
      </w:pPr>
      <w:r>
        <w:t>Source: Final project report, March 2025.</w:t>
      </w:r>
    </w:p>
    <w:p w14:paraId="45EECADB" w14:textId="66FCC4C3" w:rsidR="001C7E43" w:rsidRPr="001C7E43" w:rsidRDefault="00D10EBB" w:rsidP="005D5070">
      <w:pPr>
        <w:pStyle w:val="BodyText"/>
        <w:rPr>
          <w:rFonts w:cs="Arial"/>
          <w:szCs w:val="20"/>
        </w:rPr>
      </w:pPr>
      <w:r w:rsidRPr="001C7E43">
        <w:rPr>
          <w:szCs w:val="20"/>
        </w:rPr>
        <w:t xml:space="preserve">In Samoa, UNESCAP facilitated </w:t>
      </w:r>
      <w:r w:rsidR="00F17D94" w:rsidRPr="001C7E43">
        <w:rPr>
          <w:szCs w:val="20"/>
        </w:rPr>
        <w:t xml:space="preserve">a workshop in </w:t>
      </w:r>
      <w:r w:rsidR="00DF3284" w:rsidRPr="001C7E43">
        <w:rPr>
          <w:szCs w:val="20"/>
        </w:rPr>
        <w:t xml:space="preserve">coordination with the </w:t>
      </w:r>
      <w:r w:rsidR="00DF3284" w:rsidRPr="001C7E43">
        <w:rPr>
          <w:rFonts w:cs="Arial"/>
          <w:szCs w:val="20"/>
        </w:rPr>
        <w:t>Ministry of Natural Resources and Environment</w:t>
      </w:r>
      <w:r w:rsidR="0040505D" w:rsidRPr="001C7E43">
        <w:rPr>
          <w:rFonts w:cs="Arial"/>
          <w:szCs w:val="20"/>
        </w:rPr>
        <w:t xml:space="preserve"> </w:t>
      </w:r>
      <w:r w:rsidR="003C396B">
        <w:rPr>
          <w:rFonts w:cs="Arial"/>
          <w:szCs w:val="20"/>
        </w:rPr>
        <w:t>to discuss</w:t>
      </w:r>
      <w:r w:rsidR="00DA6D87" w:rsidRPr="001C7E43">
        <w:rPr>
          <w:rFonts w:cs="Arial"/>
          <w:szCs w:val="20"/>
        </w:rPr>
        <w:t xml:space="preserve"> </w:t>
      </w:r>
      <w:r w:rsidR="00B65CED" w:rsidRPr="001C7E43">
        <w:rPr>
          <w:rFonts w:cs="Arial"/>
          <w:szCs w:val="20"/>
        </w:rPr>
        <w:t>financing opportunities for climate change within the</w:t>
      </w:r>
      <w:r w:rsidR="001C7E43" w:rsidRPr="001C7E43">
        <w:rPr>
          <w:rFonts w:cs="Arial"/>
          <w:szCs w:val="20"/>
        </w:rPr>
        <w:t xml:space="preserve"> framework of </w:t>
      </w:r>
      <w:r w:rsidR="00B65CED" w:rsidRPr="001C7E43">
        <w:rPr>
          <w:rFonts w:cs="Arial"/>
          <w:szCs w:val="20"/>
        </w:rPr>
        <w:t>INFF</w:t>
      </w:r>
      <w:r w:rsidR="001C7E43" w:rsidRPr="001C7E43">
        <w:rPr>
          <w:rFonts w:cs="Arial"/>
          <w:szCs w:val="20"/>
        </w:rPr>
        <w:t>:</w:t>
      </w:r>
    </w:p>
    <w:p w14:paraId="2DED73C0" w14:textId="4CA295CA" w:rsidR="00F17D94" w:rsidRPr="001C7E43" w:rsidRDefault="001C7E43" w:rsidP="003B672F">
      <w:pPr>
        <w:pStyle w:val="BodyText"/>
        <w:numPr>
          <w:ilvl w:val="0"/>
          <w:numId w:val="101"/>
        </w:numPr>
        <w:rPr>
          <w:szCs w:val="20"/>
        </w:rPr>
      </w:pPr>
      <w:hyperlink r:id="rId61" w:history="1">
        <w:r w:rsidRPr="001C7E43">
          <w:rPr>
            <w:rStyle w:val="Hyperlink"/>
            <w:rFonts w:cs="Arial"/>
            <w:szCs w:val="20"/>
          </w:rPr>
          <w:t>SDG Acceleration and Integrated National Financing Frameworks</w:t>
        </w:r>
      </w:hyperlink>
      <w:r w:rsidRPr="001C7E43">
        <w:rPr>
          <w:szCs w:val="20"/>
        </w:rPr>
        <w:t>, June 2023</w:t>
      </w:r>
    </w:p>
    <w:p w14:paraId="0FD10AFC" w14:textId="24E8EC9E" w:rsidR="00A25129" w:rsidRDefault="00C20813" w:rsidP="005D5070">
      <w:pPr>
        <w:pStyle w:val="BodyText"/>
        <w:rPr>
          <w:rFonts w:ascii="Calibri" w:hAnsi="Calibri" w:cs="Arial"/>
          <w:sz w:val="16"/>
          <w:szCs w:val="16"/>
          <w:highlight w:val="yellow"/>
        </w:rPr>
      </w:pPr>
      <w:r>
        <w:t xml:space="preserve">This was followed by </w:t>
      </w:r>
      <w:r w:rsidR="00E7526B">
        <w:t>consultation</w:t>
      </w:r>
      <w:r w:rsidR="003C396B">
        <w:t>s</w:t>
      </w:r>
      <w:r w:rsidR="00E7526B">
        <w:t xml:space="preserve"> with government official</w:t>
      </w:r>
      <w:r w:rsidR="00EE0DB9">
        <w:t>s</w:t>
      </w:r>
      <w:r w:rsidR="00E7526B">
        <w:t xml:space="preserve"> and key stakeholders of the </w:t>
      </w:r>
      <w:r w:rsidR="00E7526B" w:rsidRPr="00A25129">
        <w:rPr>
          <w:szCs w:val="20"/>
        </w:rPr>
        <w:t>INFF methodology (</w:t>
      </w:r>
      <w:r w:rsidR="00E0084C" w:rsidRPr="00A25129">
        <w:rPr>
          <w:szCs w:val="20"/>
        </w:rPr>
        <w:t>e.g. financial institutions; and development partners)</w:t>
      </w:r>
      <w:r w:rsidR="008024B7">
        <w:rPr>
          <w:szCs w:val="20"/>
        </w:rPr>
        <w:t>,</w:t>
      </w:r>
      <w:r w:rsidR="00E0084C" w:rsidRPr="00A25129">
        <w:rPr>
          <w:szCs w:val="20"/>
        </w:rPr>
        <w:t xml:space="preserve"> </w:t>
      </w:r>
      <w:r w:rsidR="008024B7">
        <w:rPr>
          <w:szCs w:val="20"/>
        </w:rPr>
        <w:t>which</w:t>
      </w:r>
      <w:r w:rsidR="00E0084C" w:rsidRPr="00A25129">
        <w:rPr>
          <w:szCs w:val="20"/>
        </w:rPr>
        <w:t xml:space="preserve"> informed a technical report on </w:t>
      </w:r>
      <w:r w:rsidR="00A25129" w:rsidRPr="00A25129">
        <w:rPr>
          <w:szCs w:val="20"/>
        </w:rPr>
        <w:t>e</w:t>
      </w:r>
      <w:r w:rsidR="00A25129" w:rsidRPr="00A25129">
        <w:rPr>
          <w:rFonts w:cs="Arial"/>
          <w:szCs w:val="20"/>
        </w:rPr>
        <w:t>nhancing financing opportunities for climate action and nature-based solutions</w:t>
      </w:r>
      <w:r w:rsidR="008024B7">
        <w:rPr>
          <w:rFonts w:cs="Arial"/>
          <w:szCs w:val="20"/>
        </w:rPr>
        <w:t>. The report</w:t>
      </w:r>
      <w:r w:rsidR="00A25129" w:rsidRPr="00A25129">
        <w:rPr>
          <w:rFonts w:cs="Arial"/>
          <w:szCs w:val="20"/>
        </w:rPr>
        <w:t xml:space="preserve"> was shared with the </w:t>
      </w:r>
      <w:r w:rsidR="00812A14">
        <w:rPr>
          <w:rFonts w:cs="Arial"/>
          <w:szCs w:val="20"/>
        </w:rPr>
        <w:t>G</w:t>
      </w:r>
      <w:r w:rsidR="00A25129" w:rsidRPr="00A25129">
        <w:rPr>
          <w:rFonts w:cs="Arial"/>
          <w:szCs w:val="20"/>
        </w:rPr>
        <w:t>overnmen</w:t>
      </w:r>
      <w:r w:rsidR="00812A14">
        <w:rPr>
          <w:rFonts w:cs="Arial"/>
          <w:szCs w:val="20"/>
        </w:rPr>
        <w:t>t of Samoa</w:t>
      </w:r>
      <w:r w:rsidR="00EE0DB9">
        <w:rPr>
          <w:rFonts w:cs="Arial"/>
          <w:szCs w:val="20"/>
        </w:rPr>
        <w:t xml:space="preserve"> in </w:t>
      </w:r>
      <w:r w:rsidR="00663880">
        <w:rPr>
          <w:rFonts w:cs="Arial"/>
          <w:szCs w:val="20"/>
        </w:rPr>
        <w:t>2024</w:t>
      </w:r>
      <w:r w:rsidR="00A25129" w:rsidRPr="00A25129">
        <w:rPr>
          <w:rFonts w:cs="Arial"/>
          <w:szCs w:val="20"/>
        </w:rPr>
        <w:t>.</w:t>
      </w:r>
    </w:p>
    <w:p w14:paraId="2D8EFCF2" w14:textId="7EA9F898" w:rsidR="00D9763B" w:rsidRDefault="00F36996" w:rsidP="00536BE3">
      <w:pPr>
        <w:pStyle w:val="BodyText"/>
      </w:pPr>
      <w:r>
        <w:t xml:space="preserve">The combination of workshops and guidance material in </w:t>
      </w:r>
      <w:r w:rsidR="001C0DBB">
        <w:t xml:space="preserve">Pakistan and Samoa </w:t>
      </w:r>
      <w:r w:rsidR="00CB6E37">
        <w:t>is</w:t>
      </w:r>
      <w:r w:rsidR="006311E3">
        <w:t xml:space="preserve"> applicable to the </w:t>
      </w:r>
      <w:r w:rsidR="008E6494">
        <w:t>Inception Phase of the INFF methodology</w:t>
      </w:r>
      <w:r w:rsidR="00D75796">
        <w:t xml:space="preserve">. </w:t>
      </w:r>
      <w:r w:rsidR="00CA241C">
        <w:t xml:space="preserve">As UNESCAP </w:t>
      </w:r>
      <w:r w:rsidR="00CB6E37">
        <w:t xml:space="preserve">also </w:t>
      </w:r>
      <w:r w:rsidR="00CA241C">
        <w:t>conducted a rapid assessment of the state of SDG financing in Pakistan,</w:t>
      </w:r>
      <w:r w:rsidR="00CA241C">
        <w:rPr>
          <w:rStyle w:val="FootnoteReference"/>
        </w:rPr>
        <w:footnoteReference w:id="163"/>
      </w:r>
      <w:r w:rsidR="00CA241C">
        <w:t xml:space="preserve"> this </w:t>
      </w:r>
      <w:r w:rsidR="00A51BF5">
        <w:t xml:space="preserve">activity </w:t>
      </w:r>
      <w:r w:rsidR="00CA241C">
        <w:t xml:space="preserve">qualifies as a </w:t>
      </w:r>
      <w:r w:rsidR="00CA241C">
        <w:lastRenderedPageBreak/>
        <w:t xml:space="preserve">contribution towards Building Block 1. At the end of the project, however, the authorities in Pakistan had not made a final decision on </w:t>
      </w:r>
      <w:r w:rsidR="00987B97">
        <w:t xml:space="preserve">developing </w:t>
      </w:r>
      <w:r w:rsidR="00CA241C">
        <w:t>an INFF.</w:t>
      </w:r>
      <w:r w:rsidR="00CA241C">
        <w:rPr>
          <w:rStyle w:val="FootnoteReference"/>
        </w:rPr>
        <w:footnoteReference w:id="164"/>
      </w:r>
      <w:r w:rsidR="00CA241C">
        <w:t xml:space="preserve"> </w:t>
      </w:r>
      <w:r w:rsidR="00F9294D">
        <w:t>As Samoa completed D</w:t>
      </w:r>
      <w:r w:rsidR="00D3335C">
        <w:t xml:space="preserve">FAs </w:t>
      </w:r>
      <w:r w:rsidR="00F9294D">
        <w:t xml:space="preserve">in 2018 and 2022, </w:t>
      </w:r>
      <w:r w:rsidR="0070376B">
        <w:t xml:space="preserve">the country </w:t>
      </w:r>
      <w:r w:rsidR="00A72C42">
        <w:t>ha</w:t>
      </w:r>
      <w:r w:rsidR="00ED28E3">
        <w:t xml:space="preserve">d </w:t>
      </w:r>
      <w:r w:rsidR="007B3D4F">
        <w:t xml:space="preserve">already </w:t>
      </w:r>
      <w:r w:rsidR="00A72C42">
        <w:t xml:space="preserve">contributed towards </w:t>
      </w:r>
      <w:r>
        <w:t xml:space="preserve">Building Block </w:t>
      </w:r>
      <w:r w:rsidR="00536BE3">
        <w:t>1</w:t>
      </w:r>
      <w:r w:rsidR="00277C62">
        <w:t xml:space="preserve"> at the time of its project engagement.</w:t>
      </w:r>
      <w:r w:rsidR="00277C62">
        <w:rPr>
          <w:rStyle w:val="FootnoteReference"/>
        </w:rPr>
        <w:footnoteReference w:id="165"/>
      </w:r>
      <w:r w:rsidR="00277C62">
        <w:t xml:space="preserve"> </w:t>
      </w:r>
    </w:p>
    <w:p w14:paraId="15656517" w14:textId="24749B57" w:rsidR="005B7CF5" w:rsidRDefault="009F5455" w:rsidP="005D5070">
      <w:pPr>
        <w:pStyle w:val="BodyText"/>
      </w:pPr>
      <w:r w:rsidRPr="009F5455">
        <w:rPr>
          <w:u w:val="single"/>
        </w:rPr>
        <w:t>Europe</w:t>
      </w:r>
      <w:r>
        <w:t>:</w:t>
      </w:r>
    </w:p>
    <w:p w14:paraId="5C8C8ED2" w14:textId="2AD71599" w:rsidR="005B7CF5" w:rsidRPr="00B8017C" w:rsidRDefault="00A83934" w:rsidP="005D5070">
      <w:pPr>
        <w:pStyle w:val="BodyText"/>
        <w:rPr>
          <w:szCs w:val="20"/>
        </w:rPr>
      </w:pPr>
      <w:r>
        <w:t xml:space="preserve">UNECE conducted two regional workshops to </w:t>
      </w:r>
      <w:r w:rsidR="009B781A">
        <w:t>present key tools for the mobilisation of development financing</w:t>
      </w:r>
      <w:r w:rsidR="00B00B18">
        <w:t xml:space="preserve">, with a focus on the </w:t>
      </w:r>
      <w:hyperlink r:id="rId62" w:history="1">
        <w:r w:rsidR="00B00B18" w:rsidRPr="007071EF">
          <w:rPr>
            <w:rStyle w:val="Hyperlink"/>
          </w:rPr>
          <w:t xml:space="preserve">UNECE PIERS </w:t>
        </w:r>
        <w:r w:rsidR="00B00B18" w:rsidRPr="007071EF">
          <w:rPr>
            <w:rStyle w:val="Hyperlink"/>
            <w:szCs w:val="20"/>
          </w:rPr>
          <w:t>methodology</w:t>
        </w:r>
      </w:hyperlink>
      <w:r w:rsidR="00686BB9">
        <w:t>, including</w:t>
      </w:r>
      <w:r w:rsidR="00B00B18" w:rsidRPr="00B8017C">
        <w:rPr>
          <w:szCs w:val="20"/>
        </w:rPr>
        <w:t xml:space="preserve"> the </w:t>
      </w:r>
      <w:hyperlink r:id="rId63" w:history="1">
        <w:r w:rsidR="00B00B18" w:rsidRPr="00686BB9">
          <w:rPr>
            <w:rStyle w:val="Hyperlink"/>
            <w:szCs w:val="20"/>
          </w:rPr>
          <w:t>PIERS digital platform</w:t>
        </w:r>
      </w:hyperlink>
      <w:r w:rsidR="0078205F" w:rsidRPr="00B8017C">
        <w:rPr>
          <w:szCs w:val="20"/>
        </w:rPr>
        <w:t xml:space="preserve">: </w:t>
      </w:r>
    </w:p>
    <w:p w14:paraId="57CDDEC4" w14:textId="5BBC225E" w:rsidR="00A83934" w:rsidRPr="00B8017C" w:rsidRDefault="00A421A4" w:rsidP="003B672F">
      <w:pPr>
        <w:pStyle w:val="BodyText"/>
        <w:numPr>
          <w:ilvl w:val="0"/>
          <w:numId w:val="102"/>
        </w:numPr>
        <w:rPr>
          <w:szCs w:val="20"/>
        </w:rPr>
      </w:pPr>
      <w:hyperlink r:id="rId64" w:history="1">
        <w:r w:rsidRPr="00622AD5">
          <w:rPr>
            <w:rStyle w:val="Hyperlink"/>
            <w:rFonts w:cs="Arial"/>
            <w:szCs w:val="20"/>
          </w:rPr>
          <w:t>Towards INFFs: Implementing sustainability focused normative tools in Eastern Europe, Western Balkans, the Caucasus, and Central Asia</w:t>
        </w:r>
      </w:hyperlink>
      <w:r w:rsidR="0096130F">
        <w:t>; and</w:t>
      </w:r>
    </w:p>
    <w:p w14:paraId="39E9CF5E" w14:textId="15EE598A" w:rsidR="00A421A4" w:rsidRPr="00B8017C" w:rsidRDefault="00B8017C" w:rsidP="003B672F">
      <w:pPr>
        <w:pStyle w:val="BodyText"/>
        <w:numPr>
          <w:ilvl w:val="0"/>
          <w:numId w:val="102"/>
        </w:numPr>
        <w:rPr>
          <w:szCs w:val="20"/>
        </w:rPr>
      </w:pPr>
      <w:hyperlink r:id="rId65" w:history="1">
        <w:r w:rsidRPr="00622AD5">
          <w:rPr>
            <w:rStyle w:val="Hyperlink"/>
            <w:rFonts w:cs="Arial"/>
            <w:szCs w:val="20"/>
          </w:rPr>
          <w:t>Sustainable Public-Private Partnerships in support of Integrated National Financing Frameworks</w:t>
        </w:r>
      </w:hyperlink>
    </w:p>
    <w:p w14:paraId="14EFA980" w14:textId="77777777" w:rsidR="00B8017C" w:rsidRPr="00B8017C" w:rsidRDefault="00B8017C" w:rsidP="00B8017C">
      <w:pPr>
        <w:pStyle w:val="BodyText"/>
        <w:jc w:val="right"/>
        <w:rPr>
          <w:szCs w:val="20"/>
        </w:rPr>
      </w:pPr>
      <w:r w:rsidRPr="00B8017C">
        <w:rPr>
          <w:szCs w:val="20"/>
        </w:rPr>
        <w:t>Source: Final project report, March 2025.</w:t>
      </w:r>
    </w:p>
    <w:p w14:paraId="51978A4D" w14:textId="1585F62D" w:rsidR="00A83934" w:rsidRDefault="00472ECC" w:rsidP="005D5070">
      <w:pPr>
        <w:pStyle w:val="BodyText"/>
      </w:pPr>
      <w:r>
        <w:t xml:space="preserve">The </w:t>
      </w:r>
      <w:r w:rsidR="00BB3318">
        <w:t xml:space="preserve">PIERS methodology </w:t>
      </w:r>
      <w:r w:rsidR="009547B7">
        <w:t xml:space="preserve">is a </w:t>
      </w:r>
      <w:r w:rsidR="0038452E">
        <w:t xml:space="preserve">platform that evaluates and scores PPPs and infrastructure projects </w:t>
      </w:r>
      <w:r w:rsidR="00160CE6">
        <w:t>based on 22 criteria and 95 indicators</w:t>
      </w:r>
      <w:r w:rsidR="00644E96">
        <w:t xml:space="preserve">. It is used </w:t>
      </w:r>
      <w:r w:rsidR="00160CE6">
        <w:t xml:space="preserve">to </w:t>
      </w:r>
      <w:r w:rsidR="00F76E8B">
        <w:t>assess projects and infrastructure</w:t>
      </w:r>
      <w:r w:rsidR="002C239E">
        <w:t xml:space="preserve"> at all stages of development</w:t>
      </w:r>
      <w:r w:rsidR="00644E96">
        <w:t xml:space="preserve">, to inform </w:t>
      </w:r>
      <w:r w:rsidR="00FF6437">
        <w:t xml:space="preserve">improvements during design and implementation and </w:t>
      </w:r>
      <w:r w:rsidR="00644E96">
        <w:t>creat</w:t>
      </w:r>
      <w:r w:rsidR="00FF6437">
        <w:t>e</w:t>
      </w:r>
      <w:r w:rsidR="00644E96">
        <w:t xml:space="preserve"> </w:t>
      </w:r>
      <w:r w:rsidR="00F33284">
        <w:t xml:space="preserve">SDG </w:t>
      </w:r>
      <w:r w:rsidR="00160CE6">
        <w:t>alignment</w:t>
      </w:r>
      <w:r w:rsidR="00F33284">
        <w:t>.</w:t>
      </w:r>
      <w:r w:rsidR="00A50CD2">
        <w:rPr>
          <w:rStyle w:val="FootnoteReference"/>
        </w:rPr>
        <w:footnoteReference w:id="166"/>
      </w:r>
      <w:r w:rsidR="0093086E">
        <w:t xml:space="preserve"> </w:t>
      </w:r>
    </w:p>
    <w:p w14:paraId="7C4B01C0" w14:textId="2EEC35F7" w:rsidR="00A83934" w:rsidRDefault="00F82924" w:rsidP="005D5070">
      <w:pPr>
        <w:pStyle w:val="BodyText"/>
      </w:pPr>
      <w:r>
        <w:t xml:space="preserve">At the country level, </w:t>
      </w:r>
      <w:r w:rsidR="006A452A">
        <w:t>UNECE</w:t>
      </w:r>
      <w:r w:rsidR="00C13F15">
        <w:t xml:space="preserve"> and UNCTAD</w:t>
      </w:r>
      <w:r w:rsidR="006A452A">
        <w:t xml:space="preserve"> conducted several trainings/ workshops </w:t>
      </w:r>
      <w:r w:rsidR="00DC3B9A">
        <w:t>that engaged national stakeholders from the public and private sectors</w:t>
      </w:r>
      <w:r w:rsidR="00DD5892">
        <w:t xml:space="preserve">. Both entities also developed </w:t>
      </w:r>
      <w:r w:rsidR="00593F26">
        <w:t xml:space="preserve">post-workshop guidance material to strengthen </w:t>
      </w:r>
      <w:r w:rsidR="002C655F">
        <w:t xml:space="preserve">private finance </w:t>
      </w:r>
      <w:r w:rsidR="00401C15">
        <w:t>m</w:t>
      </w:r>
      <w:r w:rsidR="004C425D">
        <w:t xml:space="preserve">obilisation </w:t>
      </w:r>
      <w:r w:rsidR="002C655F">
        <w:t>for sustainable developmen</w:t>
      </w:r>
      <w:r w:rsidR="00593F26">
        <w:t>t within the context of an INFF</w:t>
      </w:r>
      <w:r w:rsidR="002C655F">
        <w:t>.</w:t>
      </w:r>
      <w:r w:rsidR="006A452A">
        <w:t xml:space="preserve"> </w:t>
      </w:r>
      <w:r w:rsidR="00A42DCB">
        <w:t xml:space="preserve">The </w:t>
      </w:r>
      <w:r w:rsidR="007B61DE">
        <w:t>following activities</w:t>
      </w:r>
      <w:r w:rsidR="00E726ED">
        <w:t xml:space="preserve"> were conducted</w:t>
      </w:r>
      <w:r w:rsidR="007B61DE">
        <w:t>:</w:t>
      </w:r>
    </w:p>
    <w:p w14:paraId="2FAA6ACA" w14:textId="2FD4877C" w:rsidR="007B61DE" w:rsidRDefault="00074EE9" w:rsidP="003B672F">
      <w:pPr>
        <w:pStyle w:val="BodyText"/>
        <w:numPr>
          <w:ilvl w:val="0"/>
          <w:numId w:val="101"/>
        </w:numPr>
      </w:pPr>
      <w:r>
        <w:t>Practical training on the use of the PIERS methodology in Belarus (April 2023) and Kyrgyzstan (</w:t>
      </w:r>
      <w:r w:rsidR="00AF6590">
        <w:t>October 2022)</w:t>
      </w:r>
      <w:r w:rsidR="00A75102">
        <w:t>;</w:t>
      </w:r>
    </w:p>
    <w:p w14:paraId="7008F3EB" w14:textId="6425A2D2" w:rsidR="000B71A4" w:rsidRPr="003B24CB" w:rsidRDefault="00375D2B" w:rsidP="003B672F">
      <w:pPr>
        <w:pStyle w:val="BodyText"/>
        <w:numPr>
          <w:ilvl w:val="0"/>
          <w:numId w:val="101"/>
        </w:numPr>
        <w:rPr>
          <w:szCs w:val="20"/>
        </w:rPr>
      </w:pPr>
      <w:r>
        <w:rPr>
          <w:rFonts w:cs="Arial"/>
          <w:szCs w:val="20"/>
        </w:rPr>
        <w:t>R</w:t>
      </w:r>
      <w:r w:rsidR="000B71A4" w:rsidRPr="003B24CB">
        <w:rPr>
          <w:rFonts w:cs="Arial"/>
          <w:szCs w:val="20"/>
        </w:rPr>
        <w:t xml:space="preserve">eport </w:t>
      </w:r>
      <w:r w:rsidR="003B24CB">
        <w:rPr>
          <w:rFonts w:cs="Arial"/>
          <w:szCs w:val="20"/>
        </w:rPr>
        <w:t xml:space="preserve">to government officials </w:t>
      </w:r>
      <w:r w:rsidR="008E20D3">
        <w:rPr>
          <w:rFonts w:cs="Arial"/>
          <w:szCs w:val="20"/>
        </w:rPr>
        <w:t xml:space="preserve">on </w:t>
      </w:r>
      <w:r w:rsidR="000B71A4" w:rsidRPr="003B24CB">
        <w:rPr>
          <w:rFonts w:cs="Arial"/>
          <w:szCs w:val="20"/>
        </w:rPr>
        <w:t xml:space="preserve">recommendations </w:t>
      </w:r>
      <w:r w:rsidR="008E20D3">
        <w:rPr>
          <w:rFonts w:cs="Arial"/>
          <w:szCs w:val="20"/>
        </w:rPr>
        <w:t xml:space="preserve">from </w:t>
      </w:r>
      <w:r w:rsidR="000B71A4" w:rsidRPr="003B24CB">
        <w:rPr>
          <w:rFonts w:cs="Arial"/>
          <w:szCs w:val="20"/>
        </w:rPr>
        <w:t>the identification and selection of 8 infrastructure projects</w:t>
      </w:r>
      <w:r w:rsidR="003B24CB" w:rsidRPr="003B24CB">
        <w:rPr>
          <w:rFonts w:cs="Arial"/>
          <w:szCs w:val="20"/>
        </w:rPr>
        <w:t xml:space="preserve"> </w:t>
      </w:r>
      <w:r w:rsidR="003B24CB" w:rsidRPr="003B24CB">
        <w:rPr>
          <w:szCs w:val="20"/>
        </w:rPr>
        <w:t>(Belarus/ Kyrgyzstan, 2023)</w:t>
      </w:r>
      <w:r w:rsidR="00A75102">
        <w:rPr>
          <w:szCs w:val="20"/>
        </w:rPr>
        <w:t>;</w:t>
      </w:r>
    </w:p>
    <w:p w14:paraId="2FD102C4" w14:textId="4BDBE924" w:rsidR="007B61DE" w:rsidRDefault="008841E4" w:rsidP="003B672F">
      <w:pPr>
        <w:pStyle w:val="BodyText"/>
        <w:numPr>
          <w:ilvl w:val="0"/>
          <w:numId w:val="101"/>
        </w:numPr>
      </w:pPr>
      <w:r>
        <w:t>National workshop to present the results of the training (Belarus, November 2023)</w:t>
      </w:r>
      <w:r w:rsidR="000B4D31">
        <w:t xml:space="preserve">; </w:t>
      </w:r>
      <w:r w:rsidR="003B24CB">
        <w:t>(</w:t>
      </w:r>
      <w:r>
        <w:t>Kyrgyzstan</w:t>
      </w:r>
      <w:r w:rsidR="003B24CB">
        <w:t>,</w:t>
      </w:r>
      <w:r>
        <w:t xml:space="preserve"> </w:t>
      </w:r>
      <w:r w:rsidR="00D91863">
        <w:t>September 2023)</w:t>
      </w:r>
      <w:r w:rsidR="00A75102">
        <w:t>;</w:t>
      </w:r>
    </w:p>
    <w:p w14:paraId="50846342" w14:textId="16C41205" w:rsidR="00D91863" w:rsidRPr="00A75102" w:rsidRDefault="00E726ED" w:rsidP="003B672F">
      <w:pPr>
        <w:pStyle w:val="BodyText"/>
        <w:numPr>
          <w:ilvl w:val="0"/>
          <w:numId w:val="101"/>
        </w:numPr>
        <w:rPr>
          <w:szCs w:val="20"/>
        </w:rPr>
      </w:pPr>
      <w:r w:rsidRPr="00A82282">
        <w:rPr>
          <w:rFonts w:cs="Arial"/>
          <w:szCs w:val="20"/>
        </w:rPr>
        <w:t xml:space="preserve">Initial meeting on </w:t>
      </w:r>
      <w:r w:rsidR="007A0003">
        <w:rPr>
          <w:rFonts w:cs="Arial"/>
          <w:szCs w:val="20"/>
        </w:rPr>
        <w:t xml:space="preserve">the </w:t>
      </w:r>
      <w:r w:rsidR="007D3E45">
        <w:rPr>
          <w:rFonts w:cs="Arial"/>
          <w:szCs w:val="20"/>
        </w:rPr>
        <w:t>Accounting Development Tool (</w:t>
      </w:r>
      <w:r w:rsidRPr="00A82282">
        <w:rPr>
          <w:rFonts w:cs="Arial"/>
          <w:szCs w:val="20"/>
        </w:rPr>
        <w:t>ADT</w:t>
      </w:r>
      <w:r w:rsidR="00F963BD">
        <w:rPr>
          <w:rFonts w:cs="Arial"/>
          <w:szCs w:val="20"/>
        </w:rPr>
        <w:t>)</w:t>
      </w:r>
      <w:r w:rsidRPr="00A82282">
        <w:rPr>
          <w:rFonts w:cs="Arial"/>
          <w:szCs w:val="20"/>
        </w:rPr>
        <w:t xml:space="preserve"> facilitated by UNCTAD</w:t>
      </w:r>
      <w:r w:rsidR="00A82282">
        <w:rPr>
          <w:rFonts w:cs="Arial"/>
          <w:szCs w:val="20"/>
        </w:rPr>
        <w:t xml:space="preserve"> </w:t>
      </w:r>
      <w:r w:rsidR="00A82282">
        <w:t xml:space="preserve">(Belarus, </w:t>
      </w:r>
      <w:r w:rsidR="00582542">
        <w:t>May</w:t>
      </w:r>
      <w:r w:rsidR="00A82282">
        <w:t xml:space="preserve"> 2023); (Kyrgyzstan, </w:t>
      </w:r>
      <w:r w:rsidR="00582542">
        <w:t>Novem</w:t>
      </w:r>
      <w:r w:rsidR="00A82282">
        <w:t>ber 202</w:t>
      </w:r>
      <w:r w:rsidR="00582542">
        <w:t>2</w:t>
      </w:r>
      <w:r w:rsidR="00A82282">
        <w:t>)</w:t>
      </w:r>
      <w:r w:rsidR="00A75102">
        <w:t>;</w:t>
      </w:r>
    </w:p>
    <w:p w14:paraId="02A824E3" w14:textId="7917E372" w:rsidR="00A75102" w:rsidRPr="00EE4DFC" w:rsidRDefault="00A75102" w:rsidP="003B672F">
      <w:pPr>
        <w:pStyle w:val="BodyText"/>
        <w:numPr>
          <w:ilvl w:val="0"/>
          <w:numId w:val="101"/>
        </w:numPr>
        <w:rPr>
          <w:szCs w:val="20"/>
        </w:rPr>
      </w:pPr>
      <w:r>
        <w:t xml:space="preserve">ADT workshop and assessment by UNCTAD (Belarus, </w:t>
      </w:r>
      <w:r w:rsidR="003357D6">
        <w:t xml:space="preserve">October </w:t>
      </w:r>
      <w:r>
        <w:t xml:space="preserve">2023); (Kyrgyzstan, </w:t>
      </w:r>
      <w:r w:rsidR="006938E6">
        <w:t>March 2023</w:t>
      </w:r>
      <w:r>
        <w:t>)</w:t>
      </w:r>
      <w:r w:rsidR="006938E6">
        <w:t xml:space="preserve"> followed by </w:t>
      </w:r>
      <w:r w:rsidR="00DB7FB3">
        <w:t>comprehensive report</w:t>
      </w:r>
      <w:r w:rsidR="00F33284">
        <w:t>ing</w:t>
      </w:r>
      <w:r w:rsidR="007A0003">
        <w:t xml:space="preserve">, including </w:t>
      </w:r>
      <w:r w:rsidR="00EE4DFC">
        <w:t>recommendations that were adopted at the national level</w:t>
      </w:r>
    </w:p>
    <w:p w14:paraId="553C49E7" w14:textId="197B0EC8" w:rsidR="00EE4DFC" w:rsidRPr="000C4D83" w:rsidRDefault="00FF604D" w:rsidP="003B672F">
      <w:pPr>
        <w:pStyle w:val="BodyText"/>
        <w:numPr>
          <w:ilvl w:val="0"/>
          <w:numId w:val="101"/>
        </w:numPr>
        <w:rPr>
          <w:szCs w:val="20"/>
        </w:rPr>
      </w:pPr>
      <w:r>
        <w:rPr>
          <w:szCs w:val="20"/>
        </w:rPr>
        <w:t xml:space="preserve">Final ADT consultation meeting </w:t>
      </w:r>
      <w:r w:rsidR="000C4D83">
        <w:t>(Kyrgyzstan, December 2024);</w:t>
      </w:r>
    </w:p>
    <w:p w14:paraId="1E644920" w14:textId="1F78E0B4" w:rsidR="000C4D83" w:rsidRDefault="005B4A16" w:rsidP="003B672F">
      <w:pPr>
        <w:pStyle w:val="BodyText"/>
        <w:numPr>
          <w:ilvl w:val="0"/>
          <w:numId w:val="101"/>
        </w:numPr>
        <w:rPr>
          <w:szCs w:val="20"/>
        </w:rPr>
      </w:pPr>
      <w:r w:rsidRPr="00AC45A9">
        <w:rPr>
          <w:szCs w:val="20"/>
        </w:rPr>
        <w:t>Training-of-Trainers</w:t>
      </w:r>
      <w:r w:rsidR="003B2562" w:rsidRPr="00AC45A9">
        <w:rPr>
          <w:szCs w:val="20"/>
        </w:rPr>
        <w:t xml:space="preserve"> workshop on </w:t>
      </w:r>
      <w:hyperlink r:id="rId66" w:history="1">
        <w:r w:rsidR="003B2562" w:rsidRPr="00AC45A9">
          <w:rPr>
            <w:rStyle w:val="Hyperlink"/>
            <w:rFonts w:cs="Arial"/>
            <w:szCs w:val="20"/>
          </w:rPr>
          <w:t>Accounting and Financial Reporting Guidelines for SMEs</w:t>
        </w:r>
      </w:hyperlink>
      <w:r w:rsidR="003B2562" w:rsidRPr="00AC45A9">
        <w:rPr>
          <w:szCs w:val="20"/>
        </w:rPr>
        <w:t xml:space="preserve"> </w:t>
      </w:r>
      <w:r w:rsidR="003C18BB" w:rsidRPr="00AC45A9">
        <w:rPr>
          <w:szCs w:val="20"/>
        </w:rPr>
        <w:t xml:space="preserve">(Belarus, </w:t>
      </w:r>
      <w:r w:rsidR="005714CC" w:rsidRPr="00AC45A9">
        <w:rPr>
          <w:szCs w:val="20"/>
        </w:rPr>
        <w:t xml:space="preserve">December </w:t>
      </w:r>
      <w:r w:rsidR="003C18BB" w:rsidRPr="00AC45A9">
        <w:rPr>
          <w:szCs w:val="20"/>
        </w:rPr>
        <w:t xml:space="preserve">2023); (Kyrgyzstan, </w:t>
      </w:r>
      <w:r w:rsidR="005714CC" w:rsidRPr="00AC45A9">
        <w:rPr>
          <w:szCs w:val="20"/>
        </w:rPr>
        <w:t xml:space="preserve">June </w:t>
      </w:r>
      <w:r w:rsidR="003C18BB" w:rsidRPr="00AC45A9">
        <w:rPr>
          <w:szCs w:val="20"/>
        </w:rPr>
        <w:t>2022);</w:t>
      </w:r>
    </w:p>
    <w:p w14:paraId="22E36F5C" w14:textId="77777777" w:rsidR="001D3606" w:rsidRPr="00636947" w:rsidRDefault="001D3606" w:rsidP="003B672F">
      <w:pPr>
        <w:pStyle w:val="BodyText"/>
        <w:numPr>
          <w:ilvl w:val="0"/>
          <w:numId w:val="101"/>
        </w:numPr>
        <w:rPr>
          <w:rFonts w:cs="Arial"/>
          <w:szCs w:val="20"/>
        </w:rPr>
      </w:pPr>
      <w:r w:rsidRPr="001D3606">
        <w:rPr>
          <w:rFonts w:cs="Arial"/>
          <w:szCs w:val="20"/>
        </w:rPr>
        <w:t xml:space="preserve">National capacity-building workshop to strengthen understanding of sustainability </w:t>
      </w:r>
      <w:r w:rsidRPr="00636947">
        <w:rPr>
          <w:rFonts w:cs="Arial"/>
          <w:szCs w:val="20"/>
        </w:rPr>
        <w:t xml:space="preserve">and SDG impact reporting (Belarus, June 2023); and </w:t>
      </w:r>
    </w:p>
    <w:p w14:paraId="64C659C1" w14:textId="2A44726D" w:rsidR="0005281D" w:rsidRPr="00636947" w:rsidRDefault="00636947" w:rsidP="00EE028F">
      <w:pPr>
        <w:pStyle w:val="BodyText"/>
        <w:numPr>
          <w:ilvl w:val="0"/>
          <w:numId w:val="101"/>
        </w:numPr>
        <w:ind w:left="754" w:hanging="357"/>
        <w:rPr>
          <w:szCs w:val="20"/>
        </w:rPr>
      </w:pPr>
      <w:r w:rsidRPr="00636947">
        <w:rPr>
          <w:rFonts w:cs="Arial"/>
          <w:szCs w:val="20"/>
        </w:rPr>
        <w:t>Training session on the contribution of the private sector to SDG implementation (Kyrgyzstan, May 2022</w:t>
      </w:r>
      <w:r w:rsidR="009A79F6">
        <w:rPr>
          <w:rFonts w:cs="Arial"/>
          <w:szCs w:val="20"/>
        </w:rPr>
        <w:t>)</w:t>
      </w:r>
      <w:r>
        <w:rPr>
          <w:rFonts w:cs="Arial"/>
          <w:szCs w:val="20"/>
        </w:rPr>
        <w:t>.</w:t>
      </w:r>
    </w:p>
    <w:p w14:paraId="53242415" w14:textId="77777777" w:rsidR="003B0879" w:rsidRDefault="003B0879" w:rsidP="00F33284">
      <w:pPr>
        <w:pStyle w:val="BodyText"/>
        <w:spacing w:before="0"/>
        <w:jc w:val="right"/>
        <w:rPr>
          <w:szCs w:val="20"/>
        </w:rPr>
      </w:pPr>
      <w:r w:rsidRPr="00B8017C">
        <w:rPr>
          <w:szCs w:val="20"/>
        </w:rPr>
        <w:t>Source: Final project report, March 2025.</w:t>
      </w:r>
    </w:p>
    <w:p w14:paraId="2119A4DF" w14:textId="22A2A634" w:rsidR="0065548D" w:rsidRDefault="00486D91" w:rsidP="002A6EEF">
      <w:pPr>
        <w:pStyle w:val="BodyText"/>
        <w:rPr>
          <w:szCs w:val="20"/>
        </w:rPr>
      </w:pPr>
      <w:r>
        <w:rPr>
          <w:szCs w:val="20"/>
        </w:rPr>
        <w:t xml:space="preserve">Based on its completion of a </w:t>
      </w:r>
      <w:r w:rsidR="00865AB7">
        <w:rPr>
          <w:szCs w:val="20"/>
        </w:rPr>
        <w:t>D</w:t>
      </w:r>
      <w:r w:rsidR="004F3001">
        <w:rPr>
          <w:szCs w:val="20"/>
        </w:rPr>
        <w:t>FA</w:t>
      </w:r>
      <w:r>
        <w:rPr>
          <w:szCs w:val="20"/>
        </w:rPr>
        <w:t xml:space="preserve"> in 2023, Kyrgyzstan has </w:t>
      </w:r>
      <w:r w:rsidR="00B0004F">
        <w:rPr>
          <w:szCs w:val="20"/>
        </w:rPr>
        <w:t>contributed towards INFF Building Block 1.</w:t>
      </w:r>
      <w:r w:rsidR="00F57C24">
        <w:rPr>
          <w:szCs w:val="20"/>
        </w:rPr>
        <w:t xml:space="preserve"> </w:t>
      </w:r>
      <w:r w:rsidR="00585C78">
        <w:rPr>
          <w:szCs w:val="20"/>
        </w:rPr>
        <w:t xml:space="preserve">As </w:t>
      </w:r>
      <w:r w:rsidR="00F57C24">
        <w:rPr>
          <w:szCs w:val="20"/>
        </w:rPr>
        <w:t xml:space="preserve">Belarus received funding from </w:t>
      </w:r>
      <w:r w:rsidR="00E55EB4">
        <w:rPr>
          <w:szCs w:val="20"/>
        </w:rPr>
        <w:t xml:space="preserve">the Joint </w:t>
      </w:r>
      <w:r w:rsidR="00F6312A">
        <w:rPr>
          <w:szCs w:val="20"/>
        </w:rPr>
        <w:t>SDG F</w:t>
      </w:r>
      <w:r w:rsidR="00E55EB4">
        <w:rPr>
          <w:szCs w:val="20"/>
        </w:rPr>
        <w:t>und</w:t>
      </w:r>
      <w:r w:rsidR="00F6312A">
        <w:rPr>
          <w:szCs w:val="20"/>
        </w:rPr>
        <w:t xml:space="preserve"> </w:t>
      </w:r>
      <w:r w:rsidR="00585C78">
        <w:rPr>
          <w:szCs w:val="20"/>
        </w:rPr>
        <w:t xml:space="preserve">(2020-2022) </w:t>
      </w:r>
      <w:r w:rsidR="00F6312A">
        <w:rPr>
          <w:szCs w:val="20"/>
        </w:rPr>
        <w:t>to conduct a DFA</w:t>
      </w:r>
      <w:r w:rsidR="00612F6C">
        <w:rPr>
          <w:szCs w:val="20"/>
        </w:rPr>
        <w:t xml:space="preserve">, </w:t>
      </w:r>
      <w:r w:rsidR="005F060D">
        <w:rPr>
          <w:szCs w:val="20"/>
        </w:rPr>
        <w:t>the facilitation of th</w:t>
      </w:r>
      <w:r w:rsidR="00FE7A65">
        <w:rPr>
          <w:szCs w:val="20"/>
        </w:rPr>
        <w:t xml:space="preserve">e </w:t>
      </w:r>
      <w:r w:rsidR="005F060D">
        <w:rPr>
          <w:szCs w:val="20"/>
        </w:rPr>
        <w:t xml:space="preserve">exercise has also indicated </w:t>
      </w:r>
      <w:r w:rsidR="0065548D">
        <w:rPr>
          <w:szCs w:val="20"/>
        </w:rPr>
        <w:t xml:space="preserve">a </w:t>
      </w:r>
      <w:r w:rsidR="005F060D">
        <w:rPr>
          <w:szCs w:val="20"/>
        </w:rPr>
        <w:t xml:space="preserve">contribution </w:t>
      </w:r>
      <w:r w:rsidR="0065548D">
        <w:rPr>
          <w:szCs w:val="20"/>
        </w:rPr>
        <w:t>to INFF Building Block 1.</w:t>
      </w:r>
    </w:p>
    <w:p w14:paraId="3D71A646" w14:textId="7612C2C2" w:rsidR="005B7CF5" w:rsidRDefault="009F5455" w:rsidP="005D5070">
      <w:pPr>
        <w:pStyle w:val="BodyText"/>
      </w:pPr>
      <w:r w:rsidRPr="009F5455">
        <w:rPr>
          <w:u w:val="single"/>
        </w:rPr>
        <w:t>Latin America and the Caribbean</w:t>
      </w:r>
      <w:r>
        <w:t>:</w:t>
      </w:r>
    </w:p>
    <w:p w14:paraId="0663DFB8" w14:textId="6A6BC989" w:rsidR="002C676C" w:rsidRDefault="003E5D88" w:rsidP="005D5070">
      <w:pPr>
        <w:pStyle w:val="BodyText"/>
      </w:pPr>
      <w:r>
        <w:t>UN</w:t>
      </w:r>
      <w:r w:rsidR="00273E7D">
        <w:t xml:space="preserve">ECLAC </w:t>
      </w:r>
      <w:r w:rsidR="00853831">
        <w:t xml:space="preserve">facilitated a </w:t>
      </w:r>
      <w:r w:rsidR="00D5466C">
        <w:t>bilateral technical workshop</w:t>
      </w:r>
      <w:r w:rsidR="00853831">
        <w:t xml:space="preserve"> </w:t>
      </w:r>
      <w:r w:rsidR="00AC44BC">
        <w:t>during the Global INFF Workshop</w:t>
      </w:r>
      <w:r>
        <w:t xml:space="preserve"> in April 2024</w:t>
      </w:r>
      <w:r w:rsidR="00AC44BC">
        <w:t>.</w:t>
      </w:r>
      <w:r w:rsidR="006949CF">
        <w:t xml:space="preserve"> The timing of the</w:t>
      </w:r>
      <w:r w:rsidR="00AE576B">
        <w:t xml:space="preserve"> bi</w:t>
      </w:r>
      <w:r>
        <w:t>l</w:t>
      </w:r>
      <w:r w:rsidR="00AE576B">
        <w:t>ateral</w:t>
      </w:r>
      <w:r>
        <w:t xml:space="preserve"> workshop </w:t>
      </w:r>
      <w:r w:rsidR="006949CF">
        <w:t xml:space="preserve">was informed by </w:t>
      </w:r>
      <w:r w:rsidR="002D1935">
        <w:t>the final selection</w:t>
      </w:r>
      <w:r w:rsidR="00D10CD4">
        <w:t xml:space="preserve"> and engagement of the target countries f</w:t>
      </w:r>
      <w:r w:rsidR="00EE752D">
        <w:t>rom the region</w:t>
      </w:r>
      <w:r w:rsidR="00D10CD4">
        <w:t>.</w:t>
      </w:r>
      <w:r w:rsidR="00D10CD4">
        <w:rPr>
          <w:rStyle w:val="FootnoteReference"/>
        </w:rPr>
        <w:footnoteReference w:id="167"/>
      </w:r>
      <w:r w:rsidR="00D53F80">
        <w:t xml:space="preserve"> </w:t>
      </w:r>
    </w:p>
    <w:p w14:paraId="24563F6C" w14:textId="1F1B5679" w:rsidR="00D53F80" w:rsidRPr="006F1D2A" w:rsidRDefault="00D53F80" w:rsidP="005D5070">
      <w:pPr>
        <w:pStyle w:val="BodyText"/>
        <w:rPr>
          <w:lang w:val="en-US"/>
        </w:rPr>
      </w:pPr>
      <w:r w:rsidRPr="006F1D2A">
        <w:lastRenderedPageBreak/>
        <w:t xml:space="preserve">At the request of the Dominican Republic, the workshop was used to </w:t>
      </w:r>
      <w:r w:rsidR="007C315B" w:rsidRPr="006F1D2A">
        <w:t xml:space="preserve">engage Colombia in a discussion on </w:t>
      </w:r>
      <w:r w:rsidR="006F5605" w:rsidRPr="006F1D2A">
        <w:t>it</w:t>
      </w:r>
      <w:r w:rsidR="00FC5197" w:rsidRPr="006F1D2A">
        <w:t>s</w:t>
      </w:r>
      <w:r w:rsidR="006F5605" w:rsidRPr="006F1D2A">
        <w:t xml:space="preserve"> experience in </w:t>
      </w:r>
      <w:r w:rsidR="00E605E9">
        <w:t xml:space="preserve">INFF </w:t>
      </w:r>
      <w:r w:rsidR="006F5605" w:rsidRPr="006F1D2A">
        <w:t>develop</w:t>
      </w:r>
      <w:r w:rsidR="00E605E9">
        <w:t>ment</w:t>
      </w:r>
      <w:r w:rsidR="006F5605" w:rsidRPr="006F1D2A">
        <w:t xml:space="preserve"> and implement</w:t>
      </w:r>
      <w:r w:rsidR="00E605E9">
        <w:t>ation</w:t>
      </w:r>
      <w:r w:rsidR="00954868" w:rsidRPr="006F1D2A">
        <w:t>. The discussion was used to explore INFF tools</w:t>
      </w:r>
      <w:r w:rsidR="00723373" w:rsidRPr="006F1D2A">
        <w:t xml:space="preserve"> for </w:t>
      </w:r>
      <w:r w:rsidR="00723373" w:rsidRPr="006F1D2A">
        <w:rPr>
          <w:lang w:val="en-US"/>
        </w:rPr>
        <w:t>measuring and analysing financing flows</w:t>
      </w:r>
      <w:r w:rsidR="0097629C" w:rsidRPr="006F1D2A">
        <w:rPr>
          <w:lang w:val="en-US"/>
        </w:rPr>
        <w:t xml:space="preserve"> based on three key issues: </w:t>
      </w:r>
      <w:r w:rsidR="0064135D" w:rsidRPr="006F1D2A">
        <w:rPr>
          <w:lang w:val="en-US"/>
        </w:rPr>
        <w:t>i</w:t>
      </w:r>
      <w:r w:rsidR="0097629C" w:rsidRPr="006F1D2A">
        <w:rPr>
          <w:lang w:val="en-US"/>
        </w:rPr>
        <w:t xml:space="preserve">) the cost </w:t>
      </w:r>
      <w:r w:rsidR="00B70AF6" w:rsidRPr="006F1D2A">
        <w:rPr>
          <w:lang w:val="en-US"/>
        </w:rPr>
        <w:t xml:space="preserve">of development; </w:t>
      </w:r>
      <w:r w:rsidR="0064135D" w:rsidRPr="006F1D2A">
        <w:rPr>
          <w:lang w:val="en-US"/>
        </w:rPr>
        <w:t>ii</w:t>
      </w:r>
      <w:r w:rsidR="00B70AF6" w:rsidRPr="006F1D2A">
        <w:rPr>
          <w:lang w:val="en-US"/>
        </w:rPr>
        <w:t xml:space="preserve">) the alignment of spending with development planning priorities; and </w:t>
      </w:r>
      <w:r w:rsidR="0064135D" w:rsidRPr="006F1D2A">
        <w:rPr>
          <w:lang w:val="en-US"/>
        </w:rPr>
        <w:t>iii</w:t>
      </w:r>
      <w:r w:rsidR="00F15290" w:rsidRPr="006F1D2A">
        <w:rPr>
          <w:lang w:val="en-US"/>
        </w:rPr>
        <w:t>) how to ensure efficient financing.</w:t>
      </w:r>
      <w:r w:rsidR="00F15290" w:rsidRPr="006F1D2A">
        <w:rPr>
          <w:rStyle w:val="FootnoteReference"/>
          <w:lang w:val="en-US"/>
        </w:rPr>
        <w:footnoteReference w:id="168"/>
      </w:r>
    </w:p>
    <w:p w14:paraId="55885C0E" w14:textId="41E6D73D" w:rsidR="00191731" w:rsidRDefault="00D10EF4" w:rsidP="005D5070">
      <w:pPr>
        <w:pStyle w:val="BodyText"/>
        <w:rPr>
          <w:rFonts w:cs="Arial"/>
          <w:szCs w:val="20"/>
        </w:rPr>
      </w:pPr>
      <w:r w:rsidRPr="00E47EB5">
        <w:rPr>
          <w:szCs w:val="20"/>
        </w:rPr>
        <w:t xml:space="preserve">At the country level, </w:t>
      </w:r>
      <w:r w:rsidR="001612B9" w:rsidRPr="00E47EB5">
        <w:rPr>
          <w:szCs w:val="20"/>
        </w:rPr>
        <w:t xml:space="preserve">UNECLAC worked in coordination with the </w:t>
      </w:r>
      <w:r w:rsidR="001612B9" w:rsidRPr="008F7D59">
        <w:rPr>
          <w:rFonts w:cs="Arial"/>
          <w:szCs w:val="20"/>
        </w:rPr>
        <w:t>Ministry</w:t>
      </w:r>
      <w:r w:rsidR="001612B9" w:rsidRPr="00E47EB5">
        <w:rPr>
          <w:rFonts w:cs="Arial"/>
          <w:szCs w:val="20"/>
        </w:rPr>
        <w:t xml:space="preserve"> of Economy, Planning and Development of the Dominican Republic</w:t>
      </w:r>
      <w:r w:rsidR="0024313F" w:rsidRPr="00E47EB5">
        <w:rPr>
          <w:rFonts w:cs="Arial"/>
          <w:szCs w:val="20"/>
        </w:rPr>
        <w:t xml:space="preserve"> to support </w:t>
      </w:r>
      <w:r w:rsidR="00E47EB5" w:rsidRPr="00E47EB5">
        <w:rPr>
          <w:rFonts w:cs="Arial"/>
          <w:szCs w:val="20"/>
        </w:rPr>
        <w:t>the development of an INFF. This process</w:t>
      </w:r>
      <w:r w:rsidR="003328EF">
        <w:rPr>
          <w:rFonts w:cs="Arial"/>
          <w:szCs w:val="20"/>
        </w:rPr>
        <w:t xml:space="preserve"> also included</w:t>
      </w:r>
      <w:r w:rsidR="00191731">
        <w:rPr>
          <w:rFonts w:cs="Arial"/>
          <w:szCs w:val="20"/>
        </w:rPr>
        <w:t>:</w:t>
      </w:r>
    </w:p>
    <w:p w14:paraId="79DD38CF" w14:textId="2056FCDA" w:rsidR="003328EF" w:rsidRDefault="008F7D59" w:rsidP="003B672F">
      <w:pPr>
        <w:pStyle w:val="BodyText"/>
        <w:numPr>
          <w:ilvl w:val="0"/>
          <w:numId w:val="103"/>
        </w:numPr>
        <w:rPr>
          <w:rFonts w:cs="Arial"/>
          <w:szCs w:val="20"/>
        </w:rPr>
      </w:pPr>
      <w:r>
        <w:rPr>
          <w:rFonts w:cs="Arial"/>
          <w:szCs w:val="20"/>
        </w:rPr>
        <w:t>Collaborating</w:t>
      </w:r>
      <w:r w:rsidR="003328EF">
        <w:rPr>
          <w:rFonts w:cs="Arial"/>
          <w:szCs w:val="20"/>
        </w:rPr>
        <w:t xml:space="preserve"> with UNDESA through its embedded consult</w:t>
      </w:r>
      <w:r w:rsidR="00191731">
        <w:rPr>
          <w:rFonts w:cs="Arial"/>
          <w:szCs w:val="20"/>
        </w:rPr>
        <w:t>ant at the ministry</w:t>
      </w:r>
      <w:r w:rsidR="00FD7C0A">
        <w:rPr>
          <w:rFonts w:cs="Arial"/>
          <w:szCs w:val="20"/>
        </w:rPr>
        <w:t>;</w:t>
      </w:r>
    </w:p>
    <w:p w14:paraId="087D7D4A" w14:textId="4AB37F21" w:rsidR="00E47EB5" w:rsidRDefault="00276B20" w:rsidP="003B672F">
      <w:pPr>
        <w:pStyle w:val="BodyText"/>
        <w:numPr>
          <w:ilvl w:val="0"/>
          <w:numId w:val="103"/>
        </w:numPr>
        <w:rPr>
          <w:szCs w:val="20"/>
        </w:rPr>
      </w:pPr>
      <w:r>
        <w:rPr>
          <w:szCs w:val="20"/>
        </w:rPr>
        <w:t>F</w:t>
      </w:r>
      <w:r w:rsidR="00E47EB5">
        <w:rPr>
          <w:szCs w:val="20"/>
        </w:rPr>
        <w:t>acilitati</w:t>
      </w:r>
      <w:r>
        <w:rPr>
          <w:szCs w:val="20"/>
        </w:rPr>
        <w:t>ng</w:t>
      </w:r>
      <w:r w:rsidR="00E47EB5">
        <w:rPr>
          <w:szCs w:val="20"/>
        </w:rPr>
        <w:t xml:space="preserve"> an inception meeting </w:t>
      </w:r>
      <w:r>
        <w:rPr>
          <w:szCs w:val="20"/>
        </w:rPr>
        <w:t>with national authorities and UNCT;</w:t>
      </w:r>
    </w:p>
    <w:p w14:paraId="6B92B32B" w14:textId="60A2AA25" w:rsidR="00C86E67" w:rsidRDefault="00870B4C" w:rsidP="003B672F">
      <w:pPr>
        <w:pStyle w:val="BodyText"/>
        <w:numPr>
          <w:ilvl w:val="0"/>
          <w:numId w:val="103"/>
        </w:numPr>
        <w:rPr>
          <w:szCs w:val="20"/>
        </w:rPr>
      </w:pPr>
      <w:r>
        <w:rPr>
          <w:szCs w:val="20"/>
        </w:rPr>
        <w:t xml:space="preserve">Conducting an analysis of </w:t>
      </w:r>
      <w:r w:rsidR="004C7210">
        <w:rPr>
          <w:szCs w:val="20"/>
        </w:rPr>
        <w:t>country progress on the National Development Strategy</w:t>
      </w:r>
      <w:r w:rsidR="0036408A">
        <w:rPr>
          <w:szCs w:val="20"/>
        </w:rPr>
        <w:t xml:space="preserve"> and the SDGs</w:t>
      </w:r>
      <w:r w:rsidR="00116D70">
        <w:rPr>
          <w:szCs w:val="20"/>
        </w:rPr>
        <w:t xml:space="preserve">; and </w:t>
      </w:r>
    </w:p>
    <w:p w14:paraId="70446D5C" w14:textId="77777777" w:rsidR="00D21D95" w:rsidRDefault="00C86E67" w:rsidP="003B672F">
      <w:pPr>
        <w:pStyle w:val="BodyText"/>
        <w:numPr>
          <w:ilvl w:val="0"/>
          <w:numId w:val="103"/>
        </w:numPr>
        <w:rPr>
          <w:szCs w:val="20"/>
        </w:rPr>
      </w:pPr>
      <w:r>
        <w:rPr>
          <w:szCs w:val="20"/>
        </w:rPr>
        <w:t>Exploring innovative financing tools</w:t>
      </w:r>
      <w:r w:rsidR="00756794">
        <w:rPr>
          <w:szCs w:val="20"/>
        </w:rPr>
        <w:t xml:space="preserve"> and reviewing legal frameworks; international experiences; ta</w:t>
      </w:r>
      <w:r w:rsidR="00116D70">
        <w:rPr>
          <w:szCs w:val="20"/>
        </w:rPr>
        <w:t>x exemptions; and public management recommendations</w:t>
      </w:r>
    </w:p>
    <w:p w14:paraId="12189348" w14:textId="25E367B5" w:rsidR="00276B20" w:rsidRDefault="00D21D95" w:rsidP="00D21D95">
      <w:pPr>
        <w:pStyle w:val="BodyText"/>
        <w:jc w:val="right"/>
        <w:rPr>
          <w:szCs w:val="20"/>
        </w:rPr>
      </w:pPr>
      <w:r>
        <w:rPr>
          <w:szCs w:val="20"/>
        </w:rPr>
        <w:t xml:space="preserve">Source: </w:t>
      </w:r>
      <w:r w:rsidRPr="00B8017C">
        <w:rPr>
          <w:szCs w:val="20"/>
        </w:rPr>
        <w:t>Final project report, March 2025</w:t>
      </w:r>
      <w:r>
        <w:rPr>
          <w:szCs w:val="20"/>
        </w:rPr>
        <w:t>.</w:t>
      </w:r>
    </w:p>
    <w:p w14:paraId="2AF7E96A" w14:textId="4EB7CE6A" w:rsidR="008F7D59" w:rsidRDefault="00D21D95" w:rsidP="005D5070">
      <w:pPr>
        <w:pStyle w:val="BodyText"/>
        <w:rPr>
          <w:rFonts w:cs="Arial"/>
          <w:szCs w:val="20"/>
        </w:rPr>
      </w:pPr>
      <w:r w:rsidRPr="0053753E">
        <w:rPr>
          <w:szCs w:val="20"/>
        </w:rPr>
        <w:t xml:space="preserve">A report was developed at the end of each </w:t>
      </w:r>
      <w:r w:rsidR="00AE06E6">
        <w:rPr>
          <w:szCs w:val="20"/>
        </w:rPr>
        <w:t>scoping</w:t>
      </w:r>
      <w:r w:rsidR="0053753E" w:rsidRPr="0053753E">
        <w:rPr>
          <w:szCs w:val="20"/>
        </w:rPr>
        <w:t xml:space="preserve"> </w:t>
      </w:r>
      <w:r w:rsidRPr="0053753E">
        <w:rPr>
          <w:szCs w:val="20"/>
        </w:rPr>
        <w:t xml:space="preserve">exercise and was submitted to </w:t>
      </w:r>
      <w:r w:rsidR="00C50E6A" w:rsidRPr="0053753E">
        <w:rPr>
          <w:szCs w:val="20"/>
        </w:rPr>
        <w:t>the national authorities.</w:t>
      </w:r>
      <w:r w:rsidR="00537F3A" w:rsidRPr="0053753E">
        <w:rPr>
          <w:szCs w:val="20"/>
        </w:rPr>
        <w:t xml:space="preserve"> </w:t>
      </w:r>
      <w:r w:rsidR="00DB41F7" w:rsidRPr="0053753E">
        <w:rPr>
          <w:szCs w:val="20"/>
        </w:rPr>
        <w:t xml:space="preserve">The main results were disseminated to </w:t>
      </w:r>
      <w:r w:rsidR="00091D4B" w:rsidRPr="0053753E">
        <w:rPr>
          <w:rFonts w:cs="Arial"/>
          <w:szCs w:val="20"/>
        </w:rPr>
        <w:t>a broader audience of policymakers; private sector representatives</w:t>
      </w:r>
      <w:r w:rsidR="003328EF" w:rsidRPr="0053753E">
        <w:rPr>
          <w:rFonts w:cs="Arial"/>
          <w:szCs w:val="20"/>
        </w:rPr>
        <w:t>;</w:t>
      </w:r>
      <w:r w:rsidR="00091D4B" w:rsidRPr="0053753E">
        <w:rPr>
          <w:rFonts w:cs="Arial"/>
          <w:szCs w:val="20"/>
        </w:rPr>
        <w:t xml:space="preserve"> and public institutions</w:t>
      </w:r>
      <w:r w:rsidR="008F7D59">
        <w:rPr>
          <w:rFonts w:cs="Arial"/>
          <w:szCs w:val="20"/>
        </w:rPr>
        <w:t xml:space="preserve">. </w:t>
      </w:r>
    </w:p>
    <w:p w14:paraId="32470F66" w14:textId="02EC37AF" w:rsidR="00934E9D" w:rsidRDefault="0023140A" w:rsidP="005D5070">
      <w:pPr>
        <w:pStyle w:val="BodyText"/>
        <w:rPr>
          <w:szCs w:val="20"/>
        </w:rPr>
      </w:pPr>
      <w:r w:rsidRPr="000635D6">
        <w:rPr>
          <w:szCs w:val="20"/>
        </w:rPr>
        <w:t>UNEC</w:t>
      </w:r>
      <w:r w:rsidR="00072D63">
        <w:rPr>
          <w:szCs w:val="20"/>
        </w:rPr>
        <w:t>L</w:t>
      </w:r>
      <w:r w:rsidRPr="000635D6">
        <w:rPr>
          <w:szCs w:val="20"/>
        </w:rPr>
        <w:t>A</w:t>
      </w:r>
      <w:r w:rsidR="00072D63">
        <w:rPr>
          <w:szCs w:val="20"/>
        </w:rPr>
        <w:t>C</w:t>
      </w:r>
      <w:r w:rsidRPr="000635D6">
        <w:rPr>
          <w:szCs w:val="20"/>
        </w:rPr>
        <w:t xml:space="preserve"> </w:t>
      </w:r>
      <w:r w:rsidR="0072195F">
        <w:rPr>
          <w:szCs w:val="20"/>
        </w:rPr>
        <w:t xml:space="preserve">also </w:t>
      </w:r>
      <w:r w:rsidRPr="000635D6">
        <w:rPr>
          <w:rFonts w:cs="Arial"/>
          <w:szCs w:val="20"/>
        </w:rPr>
        <w:t>delivered a Sustainable Development Bond Framework to the national authorities in Costa Rica.</w:t>
      </w:r>
      <w:r w:rsidR="0072195F" w:rsidRPr="0072195F">
        <w:rPr>
          <w:szCs w:val="20"/>
        </w:rPr>
        <w:t xml:space="preserve"> </w:t>
      </w:r>
      <w:r w:rsidR="0097069F">
        <w:rPr>
          <w:szCs w:val="20"/>
        </w:rPr>
        <w:t xml:space="preserve">The process was informed by </w:t>
      </w:r>
      <w:r w:rsidR="00F80429">
        <w:rPr>
          <w:szCs w:val="20"/>
        </w:rPr>
        <w:t xml:space="preserve">the DFA that had been conducted by </w:t>
      </w:r>
      <w:r w:rsidR="0072195F">
        <w:rPr>
          <w:szCs w:val="20"/>
        </w:rPr>
        <w:t>Costa Rica</w:t>
      </w:r>
      <w:r w:rsidR="00F80429">
        <w:rPr>
          <w:szCs w:val="20"/>
        </w:rPr>
        <w:t xml:space="preserve"> using </w:t>
      </w:r>
      <w:r w:rsidR="0072195F">
        <w:rPr>
          <w:szCs w:val="20"/>
        </w:rPr>
        <w:t>fund</w:t>
      </w:r>
      <w:r w:rsidR="00F80429">
        <w:rPr>
          <w:szCs w:val="20"/>
        </w:rPr>
        <w:t xml:space="preserve">s that </w:t>
      </w:r>
      <w:r w:rsidR="00934E9D">
        <w:rPr>
          <w:szCs w:val="20"/>
        </w:rPr>
        <w:t xml:space="preserve">were received from </w:t>
      </w:r>
      <w:r w:rsidR="0072195F">
        <w:rPr>
          <w:szCs w:val="20"/>
        </w:rPr>
        <w:t xml:space="preserve">the Joint SDG Fund </w:t>
      </w:r>
      <w:r w:rsidR="00934E9D">
        <w:rPr>
          <w:szCs w:val="20"/>
        </w:rPr>
        <w:t xml:space="preserve">for </w:t>
      </w:r>
      <w:r w:rsidR="0072195F">
        <w:rPr>
          <w:szCs w:val="20"/>
        </w:rPr>
        <w:t>2020-2022</w:t>
      </w:r>
      <w:r w:rsidR="00934E9D">
        <w:rPr>
          <w:szCs w:val="20"/>
        </w:rPr>
        <w:t>.</w:t>
      </w:r>
    </w:p>
    <w:p w14:paraId="238E61C8" w14:textId="52CA23F5" w:rsidR="00C4087F" w:rsidRDefault="0009181E" w:rsidP="005D5070">
      <w:pPr>
        <w:pStyle w:val="BodyText"/>
        <w:rPr>
          <w:rFonts w:cs="Arial"/>
          <w:szCs w:val="20"/>
        </w:rPr>
      </w:pPr>
      <w:r>
        <w:rPr>
          <w:rFonts w:cs="Arial"/>
          <w:szCs w:val="20"/>
        </w:rPr>
        <w:t xml:space="preserve">Costa Rica and the Dominican Republic </w:t>
      </w:r>
      <w:r w:rsidR="000E6D29">
        <w:rPr>
          <w:rFonts w:cs="Arial"/>
          <w:szCs w:val="20"/>
        </w:rPr>
        <w:t xml:space="preserve">have taken steps to facilitate the INFF </w:t>
      </w:r>
      <w:r w:rsidR="00F05FBC">
        <w:rPr>
          <w:rFonts w:cs="Arial"/>
          <w:szCs w:val="20"/>
        </w:rPr>
        <w:t>building blocks</w:t>
      </w:r>
      <w:r>
        <w:rPr>
          <w:rFonts w:cs="Arial"/>
          <w:szCs w:val="20"/>
        </w:rPr>
        <w:t xml:space="preserve"> and </w:t>
      </w:r>
      <w:r w:rsidR="0050737E">
        <w:rPr>
          <w:rFonts w:cs="Arial"/>
          <w:szCs w:val="20"/>
        </w:rPr>
        <w:t xml:space="preserve">have contributed towards </w:t>
      </w:r>
      <w:r>
        <w:rPr>
          <w:rFonts w:cs="Arial"/>
          <w:szCs w:val="20"/>
        </w:rPr>
        <w:t xml:space="preserve">Building Block </w:t>
      </w:r>
      <w:r w:rsidR="004927DE">
        <w:rPr>
          <w:rFonts w:cs="Arial"/>
          <w:szCs w:val="20"/>
        </w:rPr>
        <w:t>1</w:t>
      </w:r>
      <w:r w:rsidR="0050737E">
        <w:rPr>
          <w:rFonts w:cs="Arial"/>
          <w:szCs w:val="20"/>
        </w:rPr>
        <w:t xml:space="preserve">. </w:t>
      </w:r>
      <w:r w:rsidR="00C4087F">
        <w:rPr>
          <w:rFonts w:cs="Arial"/>
          <w:szCs w:val="20"/>
        </w:rPr>
        <w:t xml:space="preserve">Based on the development of the </w:t>
      </w:r>
      <w:r w:rsidR="00C4087F" w:rsidRPr="000635D6">
        <w:rPr>
          <w:rFonts w:cs="Arial"/>
          <w:szCs w:val="20"/>
        </w:rPr>
        <w:t xml:space="preserve">Sustainable Development Bond </w:t>
      </w:r>
      <w:r w:rsidR="00C4087F" w:rsidRPr="000635D6">
        <w:rPr>
          <w:rFonts w:cs="Arial"/>
          <w:szCs w:val="20"/>
        </w:rPr>
        <w:t>Framework</w:t>
      </w:r>
      <w:r w:rsidR="00C4087F">
        <w:rPr>
          <w:rFonts w:cs="Arial"/>
          <w:szCs w:val="20"/>
        </w:rPr>
        <w:t xml:space="preserve">, Cosa Rica has also contributed towards Building Block 2: </w:t>
      </w:r>
      <w:r w:rsidR="00BF4221">
        <w:rPr>
          <w:rFonts w:cs="Arial"/>
          <w:szCs w:val="20"/>
        </w:rPr>
        <w:t>Financing Strategy.</w:t>
      </w:r>
    </w:p>
    <w:p w14:paraId="69A3F578" w14:textId="27B383CF" w:rsidR="005B7CF5" w:rsidRDefault="00EC2FD6" w:rsidP="005D5070">
      <w:pPr>
        <w:pStyle w:val="BodyText"/>
      </w:pPr>
      <w:r w:rsidRPr="00EC2FD6">
        <w:rPr>
          <w:u w:val="single"/>
        </w:rPr>
        <w:t>Western Asia</w:t>
      </w:r>
      <w:r>
        <w:t>:</w:t>
      </w:r>
    </w:p>
    <w:p w14:paraId="38842AE9" w14:textId="30DDFDA4" w:rsidR="009E01A9" w:rsidRDefault="00085BB3" w:rsidP="005D5070">
      <w:pPr>
        <w:pStyle w:val="BodyText"/>
        <w:rPr>
          <w:rFonts w:cs="Arial"/>
          <w:szCs w:val="20"/>
        </w:rPr>
      </w:pPr>
      <w:r>
        <w:t>UNESCWA organised two regional workshops for high-level officials from target and non-project countries</w:t>
      </w:r>
      <w:r w:rsidR="00C955F5">
        <w:t xml:space="preserve"> </w:t>
      </w:r>
      <w:r w:rsidR="00D01FF6">
        <w:t xml:space="preserve">in December 2021 and April 2024. </w:t>
      </w:r>
      <w:r w:rsidR="00201FFF">
        <w:t xml:space="preserve">The </w:t>
      </w:r>
      <w:r w:rsidR="00EB1588">
        <w:t>w</w:t>
      </w:r>
      <w:r w:rsidR="000F433D">
        <w:t>orkshop</w:t>
      </w:r>
      <w:r w:rsidR="00201FFF">
        <w:t xml:space="preserve">s were </w:t>
      </w:r>
      <w:r w:rsidR="000F433D">
        <w:t xml:space="preserve">conducted </w:t>
      </w:r>
      <w:r w:rsidR="000F433D" w:rsidRPr="00585B67">
        <w:rPr>
          <w:szCs w:val="20"/>
        </w:rPr>
        <w:t>back-to-back with the</w:t>
      </w:r>
      <w:r w:rsidR="000F433D">
        <w:rPr>
          <w:szCs w:val="20"/>
        </w:rPr>
        <w:t xml:space="preserve"> </w:t>
      </w:r>
      <w:r w:rsidR="00EB1588">
        <w:rPr>
          <w:szCs w:val="20"/>
        </w:rPr>
        <w:t>s</w:t>
      </w:r>
      <w:r w:rsidR="000F433D" w:rsidRPr="00455986">
        <w:rPr>
          <w:szCs w:val="20"/>
        </w:rPr>
        <w:t>ession</w:t>
      </w:r>
      <w:r w:rsidR="00EB1588">
        <w:rPr>
          <w:szCs w:val="20"/>
        </w:rPr>
        <w:t>s</w:t>
      </w:r>
      <w:r w:rsidR="000F433D" w:rsidRPr="00455986">
        <w:rPr>
          <w:szCs w:val="20"/>
        </w:rPr>
        <w:t xml:space="preserve"> of the </w:t>
      </w:r>
      <w:r w:rsidR="000F433D" w:rsidRPr="00455986">
        <w:rPr>
          <w:rFonts w:cs="Arial"/>
          <w:szCs w:val="20"/>
        </w:rPr>
        <w:t>Inter-governmental Committee on Financing for Development in the Arab Region</w:t>
      </w:r>
      <w:r w:rsidR="000F433D">
        <w:rPr>
          <w:rFonts w:ascii="Calibri" w:hAnsi="Calibri" w:cs="Arial"/>
          <w:sz w:val="16"/>
          <w:szCs w:val="16"/>
        </w:rPr>
        <w:t>.</w:t>
      </w:r>
      <w:r w:rsidR="000F433D">
        <w:rPr>
          <w:rStyle w:val="FootnoteReference"/>
          <w:rFonts w:ascii="Calibri" w:hAnsi="Calibri" w:cs="Arial"/>
          <w:sz w:val="16"/>
          <w:szCs w:val="16"/>
        </w:rPr>
        <w:footnoteReference w:id="169"/>
      </w:r>
      <w:r w:rsidR="000F433D" w:rsidRPr="00713CFD">
        <w:rPr>
          <w:rFonts w:cs="Arial"/>
          <w:szCs w:val="20"/>
        </w:rPr>
        <w:t xml:space="preserve"> </w:t>
      </w:r>
      <w:r w:rsidR="00201FFF">
        <w:t xml:space="preserve">All supporting documents were provided in Arabic. </w:t>
      </w:r>
      <w:r w:rsidR="005B368D">
        <w:t>UNESCWA led discussion</w:t>
      </w:r>
      <w:r w:rsidR="000A31D1">
        <w:t>s</w:t>
      </w:r>
      <w:r w:rsidR="005B368D">
        <w:t xml:space="preserve"> on </w:t>
      </w:r>
      <w:r w:rsidR="005B368D">
        <w:rPr>
          <w:rFonts w:cs="Arial"/>
          <w:szCs w:val="20"/>
        </w:rPr>
        <w:t>the main financing risks within the region</w:t>
      </w:r>
      <w:r w:rsidR="008F1F93">
        <w:rPr>
          <w:rFonts w:cs="Arial"/>
          <w:szCs w:val="20"/>
        </w:rPr>
        <w:t xml:space="preserve">, and presented </w:t>
      </w:r>
      <w:r w:rsidR="009C151D">
        <w:rPr>
          <w:rFonts w:cs="Arial"/>
          <w:szCs w:val="20"/>
        </w:rPr>
        <w:t>the tools that were a</w:t>
      </w:r>
      <w:r w:rsidR="0026571C">
        <w:rPr>
          <w:rFonts w:cs="Arial"/>
          <w:szCs w:val="20"/>
        </w:rPr>
        <w:t xml:space="preserve">ccessible through its virtual platform, the </w:t>
      </w:r>
      <w:hyperlink r:id="rId67" w:history="1">
        <w:r w:rsidR="0026571C" w:rsidRPr="00C82315">
          <w:rPr>
            <w:rStyle w:val="Hyperlink"/>
            <w:rFonts w:cs="Arial"/>
            <w:szCs w:val="20"/>
          </w:rPr>
          <w:t>Arab Financing for Development Gateway</w:t>
        </w:r>
      </w:hyperlink>
      <w:r w:rsidR="0026571C">
        <w:t>,</w:t>
      </w:r>
      <w:r w:rsidR="0026571C" w:rsidRPr="00B954B8">
        <w:rPr>
          <w:rStyle w:val="FootnoteReference"/>
        </w:rPr>
        <w:footnoteReference w:id="170"/>
      </w:r>
      <w:r w:rsidR="00A61F80">
        <w:t xml:space="preserve"> </w:t>
      </w:r>
      <w:r w:rsidR="009C151D">
        <w:rPr>
          <w:rFonts w:cs="Arial"/>
          <w:szCs w:val="20"/>
        </w:rPr>
        <w:t xml:space="preserve">to support </w:t>
      </w:r>
      <w:r w:rsidR="0026571C">
        <w:rPr>
          <w:rFonts w:cs="Arial"/>
          <w:szCs w:val="20"/>
        </w:rPr>
        <w:t>INFF development and implementation.</w:t>
      </w:r>
    </w:p>
    <w:p w14:paraId="111802F5" w14:textId="2793C3CB" w:rsidR="00A61F80" w:rsidRDefault="00A61F80" w:rsidP="00A61F80">
      <w:pPr>
        <w:pStyle w:val="BodyText"/>
      </w:pPr>
      <w:r>
        <w:t>In Jordan, technical assistance from UNESCWA built on country level efforts to establish a financial ecosystem</w:t>
      </w:r>
      <w:r w:rsidR="00170FB9">
        <w:t xml:space="preserve">, </w:t>
      </w:r>
      <w:r>
        <w:t>to support the national vision for economic modernisation.</w:t>
      </w:r>
      <w:r>
        <w:rPr>
          <w:rStyle w:val="FootnoteReference"/>
        </w:rPr>
        <w:footnoteReference w:id="171"/>
      </w:r>
      <w:r>
        <w:t xml:space="preserve"> Technical assistance to Egypt centred on the development of </w:t>
      </w:r>
      <w:hyperlink r:id="rId68" w:history="1">
        <w:r w:rsidRPr="00E64059">
          <w:rPr>
            <w:rStyle w:val="Hyperlink"/>
          </w:rPr>
          <w:t>Egypt’s Integrated National Financing Strategy</w:t>
        </w:r>
      </w:hyperlink>
      <w:r>
        <w:t xml:space="preserve">, which was launched in March 2025. The UNESCWA approach to technical assistance </w:t>
      </w:r>
      <w:r w:rsidR="00394A42">
        <w:t>was</w:t>
      </w:r>
      <w:r>
        <w:t xml:space="preserve"> based on a coordinated approach </w:t>
      </w:r>
      <w:r w:rsidR="00394A42">
        <w:t>involvin</w:t>
      </w:r>
      <w:r w:rsidR="00145A18">
        <w:t>g</w:t>
      </w:r>
      <w:r>
        <w:t>:</w:t>
      </w:r>
    </w:p>
    <w:p w14:paraId="6136230E" w14:textId="77777777" w:rsidR="00A61F80" w:rsidRPr="00B954B8" w:rsidRDefault="00A61F80" w:rsidP="003B672F">
      <w:pPr>
        <w:pStyle w:val="BodyText"/>
        <w:numPr>
          <w:ilvl w:val="0"/>
          <w:numId w:val="94"/>
        </w:numPr>
      </w:pPr>
      <w:r>
        <w:t xml:space="preserve">Strategic dialogue and technical discussions (e.g. discussions with RCO and UNCTs, to foster a cohesive approach to technical </w:t>
      </w:r>
      <w:r w:rsidRPr="00B954B8">
        <w:t>assistance);</w:t>
      </w:r>
    </w:p>
    <w:p w14:paraId="74EBC250" w14:textId="040F3C0C" w:rsidR="00A61F80" w:rsidRPr="00B954B8" w:rsidRDefault="00A61F80" w:rsidP="003B672F">
      <w:pPr>
        <w:pStyle w:val="BodyText"/>
        <w:numPr>
          <w:ilvl w:val="0"/>
          <w:numId w:val="94"/>
        </w:numPr>
      </w:pPr>
      <w:r w:rsidRPr="00B954B8">
        <w:t>Development of technical reports and manuals</w:t>
      </w:r>
      <w:r w:rsidR="000239B1">
        <w:t>;</w:t>
      </w:r>
    </w:p>
    <w:p w14:paraId="138A60B7" w14:textId="77777777" w:rsidR="00A61F80" w:rsidRPr="00B954B8" w:rsidRDefault="00A61F80" w:rsidP="003B672F">
      <w:pPr>
        <w:pStyle w:val="BodyText"/>
        <w:numPr>
          <w:ilvl w:val="0"/>
          <w:numId w:val="94"/>
        </w:numPr>
      </w:pPr>
      <w:r w:rsidRPr="00B954B8">
        <w:t>Technical workshops, to build the capacity of counterpart MDAs in INFF development and implementation; and</w:t>
      </w:r>
    </w:p>
    <w:p w14:paraId="3EAD0474" w14:textId="48FA6F37" w:rsidR="00A61F80" w:rsidRPr="00B954B8" w:rsidRDefault="00A61F80" w:rsidP="003B672F">
      <w:pPr>
        <w:pStyle w:val="BodyText"/>
        <w:numPr>
          <w:ilvl w:val="0"/>
          <w:numId w:val="94"/>
        </w:numPr>
      </w:pPr>
      <w:r w:rsidRPr="00B954B8">
        <w:t xml:space="preserve">Contributions to the analysis and validation of </w:t>
      </w:r>
      <w:r w:rsidR="000239B1">
        <w:t xml:space="preserve">DFAs </w:t>
      </w:r>
    </w:p>
    <w:p w14:paraId="0E90A3EB" w14:textId="77777777" w:rsidR="00A61F80" w:rsidRDefault="00A61F80" w:rsidP="00A61F80">
      <w:pPr>
        <w:pStyle w:val="BodyText"/>
        <w:jc w:val="right"/>
      </w:pPr>
      <w:r w:rsidRPr="00B954B8">
        <w:t>Source: Final project report, March 2025.</w:t>
      </w:r>
    </w:p>
    <w:p w14:paraId="38AA5315" w14:textId="77777777" w:rsidR="00EA2F50" w:rsidRDefault="00EA2F50" w:rsidP="005D5070">
      <w:pPr>
        <w:pStyle w:val="BodyText"/>
        <w:rPr>
          <w:rFonts w:cs="Arial"/>
          <w:szCs w:val="20"/>
        </w:rPr>
      </w:pPr>
    </w:p>
    <w:p w14:paraId="7677C18B" w14:textId="77777777" w:rsidR="00EA2F50" w:rsidRDefault="00EA2F50" w:rsidP="005D5070">
      <w:pPr>
        <w:pStyle w:val="BodyText"/>
        <w:rPr>
          <w:rFonts w:cs="Arial"/>
          <w:szCs w:val="20"/>
        </w:rPr>
      </w:pPr>
    </w:p>
    <w:p w14:paraId="74BE2CE0" w14:textId="79421049" w:rsidR="00480F79" w:rsidRDefault="006C717D" w:rsidP="005D5070">
      <w:pPr>
        <w:pStyle w:val="BodyText"/>
        <w:rPr>
          <w:rFonts w:cs="Arial"/>
          <w:szCs w:val="20"/>
        </w:rPr>
      </w:pPr>
      <w:r>
        <w:rPr>
          <w:rFonts w:cs="Arial"/>
          <w:szCs w:val="20"/>
        </w:rPr>
        <w:lastRenderedPageBreak/>
        <w:t>Examples o</w:t>
      </w:r>
      <w:r w:rsidR="001229B9">
        <w:rPr>
          <w:rFonts w:cs="Arial"/>
          <w:szCs w:val="20"/>
        </w:rPr>
        <w:t xml:space="preserve">f specific </w:t>
      </w:r>
      <w:r w:rsidR="009E3015">
        <w:rPr>
          <w:rFonts w:cs="Arial"/>
          <w:szCs w:val="20"/>
        </w:rPr>
        <w:t xml:space="preserve">country-level </w:t>
      </w:r>
      <w:r w:rsidR="001229B9">
        <w:rPr>
          <w:rFonts w:cs="Arial"/>
          <w:szCs w:val="20"/>
        </w:rPr>
        <w:t>developments</w:t>
      </w:r>
      <w:r w:rsidR="000D449B">
        <w:rPr>
          <w:rFonts w:cs="Arial"/>
          <w:szCs w:val="20"/>
        </w:rPr>
        <w:t xml:space="preserve"> include:</w:t>
      </w:r>
    </w:p>
    <w:p w14:paraId="3CEAF8B5" w14:textId="274F185D" w:rsidR="002066B4" w:rsidRDefault="002066B4" w:rsidP="002066B4">
      <w:pPr>
        <w:pStyle w:val="BodyText"/>
        <w:ind w:left="360"/>
        <w:rPr>
          <w:rFonts w:cs="Arial"/>
          <w:szCs w:val="20"/>
        </w:rPr>
      </w:pPr>
      <w:r>
        <w:rPr>
          <w:rFonts w:cs="Arial"/>
          <w:szCs w:val="20"/>
        </w:rPr>
        <w:t>Egypt</w:t>
      </w:r>
      <w:r w:rsidR="001D0E9D">
        <w:rPr>
          <w:rFonts w:cs="Arial"/>
          <w:szCs w:val="20"/>
        </w:rPr>
        <w:t>:</w:t>
      </w:r>
    </w:p>
    <w:p w14:paraId="7484E9CB" w14:textId="15008C08" w:rsidR="000D449B" w:rsidRPr="00FB209A" w:rsidRDefault="00D5489E" w:rsidP="003B672F">
      <w:pPr>
        <w:pStyle w:val="BodyText"/>
        <w:numPr>
          <w:ilvl w:val="0"/>
          <w:numId w:val="104"/>
        </w:numPr>
        <w:rPr>
          <w:rFonts w:cs="Arial"/>
          <w:szCs w:val="20"/>
        </w:rPr>
      </w:pPr>
      <w:r w:rsidRPr="00FB209A">
        <w:rPr>
          <w:rFonts w:cs="Arial"/>
          <w:szCs w:val="20"/>
        </w:rPr>
        <w:t xml:space="preserve">Establishment of a joint team with the Ministry of Planning and Economic Development to assess key tools and </w:t>
      </w:r>
      <w:r w:rsidR="00C43705" w:rsidRPr="00FB209A">
        <w:rPr>
          <w:rFonts w:cs="Arial"/>
          <w:szCs w:val="20"/>
        </w:rPr>
        <w:t>advance the blueprint for an INFF</w:t>
      </w:r>
      <w:r w:rsidR="007D2310">
        <w:rPr>
          <w:rFonts w:cs="Arial"/>
          <w:szCs w:val="20"/>
        </w:rPr>
        <w:t>,</w:t>
      </w:r>
      <w:r w:rsidR="00C43705" w:rsidRPr="00FB209A">
        <w:rPr>
          <w:rFonts w:cs="Arial"/>
          <w:szCs w:val="20"/>
        </w:rPr>
        <w:t xml:space="preserve"> and validate </w:t>
      </w:r>
      <w:r w:rsidR="009B65CA" w:rsidRPr="00FB209A">
        <w:rPr>
          <w:rFonts w:cs="Arial"/>
          <w:szCs w:val="20"/>
        </w:rPr>
        <w:t>actions related to SDG costing; financing; budgeting; and locali</w:t>
      </w:r>
      <w:r w:rsidR="002118A9">
        <w:rPr>
          <w:rFonts w:cs="Arial"/>
          <w:szCs w:val="20"/>
        </w:rPr>
        <w:t>s</w:t>
      </w:r>
      <w:r w:rsidR="009B65CA" w:rsidRPr="00FB209A">
        <w:rPr>
          <w:rFonts w:cs="Arial"/>
          <w:szCs w:val="20"/>
        </w:rPr>
        <w:t>ation;</w:t>
      </w:r>
    </w:p>
    <w:p w14:paraId="3DE56989" w14:textId="1F4F90C5" w:rsidR="009B65CA" w:rsidRPr="00FB209A" w:rsidRDefault="002066B4" w:rsidP="003B672F">
      <w:pPr>
        <w:pStyle w:val="BodyText"/>
        <w:numPr>
          <w:ilvl w:val="0"/>
          <w:numId w:val="104"/>
        </w:numPr>
        <w:rPr>
          <w:rFonts w:cs="Arial"/>
          <w:szCs w:val="20"/>
        </w:rPr>
      </w:pPr>
      <w:r w:rsidRPr="00FB209A">
        <w:rPr>
          <w:rFonts w:cs="Arial"/>
          <w:szCs w:val="20"/>
        </w:rPr>
        <w:t>National INFF workshop</w:t>
      </w:r>
      <w:r w:rsidR="00F01F8E" w:rsidRPr="00FB209A">
        <w:rPr>
          <w:rFonts w:cs="Arial"/>
          <w:szCs w:val="20"/>
        </w:rPr>
        <w:t xml:space="preserve"> to cultivate a shared understanding of the methodologies; empirical assessments; and values required </w:t>
      </w:r>
      <w:r w:rsidR="00916C5C" w:rsidRPr="00FB209A">
        <w:rPr>
          <w:rFonts w:cs="Arial"/>
          <w:szCs w:val="20"/>
        </w:rPr>
        <w:t>to support the national financing strategy;</w:t>
      </w:r>
    </w:p>
    <w:p w14:paraId="613B3DB2" w14:textId="6B574E07" w:rsidR="00B137B3" w:rsidRPr="00FB209A" w:rsidRDefault="00916C5C" w:rsidP="003B672F">
      <w:pPr>
        <w:pStyle w:val="BodyText"/>
        <w:numPr>
          <w:ilvl w:val="0"/>
          <w:numId w:val="104"/>
        </w:numPr>
        <w:rPr>
          <w:rFonts w:cs="Arial"/>
          <w:szCs w:val="20"/>
        </w:rPr>
      </w:pPr>
      <w:r w:rsidRPr="00FB209A">
        <w:rPr>
          <w:rFonts w:cs="Arial"/>
          <w:szCs w:val="20"/>
        </w:rPr>
        <w:t xml:space="preserve">Development </w:t>
      </w:r>
      <w:r w:rsidR="00BB64AE" w:rsidRPr="00FB209A">
        <w:rPr>
          <w:rFonts w:cs="Arial"/>
          <w:szCs w:val="20"/>
        </w:rPr>
        <w:t xml:space="preserve">of </w:t>
      </w:r>
      <w:hyperlink r:id="rId69" w:history="1">
        <w:r w:rsidR="000A32FB" w:rsidRPr="00FB209A">
          <w:rPr>
            <w:rStyle w:val="Hyperlink"/>
            <w:rFonts w:cs="Arial"/>
            <w:szCs w:val="20"/>
          </w:rPr>
          <w:t>Towards a</w:t>
        </w:r>
        <w:r w:rsidR="00FB0D05" w:rsidRPr="00FB209A">
          <w:rPr>
            <w:rStyle w:val="Hyperlink"/>
            <w:rFonts w:cs="Arial"/>
            <w:szCs w:val="20"/>
          </w:rPr>
          <w:t xml:space="preserve">n Evidence-based </w:t>
        </w:r>
        <w:r w:rsidR="00802F75" w:rsidRPr="00FB209A">
          <w:rPr>
            <w:rStyle w:val="Hyperlink"/>
            <w:rFonts w:cs="Arial"/>
            <w:szCs w:val="20"/>
          </w:rPr>
          <w:t>INFF</w:t>
        </w:r>
      </w:hyperlink>
      <w:r w:rsidR="00ED2306" w:rsidRPr="00FB209A">
        <w:rPr>
          <w:rFonts w:cs="Arial"/>
          <w:szCs w:val="20"/>
        </w:rPr>
        <w:t xml:space="preserve">, </w:t>
      </w:r>
      <w:r w:rsidR="008224A7" w:rsidRPr="00FB209A">
        <w:rPr>
          <w:rFonts w:cs="Arial"/>
          <w:szCs w:val="20"/>
        </w:rPr>
        <w:t xml:space="preserve">findings from more than </w:t>
      </w:r>
      <w:r w:rsidR="0089159B" w:rsidRPr="00FB209A">
        <w:rPr>
          <w:rFonts w:cs="Arial"/>
          <w:szCs w:val="20"/>
        </w:rPr>
        <w:t>30 empirical financing assessments</w:t>
      </w:r>
      <w:r w:rsidR="0051784D">
        <w:rPr>
          <w:rFonts w:cs="Arial"/>
          <w:szCs w:val="20"/>
        </w:rPr>
        <w:t>,</w:t>
      </w:r>
      <w:r w:rsidR="0089159B" w:rsidRPr="00FB209A">
        <w:rPr>
          <w:rFonts w:cs="Arial"/>
          <w:szCs w:val="20"/>
        </w:rPr>
        <w:t xml:space="preserve"> </w:t>
      </w:r>
      <w:r w:rsidR="00ED2306" w:rsidRPr="00FB209A">
        <w:rPr>
          <w:rFonts w:cs="Arial"/>
          <w:szCs w:val="20"/>
        </w:rPr>
        <w:t>to inform a country-owned financing strategy</w:t>
      </w:r>
      <w:r w:rsidR="00A4133A" w:rsidRPr="00FB209A">
        <w:rPr>
          <w:rFonts w:cs="Arial"/>
          <w:szCs w:val="20"/>
        </w:rPr>
        <w:t>;</w:t>
      </w:r>
      <w:r w:rsidR="002118A9">
        <w:rPr>
          <w:rFonts w:cs="Arial"/>
          <w:szCs w:val="20"/>
        </w:rPr>
        <w:t xml:space="preserve"> and</w:t>
      </w:r>
    </w:p>
    <w:p w14:paraId="1E705896" w14:textId="0D71E2AA" w:rsidR="00B137B3" w:rsidRPr="00FB209A" w:rsidRDefault="00BB64AE" w:rsidP="003B672F">
      <w:pPr>
        <w:pStyle w:val="BodyText"/>
        <w:numPr>
          <w:ilvl w:val="0"/>
          <w:numId w:val="104"/>
        </w:numPr>
        <w:rPr>
          <w:rFonts w:cs="Arial"/>
          <w:szCs w:val="20"/>
        </w:rPr>
      </w:pPr>
      <w:r w:rsidRPr="00FB209A">
        <w:rPr>
          <w:rFonts w:cs="Arial"/>
          <w:szCs w:val="20"/>
        </w:rPr>
        <w:t xml:space="preserve"> </w:t>
      </w:r>
      <w:r w:rsidR="00B137B3" w:rsidRPr="00FB209A">
        <w:rPr>
          <w:rFonts w:cs="Arial"/>
          <w:szCs w:val="20"/>
        </w:rPr>
        <w:t>Develop</w:t>
      </w:r>
      <w:r w:rsidR="00FB5EFC">
        <w:rPr>
          <w:rFonts w:cs="Arial"/>
          <w:szCs w:val="20"/>
        </w:rPr>
        <w:t>ment of</w:t>
      </w:r>
      <w:r w:rsidR="00B137B3" w:rsidRPr="00FB209A">
        <w:rPr>
          <w:rFonts w:cs="Arial"/>
          <w:szCs w:val="20"/>
        </w:rPr>
        <w:t xml:space="preserve"> a machine-learning Budget Intelligence Tool (BIT) to support INFF implementation and SDG-centric budgeting in accordance with 2022 integrated finance law</w:t>
      </w:r>
      <w:r w:rsidR="002118A9">
        <w:rPr>
          <w:rFonts w:cs="Arial"/>
          <w:szCs w:val="20"/>
        </w:rPr>
        <w:t>.</w:t>
      </w:r>
    </w:p>
    <w:p w14:paraId="010D97E3" w14:textId="20667FAE" w:rsidR="00916C5C" w:rsidRDefault="00FB209A" w:rsidP="001D0E9D">
      <w:pPr>
        <w:pStyle w:val="BodyText"/>
        <w:ind w:left="360"/>
        <w:rPr>
          <w:rFonts w:cs="Arial"/>
          <w:szCs w:val="20"/>
        </w:rPr>
      </w:pPr>
      <w:r>
        <w:rPr>
          <w:rFonts w:cs="Arial"/>
          <w:szCs w:val="20"/>
        </w:rPr>
        <w:t>Jordan</w:t>
      </w:r>
      <w:r w:rsidR="001D0E9D">
        <w:rPr>
          <w:rFonts w:cs="Arial"/>
          <w:szCs w:val="20"/>
        </w:rPr>
        <w:t>:</w:t>
      </w:r>
    </w:p>
    <w:p w14:paraId="0722CD5D" w14:textId="23DBF2EF" w:rsidR="00D343C0" w:rsidRPr="000A6BAE" w:rsidRDefault="00D343C0" w:rsidP="003B672F">
      <w:pPr>
        <w:pStyle w:val="BodyText"/>
        <w:numPr>
          <w:ilvl w:val="0"/>
          <w:numId w:val="105"/>
        </w:numPr>
        <w:rPr>
          <w:rFonts w:cs="Arial"/>
          <w:szCs w:val="20"/>
        </w:rPr>
      </w:pPr>
      <w:r w:rsidRPr="000A6BAE">
        <w:rPr>
          <w:rFonts w:cs="Arial"/>
          <w:szCs w:val="20"/>
        </w:rPr>
        <w:t xml:space="preserve">Development of </w:t>
      </w:r>
      <w:r w:rsidR="00630AAA" w:rsidRPr="000A6BAE">
        <w:rPr>
          <w:rFonts w:cs="Arial"/>
          <w:szCs w:val="20"/>
        </w:rPr>
        <w:t>an SDG costing manual and report t</w:t>
      </w:r>
      <w:r w:rsidR="00091F11" w:rsidRPr="000A6BAE">
        <w:rPr>
          <w:rFonts w:cs="Arial"/>
          <w:szCs w:val="20"/>
        </w:rPr>
        <w:t>hat outline</w:t>
      </w:r>
      <w:r w:rsidR="00DC259B">
        <w:rPr>
          <w:rFonts w:cs="Arial"/>
          <w:szCs w:val="20"/>
        </w:rPr>
        <w:t>s</w:t>
      </w:r>
      <w:r w:rsidR="00091F11" w:rsidRPr="000A6BAE">
        <w:rPr>
          <w:rFonts w:cs="Arial"/>
          <w:szCs w:val="20"/>
        </w:rPr>
        <w:t xml:space="preserve"> methods and tools for national sustainable development strategies; sectoral plans; and the economic moderni</w:t>
      </w:r>
      <w:r w:rsidR="006D656E">
        <w:rPr>
          <w:rFonts w:cs="Arial"/>
          <w:szCs w:val="20"/>
        </w:rPr>
        <w:t>s</w:t>
      </w:r>
      <w:r w:rsidR="00091F11" w:rsidRPr="000A6BAE">
        <w:rPr>
          <w:rFonts w:cs="Arial"/>
          <w:szCs w:val="20"/>
        </w:rPr>
        <w:t>ation vision;</w:t>
      </w:r>
    </w:p>
    <w:p w14:paraId="3097397D" w14:textId="19D1F67D" w:rsidR="00091F11" w:rsidRDefault="00715941" w:rsidP="003B672F">
      <w:pPr>
        <w:pStyle w:val="BodyText"/>
        <w:numPr>
          <w:ilvl w:val="0"/>
          <w:numId w:val="105"/>
        </w:numPr>
        <w:rPr>
          <w:rFonts w:cs="Arial"/>
          <w:szCs w:val="20"/>
        </w:rPr>
      </w:pPr>
      <w:r w:rsidRPr="00FB5EFC">
        <w:rPr>
          <w:rFonts w:cs="Arial"/>
          <w:szCs w:val="20"/>
        </w:rPr>
        <w:t>Contribution to the DFA initiative (</w:t>
      </w:r>
      <w:r w:rsidR="00DC259B">
        <w:rPr>
          <w:rFonts w:cs="Arial"/>
          <w:szCs w:val="20"/>
        </w:rPr>
        <w:t>i.e.</w:t>
      </w:r>
      <w:r w:rsidRPr="00FB5EFC">
        <w:rPr>
          <w:rFonts w:cs="Arial"/>
          <w:szCs w:val="20"/>
        </w:rPr>
        <w:t xml:space="preserve"> development of comprehensive worksheets for assessing financing streams, sources and challenges; </w:t>
      </w:r>
      <w:r w:rsidR="007A2F47" w:rsidRPr="00FB5EFC">
        <w:rPr>
          <w:rFonts w:cs="Arial"/>
          <w:szCs w:val="20"/>
        </w:rPr>
        <w:t>participation in the validation workshop</w:t>
      </w:r>
      <w:r w:rsidR="00FB5EFC" w:rsidRPr="00FB5EFC">
        <w:rPr>
          <w:rFonts w:cs="Arial"/>
          <w:szCs w:val="20"/>
        </w:rPr>
        <w:t>; etc</w:t>
      </w:r>
      <w:r w:rsidR="006D656E">
        <w:rPr>
          <w:rFonts w:cs="Arial"/>
          <w:szCs w:val="20"/>
        </w:rPr>
        <w:t>.</w:t>
      </w:r>
      <w:r w:rsidR="00FB5EFC" w:rsidRPr="00FB5EFC">
        <w:rPr>
          <w:rFonts w:cs="Arial"/>
          <w:szCs w:val="20"/>
        </w:rPr>
        <w:t>)</w:t>
      </w:r>
      <w:r w:rsidR="0094161F">
        <w:rPr>
          <w:rFonts w:cs="Arial"/>
          <w:szCs w:val="20"/>
        </w:rPr>
        <w:t>;</w:t>
      </w:r>
    </w:p>
    <w:p w14:paraId="12617F99" w14:textId="1305AB9C" w:rsidR="00FB5EFC" w:rsidRDefault="002762C3" w:rsidP="003B672F">
      <w:pPr>
        <w:pStyle w:val="BodyText"/>
        <w:numPr>
          <w:ilvl w:val="0"/>
          <w:numId w:val="105"/>
        </w:numPr>
        <w:rPr>
          <w:rFonts w:cs="Arial"/>
          <w:szCs w:val="20"/>
        </w:rPr>
      </w:pPr>
      <w:r>
        <w:rPr>
          <w:rFonts w:cs="Arial"/>
          <w:szCs w:val="20"/>
        </w:rPr>
        <w:t xml:space="preserve">Strategic dialogue </w:t>
      </w:r>
      <w:r w:rsidR="00B253AC">
        <w:rPr>
          <w:rFonts w:cs="Arial"/>
          <w:szCs w:val="20"/>
        </w:rPr>
        <w:t xml:space="preserve">with </w:t>
      </w:r>
      <w:r w:rsidR="00594228">
        <w:rPr>
          <w:rFonts w:cs="Arial"/>
          <w:szCs w:val="20"/>
        </w:rPr>
        <w:t>UN</w:t>
      </w:r>
      <w:r w:rsidR="00B253AC">
        <w:rPr>
          <w:rFonts w:cs="Arial"/>
          <w:szCs w:val="20"/>
        </w:rPr>
        <w:t>RCO and UNCT</w:t>
      </w:r>
      <w:r w:rsidR="00E55128">
        <w:rPr>
          <w:rFonts w:cs="Arial"/>
          <w:szCs w:val="20"/>
        </w:rPr>
        <w:t>, including a worksho</w:t>
      </w:r>
      <w:r w:rsidR="001636DE">
        <w:rPr>
          <w:rFonts w:cs="Arial"/>
          <w:szCs w:val="20"/>
        </w:rPr>
        <w:t>p in May 2023,</w:t>
      </w:r>
      <w:r w:rsidR="001636DE">
        <w:rPr>
          <w:rStyle w:val="FootnoteReference"/>
          <w:rFonts w:cs="Arial"/>
          <w:szCs w:val="20"/>
        </w:rPr>
        <w:footnoteReference w:id="172"/>
      </w:r>
      <w:r w:rsidR="002E633D">
        <w:rPr>
          <w:rFonts w:cs="Arial"/>
          <w:szCs w:val="20"/>
        </w:rPr>
        <w:t xml:space="preserve"> to enhance the coordination of UN support </w:t>
      </w:r>
      <w:r w:rsidR="0003124B">
        <w:rPr>
          <w:rFonts w:cs="Arial"/>
          <w:szCs w:val="20"/>
        </w:rPr>
        <w:t>for INFF</w:t>
      </w:r>
      <w:r w:rsidR="00FC0F99">
        <w:rPr>
          <w:rFonts w:cs="Arial"/>
          <w:szCs w:val="20"/>
        </w:rPr>
        <w:t>; and</w:t>
      </w:r>
    </w:p>
    <w:p w14:paraId="3BBF1DDD" w14:textId="56109486" w:rsidR="0094161F" w:rsidRPr="00FB5EFC" w:rsidRDefault="00FC0F99" w:rsidP="003B672F">
      <w:pPr>
        <w:pStyle w:val="BodyText"/>
        <w:numPr>
          <w:ilvl w:val="0"/>
          <w:numId w:val="105"/>
        </w:numPr>
        <w:rPr>
          <w:rFonts w:cs="Arial"/>
          <w:szCs w:val="20"/>
        </w:rPr>
      </w:pPr>
      <w:r>
        <w:rPr>
          <w:rFonts w:cs="Arial"/>
          <w:szCs w:val="20"/>
        </w:rPr>
        <w:t xml:space="preserve">Comprehensive series of </w:t>
      </w:r>
      <w:r w:rsidR="00F84DCF">
        <w:rPr>
          <w:rFonts w:cs="Arial"/>
          <w:szCs w:val="20"/>
        </w:rPr>
        <w:t>over 10 technical discussion</w:t>
      </w:r>
      <w:r w:rsidR="006D656E">
        <w:rPr>
          <w:rFonts w:cs="Arial"/>
          <w:szCs w:val="20"/>
        </w:rPr>
        <w:t>s</w:t>
      </w:r>
      <w:r w:rsidR="00F84DCF">
        <w:rPr>
          <w:rFonts w:cs="Arial"/>
          <w:szCs w:val="20"/>
        </w:rPr>
        <w:t xml:space="preserve"> with </w:t>
      </w:r>
      <w:r w:rsidR="002703AB">
        <w:rPr>
          <w:rFonts w:cs="Arial"/>
          <w:szCs w:val="20"/>
        </w:rPr>
        <w:t>UN</w:t>
      </w:r>
      <w:r w:rsidR="00F84DCF">
        <w:rPr>
          <w:rFonts w:cs="Arial"/>
          <w:szCs w:val="20"/>
        </w:rPr>
        <w:t>RCO Jordan and UNDP Jordan to synchronise their recommendations for the Government of Jordan</w:t>
      </w:r>
    </w:p>
    <w:p w14:paraId="1C6002D4" w14:textId="3D2851C1" w:rsidR="00CC0B37" w:rsidRDefault="00CC0B37" w:rsidP="00CC0B37">
      <w:pPr>
        <w:pStyle w:val="BodyText"/>
        <w:jc w:val="right"/>
      </w:pPr>
      <w:r w:rsidRPr="00B954B8">
        <w:t>Source: Final project report, March 2025.</w:t>
      </w:r>
    </w:p>
    <w:p w14:paraId="5658024C" w14:textId="7ADE31C3" w:rsidR="000647EA" w:rsidRDefault="00B10E07" w:rsidP="005D5070">
      <w:pPr>
        <w:pStyle w:val="BodyText"/>
        <w:rPr>
          <w:rFonts w:cs="Arial"/>
          <w:szCs w:val="20"/>
        </w:rPr>
      </w:pPr>
      <w:r>
        <w:rPr>
          <w:rFonts w:cs="Arial"/>
          <w:szCs w:val="20"/>
        </w:rPr>
        <w:t xml:space="preserve">Egypt and Jordan </w:t>
      </w:r>
      <w:r w:rsidR="00E47F99">
        <w:rPr>
          <w:rFonts w:cs="Arial"/>
          <w:szCs w:val="20"/>
        </w:rPr>
        <w:t>each</w:t>
      </w:r>
      <w:r>
        <w:rPr>
          <w:rFonts w:cs="Arial"/>
          <w:szCs w:val="20"/>
        </w:rPr>
        <w:t xml:space="preserve"> contributed to</w:t>
      </w:r>
      <w:r w:rsidR="00E47F99">
        <w:rPr>
          <w:rFonts w:cs="Arial"/>
          <w:szCs w:val="20"/>
        </w:rPr>
        <w:t xml:space="preserve">wards </w:t>
      </w:r>
      <w:r w:rsidR="00AB4779">
        <w:rPr>
          <w:rFonts w:cs="Arial"/>
          <w:szCs w:val="20"/>
        </w:rPr>
        <w:t>Building Block 1</w:t>
      </w:r>
      <w:r w:rsidR="001D7DEB">
        <w:rPr>
          <w:rFonts w:cs="Arial"/>
          <w:szCs w:val="20"/>
        </w:rPr>
        <w:t>,</w:t>
      </w:r>
      <w:r w:rsidR="00E47F99">
        <w:rPr>
          <w:rFonts w:cs="Arial"/>
          <w:szCs w:val="20"/>
        </w:rPr>
        <w:t xml:space="preserve"> given the assessments that </w:t>
      </w:r>
      <w:r w:rsidR="008E3047">
        <w:rPr>
          <w:rFonts w:cs="Arial"/>
          <w:szCs w:val="20"/>
        </w:rPr>
        <w:t>were conducted to determine</w:t>
      </w:r>
      <w:r w:rsidR="008A0BCA">
        <w:rPr>
          <w:rFonts w:cs="Arial"/>
          <w:szCs w:val="20"/>
        </w:rPr>
        <w:t xml:space="preserve"> t</w:t>
      </w:r>
      <w:r w:rsidR="008E3047">
        <w:rPr>
          <w:rFonts w:cs="Arial"/>
          <w:szCs w:val="20"/>
        </w:rPr>
        <w:t>h</w:t>
      </w:r>
      <w:r w:rsidR="008A0BCA">
        <w:rPr>
          <w:rFonts w:cs="Arial"/>
          <w:szCs w:val="20"/>
        </w:rPr>
        <w:t xml:space="preserve">e </w:t>
      </w:r>
      <w:r w:rsidR="008E3047">
        <w:rPr>
          <w:rFonts w:cs="Arial"/>
          <w:szCs w:val="20"/>
        </w:rPr>
        <w:t>cost of</w:t>
      </w:r>
      <w:r w:rsidR="00564071">
        <w:rPr>
          <w:rFonts w:cs="Arial"/>
          <w:szCs w:val="20"/>
        </w:rPr>
        <w:t xml:space="preserve"> </w:t>
      </w:r>
      <w:r w:rsidR="00FF2036">
        <w:rPr>
          <w:rFonts w:cs="Arial"/>
          <w:szCs w:val="20"/>
        </w:rPr>
        <w:t>INFF implementatio</w:t>
      </w:r>
      <w:r w:rsidR="007822FA">
        <w:rPr>
          <w:rFonts w:cs="Arial"/>
          <w:szCs w:val="20"/>
        </w:rPr>
        <w:t xml:space="preserve">n. </w:t>
      </w:r>
      <w:r w:rsidR="000647EA">
        <w:rPr>
          <w:rFonts w:cs="Arial"/>
          <w:szCs w:val="20"/>
        </w:rPr>
        <w:t xml:space="preserve">The establishment of </w:t>
      </w:r>
      <w:r w:rsidR="00E07998">
        <w:rPr>
          <w:rFonts w:cs="Arial"/>
          <w:szCs w:val="20"/>
        </w:rPr>
        <w:t>teams</w:t>
      </w:r>
      <w:r w:rsidR="000647EA">
        <w:rPr>
          <w:rFonts w:cs="Arial"/>
          <w:szCs w:val="20"/>
        </w:rPr>
        <w:t xml:space="preserve"> of stakeholders</w:t>
      </w:r>
      <w:r w:rsidR="002C51A0">
        <w:rPr>
          <w:rFonts w:cs="Arial"/>
          <w:szCs w:val="20"/>
        </w:rPr>
        <w:t>,</w:t>
      </w:r>
      <w:r w:rsidR="00343A2D">
        <w:rPr>
          <w:rFonts w:cs="Arial"/>
          <w:szCs w:val="20"/>
        </w:rPr>
        <w:t xml:space="preserve"> with oversight of </w:t>
      </w:r>
      <w:r w:rsidR="00C548A3">
        <w:rPr>
          <w:rFonts w:cs="Arial"/>
          <w:szCs w:val="20"/>
        </w:rPr>
        <w:t>various elements of INFF development</w:t>
      </w:r>
      <w:r w:rsidR="00AD7FD5">
        <w:rPr>
          <w:rFonts w:cs="Arial"/>
          <w:szCs w:val="20"/>
        </w:rPr>
        <w:t>,</w:t>
      </w:r>
      <w:r w:rsidR="00133655">
        <w:rPr>
          <w:rFonts w:cs="Arial"/>
          <w:szCs w:val="20"/>
        </w:rPr>
        <w:t xml:space="preserve"> </w:t>
      </w:r>
      <w:r w:rsidR="00437ADA">
        <w:rPr>
          <w:rFonts w:cs="Arial"/>
          <w:szCs w:val="20"/>
        </w:rPr>
        <w:t>was</w:t>
      </w:r>
      <w:r w:rsidR="00133655">
        <w:rPr>
          <w:rFonts w:cs="Arial"/>
          <w:szCs w:val="20"/>
        </w:rPr>
        <w:t xml:space="preserve"> a</w:t>
      </w:r>
      <w:r w:rsidR="00241279">
        <w:rPr>
          <w:rFonts w:cs="Arial"/>
          <w:szCs w:val="20"/>
        </w:rPr>
        <w:t xml:space="preserve"> recognition of the </w:t>
      </w:r>
      <w:r w:rsidR="0095659F">
        <w:rPr>
          <w:rFonts w:cs="Arial"/>
          <w:szCs w:val="20"/>
        </w:rPr>
        <w:t xml:space="preserve">need for </w:t>
      </w:r>
      <w:r w:rsidR="00241279">
        <w:rPr>
          <w:rFonts w:cs="Arial"/>
          <w:szCs w:val="20"/>
        </w:rPr>
        <w:t>a coordinated approach</w:t>
      </w:r>
      <w:r w:rsidR="0095659F">
        <w:rPr>
          <w:rFonts w:cs="Arial"/>
          <w:szCs w:val="20"/>
        </w:rPr>
        <w:t xml:space="preserve"> and the importance of stakeholder input. </w:t>
      </w:r>
      <w:r w:rsidR="005B60EF">
        <w:rPr>
          <w:rFonts w:cs="Arial"/>
          <w:szCs w:val="20"/>
        </w:rPr>
        <w:t>This is an initial contribution to Building Block 4: Governance and Coordination.</w:t>
      </w:r>
    </w:p>
    <w:p w14:paraId="6FA71D4A" w14:textId="0877CDAA" w:rsidR="00564071" w:rsidRPr="001A1DA6" w:rsidRDefault="00765596" w:rsidP="005D5070">
      <w:pPr>
        <w:pStyle w:val="BodyText"/>
        <w:rPr>
          <w:rFonts w:cs="Arial"/>
          <w:i/>
          <w:iCs/>
          <w:szCs w:val="20"/>
        </w:rPr>
      </w:pPr>
      <w:r w:rsidRPr="001A1DA6">
        <w:rPr>
          <w:rFonts w:cs="Arial"/>
          <w:i/>
          <w:iCs/>
          <w:szCs w:val="20"/>
        </w:rPr>
        <w:t xml:space="preserve">Engagement of </w:t>
      </w:r>
      <w:r w:rsidR="001A1DA6" w:rsidRPr="001A1DA6">
        <w:rPr>
          <w:rFonts w:cs="Arial"/>
          <w:i/>
          <w:iCs/>
          <w:szCs w:val="20"/>
        </w:rPr>
        <w:t>UN Entities</w:t>
      </w:r>
    </w:p>
    <w:p w14:paraId="7496D475" w14:textId="13AA3462" w:rsidR="00876D29" w:rsidRDefault="00FE29BE" w:rsidP="00FE29BE">
      <w:pPr>
        <w:pStyle w:val="BodyText"/>
        <w:rPr>
          <w:rFonts w:cs="Arial"/>
          <w:szCs w:val="20"/>
        </w:rPr>
      </w:pPr>
      <w:r>
        <w:rPr>
          <w:rFonts w:cs="Arial"/>
          <w:szCs w:val="20"/>
        </w:rPr>
        <w:t xml:space="preserve">The designated role of the Tier 2 Entities involved demystifying the INFF methodology and providing technical assistance </w:t>
      </w:r>
      <w:r w:rsidR="00290A56">
        <w:rPr>
          <w:rFonts w:cs="Arial"/>
          <w:szCs w:val="20"/>
        </w:rPr>
        <w:t xml:space="preserve">to support </w:t>
      </w:r>
      <w:r w:rsidR="00941623">
        <w:rPr>
          <w:rFonts w:cs="Arial"/>
          <w:szCs w:val="20"/>
        </w:rPr>
        <w:t xml:space="preserve">application </w:t>
      </w:r>
      <w:r w:rsidR="0091675E">
        <w:rPr>
          <w:rFonts w:cs="Arial"/>
          <w:szCs w:val="20"/>
        </w:rPr>
        <w:t xml:space="preserve">within the target countries. There </w:t>
      </w:r>
      <w:r w:rsidR="00177E8A">
        <w:rPr>
          <w:rFonts w:cs="Arial"/>
          <w:szCs w:val="20"/>
        </w:rPr>
        <w:t>was</w:t>
      </w:r>
      <w:r w:rsidR="0024013E">
        <w:rPr>
          <w:rFonts w:cs="Arial"/>
          <w:szCs w:val="20"/>
        </w:rPr>
        <w:t xml:space="preserve"> some</w:t>
      </w:r>
      <w:r w:rsidR="0091675E">
        <w:rPr>
          <w:rFonts w:cs="Arial"/>
          <w:szCs w:val="20"/>
        </w:rPr>
        <w:t xml:space="preserve"> evidence of collaboration between the Tier 2 entities, for example,</w:t>
      </w:r>
      <w:r w:rsidR="00634888">
        <w:rPr>
          <w:rFonts w:cs="Arial"/>
          <w:szCs w:val="20"/>
        </w:rPr>
        <w:t xml:space="preserve"> UNECE worked in coordination with UNCTAD to deliver trainings</w:t>
      </w:r>
      <w:r w:rsidR="00141E3F">
        <w:rPr>
          <w:rFonts w:cs="Arial"/>
          <w:szCs w:val="20"/>
        </w:rPr>
        <w:t xml:space="preserve"> and workshops</w:t>
      </w:r>
      <w:r w:rsidR="00634888">
        <w:rPr>
          <w:rFonts w:cs="Arial"/>
          <w:szCs w:val="20"/>
        </w:rPr>
        <w:t xml:space="preserve"> in Belarus and Kyrgyzstan</w:t>
      </w:r>
      <w:r w:rsidR="00141E3F">
        <w:rPr>
          <w:rFonts w:cs="Arial"/>
          <w:szCs w:val="20"/>
        </w:rPr>
        <w:t>. UNC</w:t>
      </w:r>
      <w:r w:rsidR="00823AC0">
        <w:rPr>
          <w:rFonts w:cs="Arial"/>
          <w:szCs w:val="20"/>
        </w:rPr>
        <w:t>TAD also collaborated with UNECA to facilitate workshops in Zambia</w:t>
      </w:r>
      <w:r w:rsidR="004C5198">
        <w:rPr>
          <w:rFonts w:cs="Arial"/>
          <w:szCs w:val="20"/>
        </w:rPr>
        <w:t>.</w:t>
      </w:r>
      <w:r w:rsidR="007A631D">
        <w:rPr>
          <w:rStyle w:val="FootnoteReference"/>
          <w:rFonts w:cs="Arial"/>
          <w:szCs w:val="20"/>
        </w:rPr>
        <w:footnoteReference w:id="173"/>
      </w:r>
      <w:r w:rsidR="007A631D">
        <w:rPr>
          <w:rFonts w:cs="Arial"/>
          <w:szCs w:val="20"/>
        </w:rPr>
        <w:t xml:space="preserve"> </w:t>
      </w:r>
    </w:p>
    <w:p w14:paraId="2D4A0C49" w14:textId="71F75E6E" w:rsidR="00152D0A" w:rsidRPr="00EC0872" w:rsidRDefault="003A02D9" w:rsidP="00FE29BE">
      <w:pPr>
        <w:pStyle w:val="BodyText"/>
      </w:pPr>
      <w:r>
        <w:rPr>
          <w:rFonts w:cs="Arial"/>
          <w:szCs w:val="20"/>
        </w:rPr>
        <w:t xml:space="preserve">There </w:t>
      </w:r>
      <w:r w:rsidR="00D42056">
        <w:rPr>
          <w:rFonts w:cs="Arial"/>
          <w:szCs w:val="20"/>
        </w:rPr>
        <w:t>was</w:t>
      </w:r>
      <w:r>
        <w:rPr>
          <w:rFonts w:cs="Arial"/>
          <w:szCs w:val="20"/>
        </w:rPr>
        <w:t xml:space="preserve"> also evidence of collaboration between the Tier 2 and Tier 3 Entities</w:t>
      </w:r>
      <w:r w:rsidR="005703E1">
        <w:rPr>
          <w:rFonts w:cs="Arial"/>
          <w:szCs w:val="20"/>
        </w:rPr>
        <w:t>,</w:t>
      </w:r>
      <w:r w:rsidR="004E3F1A">
        <w:rPr>
          <w:rStyle w:val="FootnoteReference"/>
          <w:rFonts w:cs="Arial"/>
          <w:szCs w:val="20"/>
        </w:rPr>
        <w:footnoteReference w:id="174"/>
      </w:r>
      <w:r w:rsidR="005703E1">
        <w:rPr>
          <w:rFonts w:cs="Arial"/>
          <w:szCs w:val="20"/>
        </w:rPr>
        <w:t xml:space="preserve"> with emphasis on the strategic engagement of </w:t>
      </w:r>
      <w:r w:rsidR="00AB268A">
        <w:rPr>
          <w:rFonts w:cs="Arial"/>
          <w:szCs w:val="20"/>
        </w:rPr>
        <w:t>identified Tier 3 Entities</w:t>
      </w:r>
      <w:r w:rsidR="00F07D06">
        <w:rPr>
          <w:rFonts w:cs="Arial"/>
          <w:szCs w:val="20"/>
        </w:rPr>
        <w:t xml:space="preserve">, to </w:t>
      </w:r>
      <w:r w:rsidR="00DF4340">
        <w:rPr>
          <w:rFonts w:cs="Arial"/>
          <w:szCs w:val="20"/>
        </w:rPr>
        <w:t>support project</w:t>
      </w:r>
      <w:r w:rsidR="00876D29">
        <w:rPr>
          <w:rFonts w:cs="Arial"/>
          <w:szCs w:val="20"/>
        </w:rPr>
        <w:t xml:space="preserve"> implementation. Further to its regional workshops, for example, UNESCWA </w:t>
      </w:r>
      <w:r w:rsidR="0013250C">
        <w:rPr>
          <w:rFonts w:cs="Arial"/>
          <w:szCs w:val="20"/>
        </w:rPr>
        <w:t>continued to highlight the INFF methodology in regional meetings and events.</w:t>
      </w:r>
      <w:r w:rsidR="0013250C">
        <w:rPr>
          <w:rStyle w:val="FootnoteReference"/>
          <w:rFonts w:cs="Arial"/>
          <w:szCs w:val="20"/>
        </w:rPr>
        <w:footnoteReference w:id="175"/>
      </w:r>
      <w:r w:rsidR="00C02115">
        <w:rPr>
          <w:rFonts w:cs="Arial"/>
          <w:szCs w:val="20"/>
        </w:rPr>
        <w:t xml:space="preserve"> This approach was supplemented by follo</w:t>
      </w:r>
      <w:r w:rsidR="0000148E">
        <w:rPr>
          <w:rFonts w:cs="Arial"/>
          <w:szCs w:val="20"/>
        </w:rPr>
        <w:t>w-up</w:t>
      </w:r>
      <w:r w:rsidR="00C11DC4">
        <w:rPr>
          <w:rFonts w:cs="Arial"/>
          <w:szCs w:val="20"/>
        </w:rPr>
        <w:t>,</w:t>
      </w:r>
      <w:r w:rsidR="0000148E">
        <w:rPr>
          <w:rFonts w:cs="Arial"/>
          <w:szCs w:val="20"/>
        </w:rPr>
        <w:t xml:space="preserve"> high-level discussions with </w:t>
      </w:r>
      <w:r w:rsidR="00986CB6">
        <w:rPr>
          <w:rFonts w:cs="Arial"/>
          <w:szCs w:val="20"/>
        </w:rPr>
        <w:t>UN</w:t>
      </w:r>
      <w:r w:rsidR="0000148E">
        <w:rPr>
          <w:rFonts w:cs="Arial"/>
          <w:szCs w:val="20"/>
        </w:rPr>
        <w:t xml:space="preserve">RCOs and UNCTs, to ensure </w:t>
      </w:r>
      <w:r w:rsidR="003C2D86">
        <w:rPr>
          <w:rFonts w:cs="Arial"/>
          <w:szCs w:val="20"/>
        </w:rPr>
        <w:t>transparency</w:t>
      </w:r>
      <w:r w:rsidR="00C11DC4">
        <w:rPr>
          <w:rFonts w:cs="Arial"/>
          <w:szCs w:val="20"/>
        </w:rPr>
        <w:t xml:space="preserve"> and </w:t>
      </w:r>
      <w:r w:rsidR="008D11B4">
        <w:rPr>
          <w:rFonts w:cs="Arial"/>
          <w:szCs w:val="20"/>
        </w:rPr>
        <w:t xml:space="preserve">cohesiveness during </w:t>
      </w:r>
      <w:r w:rsidR="00C11DC4">
        <w:rPr>
          <w:rFonts w:cs="Arial"/>
          <w:szCs w:val="20"/>
        </w:rPr>
        <w:t xml:space="preserve">INFF project </w:t>
      </w:r>
      <w:r w:rsidR="00703114">
        <w:rPr>
          <w:rFonts w:cs="Arial"/>
          <w:szCs w:val="20"/>
        </w:rPr>
        <w:t>implementation</w:t>
      </w:r>
      <w:r w:rsidR="001647E4">
        <w:rPr>
          <w:rFonts w:cs="Arial"/>
          <w:szCs w:val="20"/>
        </w:rPr>
        <w:t>,</w:t>
      </w:r>
      <w:r w:rsidR="00703114">
        <w:rPr>
          <w:rFonts w:cs="Arial"/>
          <w:szCs w:val="20"/>
        </w:rPr>
        <w:t xml:space="preserve"> </w:t>
      </w:r>
      <w:r w:rsidR="001647E4">
        <w:rPr>
          <w:rFonts w:cs="Arial"/>
          <w:szCs w:val="20"/>
        </w:rPr>
        <w:t xml:space="preserve">as well as </w:t>
      </w:r>
      <w:r w:rsidR="00703114">
        <w:rPr>
          <w:rFonts w:cs="Arial"/>
          <w:szCs w:val="20"/>
        </w:rPr>
        <w:t xml:space="preserve">parallel programming by UN Entities. </w:t>
      </w:r>
      <w:r w:rsidR="00605F43">
        <w:rPr>
          <w:rFonts w:cs="Arial"/>
          <w:szCs w:val="20"/>
        </w:rPr>
        <w:t xml:space="preserve">The process was further supported by a region-wide webinar in April 2023, </w:t>
      </w:r>
      <w:r w:rsidR="00294DB9">
        <w:rPr>
          <w:rFonts w:cs="Arial"/>
          <w:szCs w:val="20"/>
        </w:rPr>
        <w:t xml:space="preserve">which was used to introduce </w:t>
      </w:r>
      <w:r w:rsidR="004743E9">
        <w:rPr>
          <w:rFonts w:cs="Arial"/>
          <w:szCs w:val="20"/>
        </w:rPr>
        <w:t>UN</w:t>
      </w:r>
      <w:r w:rsidR="00294DB9">
        <w:rPr>
          <w:rFonts w:cs="Arial"/>
          <w:szCs w:val="20"/>
        </w:rPr>
        <w:t xml:space="preserve">RCOs and UNCTs to the online tools </w:t>
      </w:r>
      <w:r w:rsidR="00CD7A1E">
        <w:rPr>
          <w:rFonts w:cs="Arial"/>
          <w:szCs w:val="20"/>
        </w:rPr>
        <w:t>that had been developed to support INFF development in the region</w:t>
      </w:r>
      <w:r w:rsidR="004743E9">
        <w:rPr>
          <w:rFonts w:cs="Arial"/>
          <w:szCs w:val="20"/>
        </w:rPr>
        <w:t xml:space="preserve">. These tools are </w:t>
      </w:r>
      <w:r w:rsidR="00EC0872">
        <w:rPr>
          <w:rFonts w:cs="Arial"/>
          <w:szCs w:val="20"/>
        </w:rPr>
        <w:t xml:space="preserve">accessible through the </w:t>
      </w:r>
      <w:hyperlink r:id="rId70" w:history="1">
        <w:r w:rsidR="00EC0872" w:rsidRPr="00C82315">
          <w:rPr>
            <w:rStyle w:val="Hyperlink"/>
            <w:rFonts w:cs="Arial"/>
            <w:szCs w:val="20"/>
          </w:rPr>
          <w:t>Arab Financing for Development Gateway</w:t>
        </w:r>
      </w:hyperlink>
      <w:r w:rsidR="00EC0872">
        <w:t>.</w:t>
      </w:r>
      <w:r w:rsidR="00C201D9">
        <w:t xml:space="preserve"> The ongoing engagement of the UN Secretariat and System </w:t>
      </w:r>
      <w:r w:rsidR="00152D0A">
        <w:rPr>
          <w:rFonts w:cs="Arial"/>
          <w:szCs w:val="20"/>
        </w:rPr>
        <w:t>was used to minimise the effects of duplication</w:t>
      </w:r>
      <w:r w:rsidR="00AE62A0">
        <w:rPr>
          <w:rFonts w:cs="Arial"/>
          <w:szCs w:val="20"/>
        </w:rPr>
        <w:t xml:space="preserve"> and enlist the support of </w:t>
      </w:r>
      <w:r w:rsidR="00DF61C7">
        <w:rPr>
          <w:rFonts w:cs="Arial"/>
          <w:szCs w:val="20"/>
        </w:rPr>
        <w:t>UN</w:t>
      </w:r>
      <w:r w:rsidR="00AE62A0">
        <w:rPr>
          <w:rFonts w:cs="Arial"/>
          <w:szCs w:val="20"/>
        </w:rPr>
        <w:t>RCOs, in particular</w:t>
      </w:r>
      <w:r w:rsidR="00E034E3">
        <w:rPr>
          <w:rFonts w:cs="Arial"/>
          <w:szCs w:val="20"/>
        </w:rPr>
        <w:t xml:space="preserve">, </w:t>
      </w:r>
      <w:r w:rsidR="00E76FDC">
        <w:rPr>
          <w:rFonts w:cs="Arial"/>
          <w:szCs w:val="20"/>
        </w:rPr>
        <w:t>to facilitate policy dialogue</w:t>
      </w:r>
      <w:r w:rsidR="00E034E3">
        <w:rPr>
          <w:rFonts w:cs="Arial"/>
          <w:szCs w:val="20"/>
        </w:rPr>
        <w:t xml:space="preserve"> with</w:t>
      </w:r>
      <w:r w:rsidR="005F7D47">
        <w:rPr>
          <w:rFonts w:cs="Arial"/>
          <w:szCs w:val="20"/>
        </w:rPr>
        <w:t xml:space="preserve"> country </w:t>
      </w:r>
      <w:r w:rsidR="00E034E3">
        <w:rPr>
          <w:rFonts w:cs="Arial"/>
          <w:szCs w:val="20"/>
        </w:rPr>
        <w:t>governments.</w:t>
      </w:r>
      <w:r w:rsidR="00B76A19">
        <w:rPr>
          <w:rStyle w:val="FootnoteReference"/>
          <w:rFonts w:cs="Arial"/>
          <w:szCs w:val="20"/>
        </w:rPr>
        <w:footnoteReference w:id="176"/>
      </w:r>
      <w:r w:rsidR="00E034E3">
        <w:rPr>
          <w:rFonts w:cs="Arial"/>
          <w:szCs w:val="20"/>
        </w:rPr>
        <w:t xml:space="preserve"> </w:t>
      </w:r>
    </w:p>
    <w:p w14:paraId="24938E7B" w14:textId="3109BBEB" w:rsidR="00432559" w:rsidRDefault="003F3278" w:rsidP="00FE29BE">
      <w:pPr>
        <w:pStyle w:val="BodyText"/>
        <w:rPr>
          <w:rFonts w:cs="Arial"/>
          <w:szCs w:val="20"/>
        </w:rPr>
      </w:pPr>
      <w:r>
        <w:rPr>
          <w:rFonts w:cs="Arial"/>
          <w:szCs w:val="20"/>
        </w:rPr>
        <w:t>A</w:t>
      </w:r>
      <w:r w:rsidR="009058FD">
        <w:rPr>
          <w:rFonts w:cs="Arial"/>
          <w:szCs w:val="20"/>
        </w:rPr>
        <w:t>s</w:t>
      </w:r>
      <w:r w:rsidR="003665A4">
        <w:rPr>
          <w:rFonts w:cs="Arial"/>
          <w:szCs w:val="20"/>
        </w:rPr>
        <w:t xml:space="preserve"> the project was designed without the direct </w:t>
      </w:r>
      <w:r w:rsidR="007E2A98">
        <w:rPr>
          <w:rFonts w:cs="Arial"/>
          <w:szCs w:val="20"/>
        </w:rPr>
        <w:t xml:space="preserve">engagement of the target countries, it is significant that </w:t>
      </w:r>
      <w:r w:rsidR="007E2A98">
        <w:rPr>
          <w:rFonts w:cs="Arial"/>
          <w:szCs w:val="20"/>
        </w:rPr>
        <w:lastRenderedPageBreak/>
        <w:t xml:space="preserve">the Tier 2 </w:t>
      </w:r>
      <w:r w:rsidR="00A1267D">
        <w:rPr>
          <w:rFonts w:cs="Arial"/>
          <w:szCs w:val="20"/>
        </w:rPr>
        <w:t>e</w:t>
      </w:r>
      <w:r w:rsidR="007E2A98">
        <w:rPr>
          <w:rFonts w:cs="Arial"/>
          <w:szCs w:val="20"/>
        </w:rPr>
        <w:t xml:space="preserve">ntities were </w:t>
      </w:r>
      <w:r w:rsidR="001669D0">
        <w:rPr>
          <w:rFonts w:cs="Arial"/>
          <w:szCs w:val="20"/>
        </w:rPr>
        <w:t xml:space="preserve">approached by target countries to: </w:t>
      </w:r>
      <w:r w:rsidR="003D6EE6">
        <w:rPr>
          <w:rFonts w:cs="Arial"/>
          <w:szCs w:val="20"/>
        </w:rPr>
        <w:t>i</w:t>
      </w:r>
      <w:r w:rsidR="001669D0">
        <w:rPr>
          <w:rFonts w:cs="Arial"/>
          <w:szCs w:val="20"/>
        </w:rPr>
        <w:t xml:space="preserve">) </w:t>
      </w:r>
      <w:r w:rsidR="0059600C">
        <w:rPr>
          <w:rFonts w:cs="Arial"/>
          <w:szCs w:val="20"/>
        </w:rPr>
        <w:t xml:space="preserve">provide further information and technical assistance </w:t>
      </w:r>
      <w:r w:rsidR="004D04D6">
        <w:rPr>
          <w:rFonts w:cs="Arial"/>
          <w:szCs w:val="20"/>
        </w:rPr>
        <w:t>at the country level</w:t>
      </w:r>
      <w:r w:rsidR="00F77E25">
        <w:rPr>
          <w:rFonts w:cs="Arial"/>
          <w:szCs w:val="20"/>
        </w:rPr>
        <w:t>,</w:t>
      </w:r>
      <w:r w:rsidR="004D04D6">
        <w:rPr>
          <w:rFonts w:cs="Arial"/>
          <w:szCs w:val="20"/>
        </w:rPr>
        <w:t xml:space="preserve"> </w:t>
      </w:r>
      <w:r w:rsidR="00EA16A9">
        <w:rPr>
          <w:rFonts w:cs="Arial"/>
          <w:szCs w:val="20"/>
        </w:rPr>
        <w:t xml:space="preserve">to inform </w:t>
      </w:r>
      <w:r w:rsidR="0059600C">
        <w:rPr>
          <w:rFonts w:cs="Arial"/>
          <w:szCs w:val="20"/>
        </w:rPr>
        <w:t xml:space="preserve">the application of the INFF methodology; and </w:t>
      </w:r>
      <w:r w:rsidR="00F77E25">
        <w:rPr>
          <w:rFonts w:cs="Arial"/>
          <w:szCs w:val="20"/>
        </w:rPr>
        <w:t>ii</w:t>
      </w:r>
      <w:r w:rsidR="0059600C">
        <w:rPr>
          <w:rFonts w:cs="Arial"/>
          <w:szCs w:val="20"/>
        </w:rPr>
        <w:t xml:space="preserve">) develop </w:t>
      </w:r>
      <w:r w:rsidR="001855BF">
        <w:rPr>
          <w:rFonts w:cs="Arial"/>
          <w:szCs w:val="20"/>
        </w:rPr>
        <w:t>context-specific</w:t>
      </w:r>
      <w:r w:rsidR="00244C12">
        <w:rPr>
          <w:rFonts w:cs="Arial"/>
          <w:szCs w:val="20"/>
        </w:rPr>
        <w:t xml:space="preserve"> guidance material </w:t>
      </w:r>
      <w:r w:rsidR="00F77E25">
        <w:rPr>
          <w:rFonts w:cs="Arial"/>
          <w:szCs w:val="20"/>
        </w:rPr>
        <w:t>for</w:t>
      </w:r>
      <w:r w:rsidR="00244C12">
        <w:rPr>
          <w:rFonts w:cs="Arial"/>
          <w:szCs w:val="20"/>
        </w:rPr>
        <w:t xml:space="preserve"> the INFF process</w:t>
      </w:r>
      <w:r w:rsidR="00811372">
        <w:rPr>
          <w:rFonts w:cs="Arial"/>
          <w:szCs w:val="20"/>
        </w:rPr>
        <w:t xml:space="preserve">. </w:t>
      </w:r>
      <w:r w:rsidR="00F77E25">
        <w:rPr>
          <w:rFonts w:cs="Arial"/>
          <w:szCs w:val="20"/>
        </w:rPr>
        <w:t xml:space="preserve">In response to </w:t>
      </w:r>
      <w:r w:rsidR="00C33F3F">
        <w:rPr>
          <w:rFonts w:cs="Arial"/>
          <w:szCs w:val="20"/>
        </w:rPr>
        <w:t xml:space="preserve">these requests for assistance, the Tier </w:t>
      </w:r>
      <w:r w:rsidR="003F5D9B">
        <w:rPr>
          <w:rFonts w:cs="Arial"/>
          <w:szCs w:val="20"/>
        </w:rPr>
        <w:t>2</w:t>
      </w:r>
      <w:r w:rsidR="00C33F3F">
        <w:rPr>
          <w:rFonts w:cs="Arial"/>
          <w:szCs w:val="20"/>
        </w:rPr>
        <w:t xml:space="preserve"> </w:t>
      </w:r>
      <w:r w:rsidR="00A1267D">
        <w:rPr>
          <w:rFonts w:cs="Arial"/>
          <w:szCs w:val="20"/>
        </w:rPr>
        <w:t>e</w:t>
      </w:r>
      <w:r w:rsidR="008503E9">
        <w:rPr>
          <w:rFonts w:cs="Arial"/>
          <w:szCs w:val="20"/>
        </w:rPr>
        <w:t>ntities provide</w:t>
      </w:r>
      <w:r w:rsidR="00A1267D">
        <w:rPr>
          <w:rFonts w:cs="Arial"/>
          <w:szCs w:val="20"/>
        </w:rPr>
        <w:t>d</w:t>
      </w:r>
      <w:r w:rsidR="008503E9">
        <w:rPr>
          <w:rFonts w:cs="Arial"/>
          <w:szCs w:val="20"/>
        </w:rPr>
        <w:t xml:space="preserve"> the</w:t>
      </w:r>
      <w:r w:rsidR="004261A3">
        <w:rPr>
          <w:rFonts w:cs="Arial"/>
          <w:szCs w:val="20"/>
        </w:rPr>
        <w:t xml:space="preserve"> </w:t>
      </w:r>
      <w:r w:rsidR="00AA68AB">
        <w:rPr>
          <w:rFonts w:cs="Arial"/>
          <w:szCs w:val="20"/>
        </w:rPr>
        <w:t>target c</w:t>
      </w:r>
      <w:r w:rsidR="004261A3">
        <w:rPr>
          <w:rFonts w:cs="Arial"/>
          <w:szCs w:val="20"/>
        </w:rPr>
        <w:t xml:space="preserve">ountries with the </w:t>
      </w:r>
      <w:r w:rsidR="008503E9">
        <w:rPr>
          <w:rFonts w:cs="Arial"/>
          <w:szCs w:val="20"/>
        </w:rPr>
        <w:t>level of support th</w:t>
      </w:r>
      <w:r w:rsidR="004261A3">
        <w:rPr>
          <w:rFonts w:cs="Arial"/>
          <w:szCs w:val="20"/>
        </w:rPr>
        <w:t xml:space="preserve">ey </w:t>
      </w:r>
      <w:r w:rsidR="008503E9">
        <w:rPr>
          <w:rFonts w:cs="Arial"/>
          <w:szCs w:val="20"/>
        </w:rPr>
        <w:t xml:space="preserve">required </w:t>
      </w:r>
      <w:r w:rsidR="006E4693">
        <w:rPr>
          <w:rFonts w:cs="Arial"/>
          <w:szCs w:val="20"/>
        </w:rPr>
        <w:t xml:space="preserve">to </w:t>
      </w:r>
      <w:r w:rsidR="001948EE">
        <w:rPr>
          <w:rFonts w:cs="Arial"/>
          <w:szCs w:val="20"/>
        </w:rPr>
        <w:t>proceed with</w:t>
      </w:r>
      <w:r w:rsidR="004A6A9F">
        <w:rPr>
          <w:rFonts w:cs="Arial"/>
          <w:szCs w:val="20"/>
        </w:rPr>
        <w:t xml:space="preserve"> the development of </w:t>
      </w:r>
      <w:r w:rsidR="00432559">
        <w:rPr>
          <w:rFonts w:cs="Arial"/>
          <w:szCs w:val="20"/>
        </w:rPr>
        <w:t xml:space="preserve">INFF </w:t>
      </w:r>
      <w:r w:rsidR="00F05FBC">
        <w:rPr>
          <w:rFonts w:cs="Arial"/>
          <w:szCs w:val="20"/>
        </w:rPr>
        <w:t>building blocks</w:t>
      </w:r>
      <w:r w:rsidR="00432559">
        <w:rPr>
          <w:rFonts w:cs="Arial"/>
          <w:szCs w:val="20"/>
        </w:rPr>
        <w:t>.</w:t>
      </w:r>
    </w:p>
    <w:p w14:paraId="42F5C7EB" w14:textId="78382F07" w:rsidR="00165BEE" w:rsidRDefault="005331E3" w:rsidP="002F513A">
      <w:pPr>
        <w:pStyle w:val="BodyText"/>
        <w:rPr>
          <w:rFonts w:cs="Arial"/>
          <w:szCs w:val="20"/>
        </w:rPr>
      </w:pPr>
      <w:r>
        <w:rPr>
          <w:rFonts w:cs="Arial"/>
          <w:szCs w:val="20"/>
        </w:rPr>
        <w:t>I</w:t>
      </w:r>
      <w:r w:rsidR="003B6B61">
        <w:rPr>
          <w:rFonts w:cs="Arial"/>
          <w:szCs w:val="20"/>
        </w:rPr>
        <w:t xml:space="preserve">n light of </w:t>
      </w:r>
      <w:r w:rsidR="00193D05">
        <w:rPr>
          <w:rFonts w:cs="Arial"/>
          <w:szCs w:val="20"/>
        </w:rPr>
        <w:t>the</w:t>
      </w:r>
      <w:r w:rsidR="003B6B61">
        <w:rPr>
          <w:rFonts w:cs="Arial"/>
          <w:szCs w:val="20"/>
        </w:rPr>
        <w:t xml:space="preserve"> outreach </w:t>
      </w:r>
      <w:r w:rsidR="00C145AC">
        <w:rPr>
          <w:rFonts w:cs="Arial"/>
          <w:szCs w:val="20"/>
        </w:rPr>
        <w:t xml:space="preserve">to non-project countries within the target regions, </w:t>
      </w:r>
      <w:r w:rsidR="00CC0050">
        <w:rPr>
          <w:rFonts w:cs="Arial"/>
          <w:szCs w:val="20"/>
        </w:rPr>
        <w:t xml:space="preserve">the interest of these countries in the INFF methodology </w:t>
      </w:r>
      <w:r w:rsidR="00B33089">
        <w:rPr>
          <w:rFonts w:cs="Arial"/>
          <w:szCs w:val="20"/>
        </w:rPr>
        <w:t>was</w:t>
      </w:r>
      <w:r w:rsidR="00351DC3">
        <w:rPr>
          <w:rFonts w:cs="Arial"/>
          <w:szCs w:val="20"/>
        </w:rPr>
        <w:t xml:space="preserve"> an added development that </w:t>
      </w:r>
      <w:r w:rsidR="006140E6">
        <w:rPr>
          <w:rFonts w:cs="Arial"/>
          <w:szCs w:val="20"/>
        </w:rPr>
        <w:t xml:space="preserve">enhanced </w:t>
      </w:r>
      <w:r w:rsidR="00351DC3">
        <w:rPr>
          <w:rFonts w:cs="Arial"/>
          <w:szCs w:val="20"/>
        </w:rPr>
        <w:t>results achievement</w:t>
      </w:r>
      <w:r w:rsidR="004D50F6">
        <w:rPr>
          <w:rFonts w:cs="Arial"/>
          <w:szCs w:val="20"/>
        </w:rPr>
        <w:t xml:space="preserve">. Based on the regional workshops </w:t>
      </w:r>
      <w:r w:rsidR="00EA26DA">
        <w:rPr>
          <w:rFonts w:cs="Arial"/>
          <w:szCs w:val="20"/>
        </w:rPr>
        <w:t xml:space="preserve">that were conducted by UNESCWA, for example, </w:t>
      </w:r>
      <w:r w:rsidR="004854EE">
        <w:rPr>
          <w:rFonts w:cs="Arial"/>
          <w:szCs w:val="20"/>
        </w:rPr>
        <w:t xml:space="preserve">there has been collaboration between UNESCWA and </w:t>
      </w:r>
      <w:r w:rsidR="002D620A">
        <w:rPr>
          <w:rFonts w:cs="Arial"/>
          <w:szCs w:val="20"/>
        </w:rPr>
        <w:t xml:space="preserve">eight non-project countries </w:t>
      </w:r>
      <w:r w:rsidR="00E77FFB">
        <w:rPr>
          <w:rFonts w:cs="Arial"/>
          <w:szCs w:val="20"/>
        </w:rPr>
        <w:t xml:space="preserve">from </w:t>
      </w:r>
      <w:r w:rsidR="002D620A">
        <w:rPr>
          <w:rFonts w:cs="Arial"/>
          <w:szCs w:val="20"/>
        </w:rPr>
        <w:t xml:space="preserve">the </w:t>
      </w:r>
      <w:r w:rsidR="00FF55D4">
        <w:rPr>
          <w:rFonts w:cs="Arial"/>
          <w:szCs w:val="20"/>
        </w:rPr>
        <w:t xml:space="preserve">Western Asia </w:t>
      </w:r>
      <w:r w:rsidR="002D620A">
        <w:rPr>
          <w:rFonts w:cs="Arial"/>
          <w:szCs w:val="20"/>
        </w:rPr>
        <w:t>region.</w:t>
      </w:r>
      <w:r w:rsidR="002D620A">
        <w:rPr>
          <w:rStyle w:val="FootnoteReference"/>
          <w:rFonts w:cs="Arial"/>
          <w:szCs w:val="20"/>
        </w:rPr>
        <w:footnoteReference w:id="177"/>
      </w:r>
      <w:r w:rsidR="007726FC">
        <w:rPr>
          <w:rFonts w:cs="Arial"/>
          <w:szCs w:val="20"/>
        </w:rPr>
        <w:t xml:space="preserve"> </w:t>
      </w:r>
      <w:r w:rsidR="002F513A">
        <w:rPr>
          <w:rFonts w:cs="Arial"/>
          <w:szCs w:val="20"/>
        </w:rPr>
        <w:t xml:space="preserve">Three of these countries (Oman; </w:t>
      </w:r>
      <w:r w:rsidR="007F7696">
        <w:rPr>
          <w:rFonts w:cs="Arial"/>
          <w:szCs w:val="20"/>
        </w:rPr>
        <w:t xml:space="preserve">the Kingdom of </w:t>
      </w:r>
      <w:r w:rsidR="002F513A">
        <w:rPr>
          <w:rFonts w:cs="Arial"/>
          <w:szCs w:val="20"/>
        </w:rPr>
        <w:t xml:space="preserve">Saudi Arabia; and Tunisia) issued requests </w:t>
      </w:r>
      <w:r w:rsidR="00165BEE">
        <w:rPr>
          <w:rFonts w:cs="Arial"/>
          <w:szCs w:val="20"/>
        </w:rPr>
        <w:t xml:space="preserve">for assistance </w:t>
      </w:r>
      <w:r w:rsidR="002F513A">
        <w:rPr>
          <w:rFonts w:cs="Arial"/>
          <w:szCs w:val="20"/>
        </w:rPr>
        <w:t xml:space="preserve">to facilitate INFF implementation, including the application of the INFF tools, after having participated in the second regional workshop. </w:t>
      </w:r>
    </w:p>
    <w:p w14:paraId="5A3E6BF6" w14:textId="494F03EA" w:rsidR="002F513A" w:rsidRDefault="00207EFB" w:rsidP="002F513A">
      <w:pPr>
        <w:pStyle w:val="BodyText"/>
        <w:rPr>
          <w:rFonts w:cs="Arial"/>
          <w:szCs w:val="20"/>
        </w:rPr>
      </w:pPr>
      <w:r>
        <w:rPr>
          <w:rFonts w:cs="Arial"/>
          <w:szCs w:val="20"/>
        </w:rPr>
        <w:t xml:space="preserve">Across the target regions, </w:t>
      </w:r>
      <w:r w:rsidR="002F513A">
        <w:rPr>
          <w:rFonts w:cs="Arial"/>
          <w:szCs w:val="20"/>
        </w:rPr>
        <w:t xml:space="preserve">there was </w:t>
      </w:r>
      <w:r>
        <w:rPr>
          <w:rFonts w:cs="Arial"/>
          <w:szCs w:val="20"/>
        </w:rPr>
        <w:t xml:space="preserve">also </w:t>
      </w:r>
      <w:r w:rsidR="002F513A">
        <w:rPr>
          <w:rFonts w:cs="Arial"/>
          <w:szCs w:val="20"/>
        </w:rPr>
        <w:t>an increase in the number of countries tha</w:t>
      </w:r>
      <w:r w:rsidR="0080363C">
        <w:rPr>
          <w:rFonts w:cs="Arial"/>
          <w:szCs w:val="20"/>
        </w:rPr>
        <w:t>t</w:t>
      </w:r>
      <w:r w:rsidR="002F513A">
        <w:rPr>
          <w:rFonts w:cs="Arial"/>
          <w:szCs w:val="20"/>
        </w:rPr>
        <w:t xml:space="preserve"> </w:t>
      </w:r>
      <w:r w:rsidR="00712A9A">
        <w:rPr>
          <w:rFonts w:cs="Arial"/>
          <w:szCs w:val="20"/>
        </w:rPr>
        <w:t xml:space="preserve">had </w:t>
      </w:r>
      <w:r w:rsidR="006E75BD">
        <w:rPr>
          <w:rFonts w:cs="Arial"/>
          <w:szCs w:val="20"/>
        </w:rPr>
        <w:t xml:space="preserve">commenced </w:t>
      </w:r>
      <w:r w:rsidR="002F513A">
        <w:rPr>
          <w:rFonts w:cs="Arial"/>
          <w:szCs w:val="20"/>
        </w:rPr>
        <w:t xml:space="preserve">INFF </w:t>
      </w:r>
      <w:r w:rsidR="00712A9A">
        <w:rPr>
          <w:rFonts w:cs="Arial"/>
          <w:szCs w:val="20"/>
        </w:rPr>
        <w:t xml:space="preserve">development </w:t>
      </w:r>
      <w:r w:rsidR="002F513A">
        <w:rPr>
          <w:rFonts w:cs="Arial"/>
          <w:szCs w:val="20"/>
        </w:rPr>
        <w:t>(beyond the target countries and countries</w:t>
      </w:r>
      <w:r w:rsidR="00A67DBB">
        <w:rPr>
          <w:rFonts w:cs="Arial"/>
          <w:szCs w:val="20"/>
        </w:rPr>
        <w:t xml:space="preserve"> that had received </w:t>
      </w:r>
      <w:r w:rsidR="002F513A">
        <w:rPr>
          <w:rFonts w:cs="Arial"/>
          <w:szCs w:val="20"/>
        </w:rPr>
        <w:t xml:space="preserve">support </w:t>
      </w:r>
      <w:r w:rsidR="00A67DBB">
        <w:rPr>
          <w:rFonts w:cs="Arial"/>
          <w:szCs w:val="20"/>
        </w:rPr>
        <w:t xml:space="preserve">through </w:t>
      </w:r>
      <w:r w:rsidR="002F513A">
        <w:rPr>
          <w:rFonts w:cs="Arial"/>
          <w:szCs w:val="20"/>
        </w:rPr>
        <w:t xml:space="preserve">the Joint SDG Fund). </w:t>
      </w:r>
      <w:r w:rsidR="00F90EBF">
        <w:rPr>
          <w:rFonts w:cs="Arial"/>
          <w:szCs w:val="20"/>
        </w:rPr>
        <w:t>As of March 2025, t</w:t>
      </w:r>
      <w:r w:rsidR="002F513A">
        <w:rPr>
          <w:rFonts w:cs="Arial"/>
          <w:szCs w:val="20"/>
        </w:rPr>
        <w:t>he figure had increased from 79 countries at baseline (March 2021) to 86 countries.</w:t>
      </w:r>
    </w:p>
    <w:p w14:paraId="737E1DB5" w14:textId="05E8787B" w:rsidR="00E24DC3" w:rsidRDefault="00A542D9" w:rsidP="002F513A">
      <w:pPr>
        <w:pStyle w:val="BodyText"/>
        <w:rPr>
          <w:rFonts w:cs="Arial"/>
          <w:szCs w:val="20"/>
        </w:rPr>
      </w:pPr>
      <w:r>
        <w:rPr>
          <w:rFonts w:cs="Arial"/>
          <w:szCs w:val="20"/>
        </w:rPr>
        <w:t xml:space="preserve">While there has been evidence of </w:t>
      </w:r>
      <w:r w:rsidR="00932166">
        <w:rPr>
          <w:rFonts w:cs="Arial"/>
          <w:szCs w:val="20"/>
        </w:rPr>
        <w:t>the achievement of expected results, a question remains as to the added value of the INFF project</w:t>
      </w:r>
      <w:r w:rsidR="00EB2739">
        <w:rPr>
          <w:rFonts w:cs="Arial"/>
          <w:szCs w:val="20"/>
        </w:rPr>
        <w:t xml:space="preserve">. The response to this question is critical as </w:t>
      </w:r>
      <w:r w:rsidR="00AA069B">
        <w:rPr>
          <w:rFonts w:cs="Arial"/>
          <w:szCs w:val="20"/>
        </w:rPr>
        <w:t xml:space="preserve">it will be useful for </w:t>
      </w:r>
      <w:r w:rsidR="0090513A">
        <w:rPr>
          <w:rFonts w:cs="Arial"/>
          <w:szCs w:val="20"/>
        </w:rPr>
        <w:t xml:space="preserve">the enhancement </w:t>
      </w:r>
      <w:r w:rsidR="009C04C8">
        <w:rPr>
          <w:rFonts w:cs="Arial"/>
          <w:szCs w:val="20"/>
        </w:rPr>
        <w:t xml:space="preserve">of </w:t>
      </w:r>
      <w:r w:rsidR="00AA069B">
        <w:rPr>
          <w:rFonts w:cs="Arial"/>
          <w:szCs w:val="20"/>
        </w:rPr>
        <w:t>future similar initiatives</w:t>
      </w:r>
      <w:r w:rsidR="00CC45D5">
        <w:rPr>
          <w:rFonts w:cs="Arial"/>
          <w:szCs w:val="20"/>
        </w:rPr>
        <w:t xml:space="preserve"> and it will address the issue of duplicat</w:t>
      </w:r>
      <w:r w:rsidR="00B42CDB">
        <w:rPr>
          <w:rFonts w:cs="Arial"/>
          <w:szCs w:val="20"/>
        </w:rPr>
        <w:t xml:space="preserve">ion with Joint Programme activities. </w:t>
      </w:r>
      <w:r w:rsidR="009E5549">
        <w:rPr>
          <w:rFonts w:cs="Arial"/>
          <w:szCs w:val="20"/>
        </w:rPr>
        <w:t xml:space="preserve">Several factors should be </w:t>
      </w:r>
      <w:r w:rsidR="007A27EE">
        <w:rPr>
          <w:rFonts w:cs="Arial"/>
          <w:szCs w:val="20"/>
        </w:rPr>
        <w:t>reiterated</w:t>
      </w:r>
      <w:r w:rsidR="000F2A95">
        <w:rPr>
          <w:rFonts w:cs="Arial"/>
          <w:szCs w:val="20"/>
        </w:rPr>
        <w:t>, here</w:t>
      </w:r>
      <w:r w:rsidR="003542D8">
        <w:rPr>
          <w:rFonts w:cs="Arial"/>
          <w:szCs w:val="20"/>
        </w:rPr>
        <w:t>. First,</w:t>
      </w:r>
      <w:r w:rsidR="00531D7A">
        <w:rPr>
          <w:rFonts w:cs="Arial"/>
          <w:szCs w:val="20"/>
        </w:rPr>
        <w:t xml:space="preserve"> the follow-up support to target countries </w:t>
      </w:r>
      <w:r w:rsidR="003542D8">
        <w:rPr>
          <w:rFonts w:cs="Arial"/>
          <w:szCs w:val="20"/>
        </w:rPr>
        <w:t xml:space="preserve">under </w:t>
      </w:r>
      <w:r w:rsidR="00531D7A">
        <w:rPr>
          <w:rFonts w:cs="Arial"/>
          <w:szCs w:val="20"/>
        </w:rPr>
        <w:t xml:space="preserve">the INFF </w:t>
      </w:r>
      <w:r w:rsidR="00ED043D">
        <w:rPr>
          <w:rFonts w:cs="Arial"/>
          <w:szCs w:val="20"/>
        </w:rPr>
        <w:t>project was highly regarded by the target beneficiaries</w:t>
      </w:r>
      <w:r w:rsidR="003B7DBF">
        <w:rPr>
          <w:rFonts w:cs="Arial"/>
          <w:szCs w:val="20"/>
        </w:rPr>
        <w:t>,</w:t>
      </w:r>
      <w:r w:rsidR="00ED043D">
        <w:rPr>
          <w:rFonts w:cs="Arial"/>
          <w:szCs w:val="20"/>
        </w:rPr>
        <w:t xml:space="preserve"> as it addressed their </w:t>
      </w:r>
      <w:r w:rsidR="008303FE">
        <w:rPr>
          <w:rFonts w:cs="Arial"/>
          <w:szCs w:val="20"/>
        </w:rPr>
        <w:t xml:space="preserve">context-specific needs upon request. </w:t>
      </w:r>
      <w:r w:rsidR="003542D8">
        <w:rPr>
          <w:rFonts w:cs="Arial"/>
          <w:szCs w:val="20"/>
        </w:rPr>
        <w:t xml:space="preserve">Second, </w:t>
      </w:r>
      <w:r w:rsidR="006B449D">
        <w:rPr>
          <w:rFonts w:cs="Arial"/>
          <w:szCs w:val="20"/>
        </w:rPr>
        <w:t xml:space="preserve">the Joint Programme provides </w:t>
      </w:r>
      <w:r w:rsidR="00684239">
        <w:rPr>
          <w:rFonts w:cs="Arial"/>
          <w:szCs w:val="20"/>
        </w:rPr>
        <w:t xml:space="preserve">contextual support to States for the </w:t>
      </w:r>
      <w:r w:rsidR="00D64C00">
        <w:rPr>
          <w:rFonts w:cs="Arial"/>
          <w:szCs w:val="20"/>
        </w:rPr>
        <w:t xml:space="preserve">INFF </w:t>
      </w:r>
      <w:r w:rsidR="003542D8">
        <w:rPr>
          <w:rFonts w:cs="Arial"/>
          <w:szCs w:val="20"/>
        </w:rPr>
        <w:t>design and implemen</w:t>
      </w:r>
      <w:r w:rsidR="007A27EE">
        <w:rPr>
          <w:rFonts w:cs="Arial"/>
          <w:szCs w:val="20"/>
        </w:rPr>
        <w:t>tation, including monitoring and oversight</w:t>
      </w:r>
      <w:r w:rsidR="000B2C26">
        <w:rPr>
          <w:rFonts w:cs="Arial"/>
          <w:szCs w:val="20"/>
        </w:rPr>
        <w:t>.</w:t>
      </w:r>
      <w:r w:rsidR="007A27EE">
        <w:rPr>
          <w:rFonts w:cs="Arial"/>
          <w:szCs w:val="20"/>
        </w:rPr>
        <w:t xml:space="preserve"> Third, </w:t>
      </w:r>
      <w:r w:rsidR="00DB3B34">
        <w:rPr>
          <w:rFonts w:cs="Arial"/>
          <w:szCs w:val="20"/>
        </w:rPr>
        <w:t xml:space="preserve">the target countries indicated that the </w:t>
      </w:r>
      <w:r w:rsidR="0086024C">
        <w:rPr>
          <w:rFonts w:cs="Arial"/>
          <w:szCs w:val="20"/>
        </w:rPr>
        <w:t xml:space="preserve">global </w:t>
      </w:r>
      <w:r w:rsidR="0086024C">
        <w:rPr>
          <w:rFonts w:cs="Arial"/>
          <w:szCs w:val="20"/>
        </w:rPr>
        <w:t xml:space="preserve">guidance material </w:t>
      </w:r>
      <w:r w:rsidR="001F2E03">
        <w:rPr>
          <w:rFonts w:cs="Arial"/>
          <w:szCs w:val="20"/>
        </w:rPr>
        <w:t xml:space="preserve">that was provided under </w:t>
      </w:r>
      <w:r w:rsidR="000F2A95">
        <w:rPr>
          <w:rFonts w:cs="Arial"/>
          <w:szCs w:val="20"/>
        </w:rPr>
        <w:t>the I</w:t>
      </w:r>
      <w:r w:rsidR="005E1044">
        <w:rPr>
          <w:rFonts w:cs="Arial"/>
          <w:szCs w:val="20"/>
        </w:rPr>
        <w:t xml:space="preserve">NFF project </w:t>
      </w:r>
      <w:r w:rsidR="000F2A95">
        <w:rPr>
          <w:rFonts w:cs="Arial"/>
          <w:szCs w:val="20"/>
        </w:rPr>
        <w:t>was not contextually appl</w:t>
      </w:r>
      <w:r w:rsidR="00D36BC9">
        <w:rPr>
          <w:rFonts w:cs="Arial"/>
          <w:szCs w:val="20"/>
        </w:rPr>
        <w:t xml:space="preserve">icable. Fourth, the </w:t>
      </w:r>
      <w:r w:rsidR="002A03BF">
        <w:rPr>
          <w:rFonts w:cs="Arial"/>
          <w:szCs w:val="20"/>
        </w:rPr>
        <w:t xml:space="preserve">executing entities did not all specialise in INFF </w:t>
      </w:r>
      <w:r w:rsidR="00093A2E">
        <w:rPr>
          <w:rFonts w:cs="Arial"/>
          <w:szCs w:val="20"/>
        </w:rPr>
        <w:t xml:space="preserve">development, although they all had expertise in INFF-related areas. </w:t>
      </w:r>
      <w:r w:rsidR="00446608">
        <w:rPr>
          <w:rFonts w:cs="Arial"/>
          <w:szCs w:val="20"/>
        </w:rPr>
        <w:t>In light of these factors, the comparative advantage</w:t>
      </w:r>
      <w:r w:rsidR="00DD6FC1">
        <w:rPr>
          <w:rFonts w:cs="Arial"/>
          <w:szCs w:val="20"/>
        </w:rPr>
        <w:t xml:space="preserve"> and, in effect, the added value of the INFF project</w:t>
      </w:r>
      <w:r w:rsidR="00216232">
        <w:rPr>
          <w:rFonts w:cs="Arial"/>
          <w:szCs w:val="20"/>
        </w:rPr>
        <w:t xml:space="preserve"> was its responsiveness </w:t>
      </w:r>
      <w:r w:rsidR="00E24DC3">
        <w:rPr>
          <w:rFonts w:cs="Arial"/>
          <w:szCs w:val="20"/>
        </w:rPr>
        <w:t>to</w:t>
      </w:r>
      <w:r w:rsidR="00216232">
        <w:rPr>
          <w:rFonts w:cs="Arial"/>
          <w:szCs w:val="20"/>
        </w:rPr>
        <w:t xml:space="preserve"> requests for technical assistance by the </w:t>
      </w:r>
      <w:r w:rsidR="00837830">
        <w:rPr>
          <w:rFonts w:cs="Arial"/>
          <w:szCs w:val="20"/>
        </w:rPr>
        <w:t xml:space="preserve">target countries, combined with the </w:t>
      </w:r>
      <w:r w:rsidR="00E203C2">
        <w:rPr>
          <w:rFonts w:cs="Arial"/>
          <w:szCs w:val="20"/>
        </w:rPr>
        <w:t>specialities of the executing entities.</w:t>
      </w:r>
    </w:p>
    <w:p w14:paraId="52F34036" w14:textId="77777777" w:rsidR="00175E17" w:rsidRDefault="00E24DC3" w:rsidP="002F513A">
      <w:pPr>
        <w:pStyle w:val="BodyText"/>
        <w:rPr>
          <w:rFonts w:cs="Arial"/>
          <w:szCs w:val="20"/>
        </w:rPr>
      </w:pPr>
      <w:r w:rsidRPr="00BD4BC9">
        <w:rPr>
          <w:rFonts w:eastAsia="Calibri"/>
          <w:noProof/>
        </w:rPr>
        <mc:AlternateContent>
          <mc:Choice Requires="wps">
            <w:drawing>
              <wp:inline distT="0" distB="0" distL="0" distR="0" wp14:anchorId="6DFBEED8" wp14:editId="3FBB335A">
                <wp:extent cx="2949575" cy="1097280"/>
                <wp:effectExtent l="0" t="0" r="22225" b="26670"/>
                <wp:docPr id="2053678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1097280"/>
                        </a:xfrm>
                        <a:prstGeom prst="rect">
                          <a:avLst/>
                        </a:prstGeom>
                        <a:solidFill>
                          <a:schemeClr val="accent1">
                            <a:alpha val="1000"/>
                          </a:schemeClr>
                        </a:solidFill>
                        <a:ln w="25400">
                          <a:solidFill>
                            <a:schemeClr val="accent1"/>
                          </a:solidFill>
                          <a:miter lim="800000"/>
                          <a:headEnd/>
                          <a:tailEnd/>
                        </a:ln>
                      </wps:spPr>
                      <wps:txbx>
                        <w:txbxContent>
                          <w:p w14:paraId="48468FB5" w14:textId="13A332BC" w:rsidR="00E24DC3" w:rsidRPr="009B24AA" w:rsidRDefault="007330B2" w:rsidP="00373129">
                            <w:pPr>
                              <w:pStyle w:val="TextboxQuote"/>
                              <w:spacing w:after="0"/>
                              <w:jc w:val="both"/>
                              <w:rPr>
                                <w:sz w:val="18"/>
                                <w:szCs w:val="18"/>
                              </w:rPr>
                            </w:pPr>
                            <w:r>
                              <w:rPr>
                                <w:sz w:val="18"/>
                                <w:szCs w:val="18"/>
                              </w:rPr>
                              <w:t xml:space="preserve">Recommendations proposed in the report </w:t>
                            </w:r>
                            <w:r w:rsidR="00D37D06">
                              <w:rPr>
                                <w:sz w:val="18"/>
                                <w:szCs w:val="18"/>
                              </w:rPr>
                              <w:t>on illicit financial flows in the extractive sector</w:t>
                            </w:r>
                            <w:r w:rsidR="000B2E54">
                              <w:rPr>
                                <w:sz w:val="18"/>
                                <w:szCs w:val="18"/>
                              </w:rPr>
                              <w:t>,</w:t>
                            </w:r>
                            <w:r w:rsidR="00D37D06">
                              <w:rPr>
                                <w:sz w:val="18"/>
                                <w:szCs w:val="18"/>
                              </w:rPr>
                              <w:t xml:space="preserve"> developed thanks to training received from UNC</w:t>
                            </w:r>
                            <w:r w:rsidR="000B2E54">
                              <w:rPr>
                                <w:sz w:val="18"/>
                                <w:szCs w:val="18"/>
                              </w:rPr>
                              <w:t xml:space="preserve">TAD, were taken into account in the new mining code of </w:t>
                            </w:r>
                            <w:r w:rsidR="00D37D06">
                              <w:rPr>
                                <w:sz w:val="18"/>
                                <w:szCs w:val="18"/>
                              </w:rPr>
                              <w:t>Burkina Faso</w:t>
                            </w:r>
                            <w:r w:rsidR="000B2E54">
                              <w:rPr>
                                <w:sz w:val="18"/>
                                <w:szCs w:val="18"/>
                              </w:rPr>
                              <w:t>, ad</w:t>
                            </w:r>
                            <w:r w:rsidR="00D400A4">
                              <w:rPr>
                                <w:sz w:val="18"/>
                                <w:szCs w:val="18"/>
                              </w:rPr>
                              <w:t>opted in July 2024</w:t>
                            </w:r>
                          </w:p>
                          <w:p w14:paraId="5603DC68" w14:textId="72E2F67A" w:rsidR="00E24DC3" w:rsidRDefault="00E24DC3" w:rsidP="00E24DC3">
                            <w:pPr>
                              <w:pStyle w:val="TextboxSource"/>
                            </w:pPr>
                            <w:r w:rsidRPr="00853027">
                              <w:t xml:space="preserve">Source: </w:t>
                            </w:r>
                            <w:r w:rsidR="007330B2">
                              <w:t>Workshop participant, Burkina Faso</w:t>
                            </w:r>
                          </w:p>
                        </w:txbxContent>
                      </wps:txbx>
                      <wps:bodyPr rot="0" vert="horz" wrap="square" lIns="144000" tIns="108000" rIns="144000" bIns="108000" anchor="t" anchorCtr="0">
                        <a:spAutoFit/>
                      </wps:bodyPr>
                    </wps:wsp>
                  </a:graphicData>
                </a:graphic>
              </wp:inline>
            </w:drawing>
          </mc:Choice>
          <mc:Fallback>
            <w:pict>
              <v:shape w14:anchorId="6DFBEED8" id="_x0000_s1029" type="#_x0000_t202" style="width:232.2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" fillcolor="#009edb [3204]" strokecolor="#009edb [3204]" strokeweight="2pt">
                <v:fill opacity="771f"/>
                <v:textbox style="mso-fit-shape-to-text:t" inset="4mm,3mm,4mm,3mm">
                  <w:txbxContent>
                    <w:p w14:paraId="48468FB5" w14:textId="13A332BC" w:rsidR="00E24DC3" w:rsidRPr="009B24AA" w:rsidRDefault="007330B2" w:rsidP="00373129">
                      <w:pPr>
                        <w:pStyle w:val="TextboxQuote"/>
                        <w:spacing w:after="0"/>
                        <w:jc w:val="both"/>
                        <w:rPr>
                          <w:sz w:val="18"/>
                          <w:szCs w:val="18"/>
                        </w:rPr>
                      </w:pPr>
                      <w:r>
                        <w:rPr>
                          <w:sz w:val="18"/>
                          <w:szCs w:val="18"/>
                        </w:rPr>
                        <w:t xml:space="preserve">Recommendations proposed in the report </w:t>
                      </w:r>
                      <w:r w:rsidR="00D37D06">
                        <w:rPr>
                          <w:sz w:val="18"/>
                          <w:szCs w:val="18"/>
                        </w:rPr>
                        <w:t>on illicit financial flows in the extractive sector</w:t>
                      </w:r>
                      <w:r w:rsidR="000B2E54">
                        <w:rPr>
                          <w:sz w:val="18"/>
                          <w:szCs w:val="18"/>
                        </w:rPr>
                        <w:t>,</w:t>
                      </w:r>
                      <w:r w:rsidR="00D37D06">
                        <w:rPr>
                          <w:sz w:val="18"/>
                          <w:szCs w:val="18"/>
                        </w:rPr>
                        <w:t xml:space="preserve"> developed thanks to training received from UNC</w:t>
                      </w:r>
                      <w:r w:rsidR="000B2E54">
                        <w:rPr>
                          <w:sz w:val="18"/>
                          <w:szCs w:val="18"/>
                        </w:rPr>
                        <w:t xml:space="preserve">TAD, were taken into account in the new mining code of </w:t>
                      </w:r>
                      <w:r w:rsidR="00D37D06">
                        <w:rPr>
                          <w:sz w:val="18"/>
                          <w:szCs w:val="18"/>
                        </w:rPr>
                        <w:t>Burkina Faso</w:t>
                      </w:r>
                      <w:r w:rsidR="000B2E54">
                        <w:rPr>
                          <w:sz w:val="18"/>
                          <w:szCs w:val="18"/>
                        </w:rPr>
                        <w:t>, ad</w:t>
                      </w:r>
                      <w:r w:rsidR="00D400A4">
                        <w:rPr>
                          <w:sz w:val="18"/>
                          <w:szCs w:val="18"/>
                        </w:rPr>
                        <w:t>opted in July 2024</w:t>
                      </w:r>
                    </w:p>
                    <w:p w14:paraId="5603DC68" w14:textId="72E2F67A" w:rsidR="00E24DC3" w:rsidRDefault="00E24DC3" w:rsidP="00E24DC3">
                      <w:pPr>
                        <w:pStyle w:val="TextboxSource"/>
                      </w:pPr>
                      <w:r w:rsidRPr="00853027">
                        <w:t xml:space="preserve">Source: </w:t>
                      </w:r>
                      <w:r w:rsidR="007330B2">
                        <w:t>Workshop participant, Burkina Faso</w:t>
                      </w:r>
                    </w:p>
                  </w:txbxContent>
                </v:textbox>
                <w10:anchorlock/>
              </v:shape>
            </w:pict>
          </mc:Fallback>
        </mc:AlternateContent>
      </w:r>
      <w:r w:rsidR="00E203C2">
        <w:rPr>
          <w:rFonts w:cs="Arial"/>
          <w:szCs w:val="20"/>
        </w:rPr>
        <w:t xml:space="preserve"> </w:t>
      </w:r>
    </w:p>
    <w:p w14:paraId="0535B045" w14:textId="04F5560F" w:rsidR="00C2386D" w:rsidRDefault="0036719A" w:rsidP="002F513A">
      <w:pPr>
        <w:pStyle w:val="BodyText"/>
        <w:rPr>
          <w:rFonts w:cs="Arial"/>
          <w:szCs w:val="20"/>
        </w:rPr>
      </w:pPr>
      <w:r>
        <w:rPr>
          <w:rFonts w:cs="Arial"/>
          <w:szCs w:val="20"/>
        </w:rPr>
        <w:t>An additional advantage of the</w:t>
      </w:r>
      <w:r w:rsidR="002B6DC2">
        <w:rPr>
          <w:rFonts w:cs="Arial"/>
          <w:szCs w:val="20"/>
        </w:rPr>
        <w:t xml:space="preserve"> INFF</w:t>
      </w:r>
      <w:r>
        <w:rPr>
          <w:rFonts w:cs="Arial"/>
          <w:szCs w:val="20"/>
        </w:rPr>
        <w:t xml:space="preserve"> project was the strength of its outreach effort</w:t>
      </w:r>
      <w:r w:rsidR="002B6DC2">
        <w:rPr>
          <w:rFonts w:cs="Arial"/>
          <w:szCs w:val="20"/>
        </w:rPr>
        <w:t xml:space="preserve">s, </w:t>
      </w:r>
      <w:r w:rsidR="00E16BF4">
        <w:rPr>
          <w:rFonts w:cs="Arial"/>
          <w:szCs w:val="20"/>
        </w:rPr>
        <w:t>which extended beyond the 10 target countries</w:t>
      </w:r>
      <w:r w:rsidR="00E24DC3">
        <w:rPr>
          <w:rFonts w:cs="Arial"/>
          <w:szCs w:val="20"/>
        </w:rPr>
        <w:t xml:space="preserve"> to include non-project countries within the target regions</w:t>
      </w:r>
      <w:r w:rsidR="00694A0F">
        <w:rPr>
          <w:rFonts w:cs="Arial"/>
          <w:szCs w:val="20"/>
        </w:rPr>
        <w:t xml:space="preserve">. </w:t>
      </w:r>
      <w:r w:rsidR="0076597A">
        <w:rPr>
          <w:rFonts w:cs="Arial"/>
          <w:szCs w:val="20"/>
        </w:rPr>
        <w:t xml:space="preserve">The </w:t>
      </w:r>
      <w:r w:rsidR="00C2386D">
        <w:rPr>
          <w:rFonts w:cs="Arial"/>
          <w:szCs w:val="20"/>
        </w:rPr>
        <w:t xml:space="preserve">question </w:t>
      </w:r>
      <w:r w:rsidR="00694A0F">
        <w:rPr>
          <w:rFonts w:cs="Arial"/>
          <w:szCs w:val="20"/>
        </w:rPr>
        <w:t xml:space="preserve">for consideration, therefore, is whether future programming will </w:t>
      </w:r>
      <w:r w:rsidR="00A226A2">
        <w:rPr>
          <w:rFonts w:cs="Arial"/>
          <w:szCs w:val="20"/>
        </w:rPr>
        <w:t xml:space="preserve">involve close collaboration with the Joint Programme at the project </w:t>
      </w:r>
      <w:r w:rsidR="006301B5">
        <w:rPr>
          <w:rFonts w:cs="Arial"/>
          <w:szCs w:val="20"/>
        </w:rPr>
        <w:t>design stage, to avoid a duplication of efforts. Al</w:t>
      </w:r>
      <w:r w:rsidR="0076597A">
        <w:rPr>
          <w:rFonts w:cs="Arial"/>
          <w:szCs w:val="20"/>
        </w:rPr>
        <w:t xml:space="preserve">ternatively, the </w:t>
      </w:r>
      <w:r w:rsidR="00C2386D">
        <w:rPr>
          <w:rFonts w:cs="Arial"/>
          <w:szCs w:val="20"/>
        </w:rPr>
        <w:t xml:space="preserve">issue to be addressed is </w:t>
      </w:r>
      <w:r w:rsidR="00671086">
        <w:rPr>
          <w:rFonts w:cs="Arial"/>
          <w:szCs w:val="20"/>
        </w:rPr>
        <w:t>whether a future partnership</w:t>
      </w:r>
      <w:r w:rsidR="00C33729">
        <w:rPr>
          <w:rFonts w:cs="Arial"/>
          <w:szCs w:val="20"/>
        </w:rPr>
        <w:t xml:space="preserve"> across</w:t>
      </w:r>
      <w:r w:rsidR="00671086">
        <w:rPr>
          <w:rFonts w:cs="Arial"/>
          <w:szCs w:val="20"/>
        </w:rPr>
        <w:t xml:space="preserve"> the executing entities will </w:t>
      </w:r>
      <w:r w:rsidR="00C33729">
        <w:rPr>
          <w:rFonts w:cs="Arial"/>
          <w:szCs w:val="20"/>
        </w:rPr>
        <w:t xml:space="preserve">continue to </w:t>
      </w:r>
      <w:r w:rsidR="00F30863">
        <w:rPr>
          <w:rFonts w:cs="Arial"/>
          <w:szCs w:val="20"/>
        </w:rPr>
        <w:t>provide context-specific support to States based on the combined areas of expertise</w:t>
      </w:r>
      <w:r w:rsidR="000D1957">
        <w:rPr>
          <w:rFonts w:cs="Arial"/>
          <w:szCs w:val="20"/>
        </w:rPr>
        <w:t>.</w:t>
      </w:r>
      <w:r w:rsidR="00C2386D">
        <w:rPr>
          <w:rFonts w:cs="Arial"/>
          <w:szCs w:val="20"/>
        </w:rPr>
        <w:t xml:space="preserve"> </w:t>
      </w:r>
    </w:p>
    <w:p w14:paraId="04D829DA" w14:textId="26428583" w:rsidR="008F1FA1" w:rsidRPr="00337154" w:rsidRDefault="008F1FA1" w:rsidP="00853027">
      <w:pPr>
        <w:pStyle w:val="Heading2"/>
      </w:pPr>
      <w:bookmarkStart w:id="44" w:name="_Toc210730325"/>
      <w:r w:rsidRPr="00337154">
        <w:t>Efficiency</w:t>
      </w:r>
      <w:bookmarkEnd w:id="44"/>
    </w:p>
    <w:p w14:paraId="7C08AD7F" w14:textId="0A2823C8" w:rsidR="00477FC5" w:rsidRDefault="00BD7536" w:rsidP="005D16A9">
      <w:pPr>
        <w:pStyle w:val="BodyText"/>
        <w:rPr>
          <w:b/>
          <w:bCs/>
        </w:rPr>
      </w:pPr>
      <w:r>
        <w:t>As a measure of project eff</w:t>
      </w:r>
      <w:r w:rsidR="00D943DD">
        <w:t>iciency, the</w:t>
      </w:r>
      <w:r w:rsidR="006A6F89">
        <w:t xml:space="preserve"> evaluation </w:t>
      </w:r>
      <w:r w:rsidR="00A32754">
        <w:t xml:space="preserve">was used to assess whether the </w:t>
      </w:r>
      <w:r w:rsidR="0032282C">
        <w:t xml:space="preserve">INFF </w:t>
      </w:r>
      <w:r w:rsidR="00A32754">
        <w:t>project delivered its expected results in an economic and timely way.</w:t>
      </w:r>
      <w:r w:rsidR="00C35D7A">
        <w:t xml:space="preserve"> The </w:t>
      </w:r>
      <w:r w:rsidR="00DA3B81">
        <w:t xml:space="preserve">focus </w:t>
      </w:r>
      <w:r w:rsidR="00FC5B8B">
        <w:t xml:space="preserve">was on whether project resources were converted into expected results within the </w:t>
      </w:r>
      <w:r w:rsidR="00BB30D5">
        <w:t>anticipated timeframe,</w:t>
      </w:r>
      <w:r w:rsidR="00BB30D5" w:rsidRPr="00BB30D5">
        <w:rPr>
          <w:rStyle w:val="FootnoteReference"/>
        </w:rPr>
        <w:t xml:space="preserve"> </w:t>
      </w:r>
      <w:r w:rsidR="00BB30D5">
        <w:rPr>
          <w:rStyle w:val="FootnoteReference"/>
        </w:rPr>
        <w:footnoteReference w:id="178"/>
      </w:r>
      <w:r w:rsidR="00BB30D5">
        <w:t xml:space="preserve"> </w:t>
      </w:r>
      <w:r w:rsidR="00686F0A">
        <w:t xml:space="preserve">as </w:t>
      </w:r>
      <w:r w:rsidR="006D6A59">
        <w:t xml:space="preserve">well as whether </w:t>
      </w:r>
      <w:r w:rsidR="003420C8">
        <w:t xml:space="preserve">the </w:t>
      </w:r>
      <w:r w:rsidR="006D6A59">
        <w:t>quality of the process and the results that were generated</w:t>
      </w:r>
      <w:r w:rsidR="00BB30D5">
        <w:t xml:space="preserve"> </w:t>
      </w:r>
      <w:r w:rsidR="00B13BC2">
        <w:t>was at the required level.</w:t>
      </w:r>
      <w:r w:rsidR="00C51479" w:rsidRPr="00C51479">
        <w:rPr>
          <w:rStyle w:val="FootnoteReference"/>
        </w:rPr>
        <w:t xml:space="preserve"> </w:t>
      </w:r>
      <w:r w:rsidR="00C51479">
        <w:rPr>
          <w:rStyle w:val="FootnoteReference"/>
        </w:rPr>
        <w:footnoteReference w:id="179"/>
      </w:r>
      <w:r w:rsidR="00C51479">
        <w:t xml:space="preserve"> </w:t>
      </w:r>
    </w:p>
    <w:p w14:paraId="3E832E88" w14:textId="07F52837" w:rsidR="00263C33" w:rsidRDefault="00477FC5" w:rsidP="005D16A9">
      <w:pPr>
        <w:pStyle w:val="BodyText"/>
        <w:rPr>
          <w:b/>
          <w:bCs/>
        </w:rPr>
      </w:pPr>
      <w:r>
        <w:rPr>
          <w:b/>
          <w:bCs/>
        </w:rPr>
        <w:t>While t</w:t>
      </w:r>
      <w:r w:rsidR="00D41EB9" w:rsidRPr="007728E8">
        <w:rPr>
          <w:b/>
          <w:bCs/>
        </w:rPr>
        <w:t>here</w:t>
      </w:r>
      <w:r w:rsidR="00A70041" w:rsidRPr="007728E8">
        <w:rPr>
          <w:b/>
          <w:bCs/>
        </w:rPr>
        <w:t xml:space="preserve"> was evidence</w:t>
      </w:r>
      <w:r>
        <w:rPr>
          <w:b/>
          <w:bCs/>
        </w:rPr>
        <w:t xml:space="preserve"> </w:t>
      </w:r>
      <w:r w:rsidR="00A70041" w:rsidRPr="007728E8">
        <w:rPr>
          <w:b/>
          <w:bCs/>
        </w:rPr>
        <w:t xml:space="preserve">of </w:t>
      </w:r>
      <w:r w:rsidR="00263C33">
        <w:rPr>
          <w:b/>
          <w:bCs/>
        </w:rPr>
        <w:t xml:space="preserve">the </w:t>
      </w:r>
      <w:r w:rsidR="008E5137" w:rsidRPr="007728E8">
        <w:rPr>
          <w:b/>
          <w:bCs/>
        </w:rPr>
        <w:t xml:space="preserve">added value </w:t>
      </w:r>
      <w:r w:rsidR="00263C33">
        <w:rPr>
          <w:b/>
          <w:bCs/>
        </w:rPr>
        <w:t xml:space="preserve">of the project </w:t>
      </w:r>
      <w:r w:rsidR="008E5137" w:rsidRPr="007728E8">
        <w:rPr>
          <w:b/>
          <w:bCs/>
        </w:rPr>
        <w:t>to target and non-project countries</w:t>
      </w:r>
      <w:r>
        <w:rPr>
          <w:b/>
          <w:bCs/>
        </w:rPr>
        <w:t>,</w:t>
      </w:r>
      <w:r w:rsidR="008E5137" w:rsidRPr="007728E8">
        <w:rPr>
          <w:b/>
          <w:bCs/>
        </w:rPr>
        <w:t xml:space="preserve"> and </w:t>
      </w:r>
      <w:r w:rsidR="000A6F76">
        <w:rPr>
          <w:b/>
          <w:bCs/>
        </w:rPr>
        <w:t xml:space="preserve">a contribution towards </w:t>
      </w:r>
      <w:r w:rsidR="008E5137" w:rsidRPr="007728E8">
        <w:rPr>
          <w:b/>
          <w:bCs/>
        </w:rPr>
        <w:t xml:space="preserve">project value </w:t>
      </w:r>
      <w:r w:rsidR="00736B85" w:rsidRPr="007728E8">
        <w:rPr>
          <w:b/>
          <w:bCs/>
        </w:rPr>
        <w:t>for money</w:t>
      </w:r>
      <w:r>
        <w:rPr>
          <w:b/>
          <w:bCs/>
        </w:rPr>
        <w:t xml:space="preserve">, </w:t>
      </w:r>
      <w:r w:rsidRPr="007728E8">
        <w:rPr>
          <w:b/>
          <w:bCs/>
        </w:rPr>
        <w:t xml:space="preserve">the </w:t>
      </w:r>
      <w:r w:rsidRPr="007728E8">
        <w:rPr>
          <w:b/>
          <w:bCs/>
        </w:rPr>
        <w:lastRenderedPageBreak/>
        <w:t xml:space="preserve">impact level </w:t>
      </w:r>
      <w:r>
        <w:rPr>
          <w:b/>
          <w:bCs/>
        </w:rPr>
        <w:t>target</w:t>
      </w:r>
      <w:r w:rsidRPr="007728E8">
        <w:rPr>
          <w:b/>
          <w:bCs/>
        </w:rPr>
        <w:t xml:space="preserve"> of the project results framework was lacking in sufficient clarity on result</w:t>
      </w:r>
      <w:r>
        <w:rPr>
          <w:b/>
          <w:bCs/>
        </w:rPr>
        <w:t>s</w:t>
      </w:r>
      <w:r w:rsidRPr="007728E8">
        <w:rPr>
          <w:b/>
          <w:bCs/>
        </w:rPr>
        <w:t xml:space="preserve"> expectations.</w:t>
      </w:r>
      <w:r w:rsidR="00736B85" w:rsidRPr="007728E8">
        <w:rPr>
          <w:b/>
          <w:bCs/>
        </w:rPr>
        <w:t xml:space="preserve"> </w:t>
      </w:r>
      <w:r>
        <w:rPr>
          <w:b/>
          <w:bCs/>
        </w:rPr>
        <w:t xml:space="preserve">The </w:t>
      </w:r>
      <w:r w:rsidR="00D41EB9" w:rsidRPr="007728E8">
        <w:rPr>
          <w:b/>
          <w:bCs/>
        </w:rPr>
        <w:t>risk assessment that was used to inform</w:t>
      </w:r>
      <w:r w:rsidR="00F624FB" w:rsidRPr="007728E8">
        <w:rPr>
          <w:b/>
          <w:bCs/>
        </w:rPr>
        <w:t xml:space="preserve"> project implementation </w:t>
      </w:r>
      <w:r>
        <w:rPr>
          <w:b/>
          <w:bCs/>
        </w:rPr>
        <w:t xml:space="preserve">also </w:t>
      </w:r>
      <w:r w:rsidR="00F624FB" w:rsidRPr="007728E8">
        <w:rPr>
          <w:b/>
          <w:bCs/>
        </w:rPr>
        <w:t xml:space="preserve">did not take into account the extensive disruptions </w:t>
      </w:r>
      <w:r w:rsidR="00E221A9" w:rsidRPr="007728E8">
        <w:rPr>
          <w:b/>
          <w:bCs/>
        </w:rPr>
        <w:t xml:space="preserve">to project activities </w:t>
      </w:r>
      <w:r w:rsidR="00F624FB" w:rsidRPr="007728E8">
        <w:rPr>
          <w:b/>
          <w:bCs/>
        </w:rPr>
        <w:t xml:space="preserve">that </w:t>
      </w:r>
      <w:r w:rsidR="00E221A9" w:rsidRPr="007728E8">
        <w:rPr>
          <w:b/>
          <w:bCs/>
        </w:rPr>
        <w:t xml:space="preserve">can be </w:t>
      </w:r>
      <w:r w:rsidR="004260FA" w:rsidRPr="007728E8">
        <w:rPr>
          <w:b/>
          <w:bCs/>
        </w:rPr>
        <w:t xml:space="preserve">generated by geopolitical </w:t>
      </w:r>
      <w:r w:rsidR="00E221A9" w:rsidRPr="007728E8">
        <w:rPr>
          <w:b/>
          <w:bCs/>
        </w:rPr>
        <w:t>factors.</w:t>
      </w:r>
      <w:r w:rsidR="006B1A38" w:rsidRPr="007728E8">
        <w:rPr>
          <w:b/>
          <w:bCs/>
        </w:rPr>
        <w:t xml:space="preserve"> </w:t>
      </w:r>
    </w:p>
    <w:p w14:paraId="1BC10941" w14:textId="3E2CF517" w:rsidR="00263C33" w:rsidRDefault="005D1653" w:rsidP="005D16A9">
      <w:pPr>
        <w:pStyle w:val="BodyText"/>
        <w:rPr>
          <w:b/>
          <w:bCs/>
        </w:rPr>
      </w:pPr>
      <w:r w:rsidRPr="007728E8">
        <w:rPr>
          <w:b/>
          <w:bCs/>
        </w:rPr>
        <w:t>A</w:t>
      </w:r>
      <w:r w:rsidR="00477FC5">
        <w:rPr>
          <w:b/>
          <w:bCs/>
        </w:rPr>
        <w:t>t the level of project oversight, al</w:t>
      </w:r>
      <w:r w:rsidRPr="007728E8">
        <w:rPr>
          <w:b/>
          <w:bCs/>
        </w:rPr>
        <w:t xml:space="preserve">though the role of the Project Coordinating Team was </w:t>
      </w:r>
      <w:r w:rsidR="0053013B">
        <w:rPr>
          <w:b/>
          <w:bCs/>
        </w:rPr>
        <w:t>clear</w:t>
      </w:r>
      <w:r w:rsidR="00CD1932" w:rsidRPr="007728E8">
        <w:rPr>
          <w:b/>
          <w:bCs/>
        </w:rPr>
        <w:t xml:space="preserve">, the management function of UNDESA-FSDO was not immediately evident. </w:t>
      </w:r>
      <w:r w:rsidR="00263C33">
        <w:rPr>
          <w:b/>
          <w:bCs/>
        </w:rPr>
        <w:t xml:space="preserve">As a result of the interface that was created through the project, </w:t>
      </w:r>
      <w:r w:rsidR="00477FC5">
        <w:rPr>
          <w:b/>
          <w:bCs/>
        </w:rPr>
        <w:t xml:space="preserve">however, </w:t>
      </w:r>
      <w:r w:rsidR="00263C33">
        <w:rPr>
          <w:b/>
          <w:bCs/>
        </w:rPr>
        <w:t xml:space="preserve">there was effective collaboration and coordination between the </w:t>
      </w:r>
      <w:r w:rsidR="00477FC5" w:rsidRPr="007728E8">
        <w:rPr>
          <w:b/>
          <w:bCs/>
        </w:rPr>
        <w:t>executing entities for the joint delivery of project activities.</w:t>
      </w:r>
    </w:p>
    <w:p w14:paraId="01CF7101" w14:textId="239068D9" w:rsidR="001A51BE" w:rsidRDefault="003B15BB" w:rsidP="003B672F">
      <w:pPr>
        <w:pStyle w:val="Default"/>
        <w:numPr>
          <w:ilvl w:val="0"/>
          <w:numId w:val="107"/>
        </w:numPr>
        <w:spacing w:before="120" w:after="120" w:line="259" w:lineRule="auto"/>
        <w:jc w:val="both"/>
        <w:rPr>
          <w:rFonts w:asciiTheme="minorHAnsi" w:hAnsiTheme="minorHAnsi"/>
          <w:sz w:val="20"/>
          <w:szCs w:val="20"/>
        </w:rPr>
      </w:pPr>
      <w:r w:rsidRPr="00F87481">
        <w:rPr>
          <w:rFonts w:asciiTheme="minorHAnsi" w:hAnsiTheme="minorHAnsi"/>
          <w:b/>
          <w:bCs/>
          <w:sz w:val="20"/>
          <w:szCs w:val="20"/>
        </w:rPr>
        <w:t>Finding 7:</w:t>
      </w:r>
      <w:r w:rsidR="003B5E4E" w:rsidRPr="00F87481">
        <w:rPr>
          <w:rFonts w:asciiTheme="minorHAnsi" w:hAnsiTheme="minorHAnsi"/>
          <w:b/>
          <w:bCs/>
          <w:sz w:val="20"/>
          <w:szCs w:val="20"/>
        </w:rPr>
        <w:t xml:space="preserve"> </w:t>
      </w:r>
      <w:r w:rsidR="007C0BEB">
        <w:rPr>
          <w:rFonts w:asciiTheme="minorHAnsi" w:hAnsiTheme="minorHAnsi"/>
          <w:sz w:val="20"/>
          <w:szCs w:val="20"/>
        </w:rPr>
        <w:t>While the</w:t>
      </w:r>
      <w:r w:rsidR="00FA1388" w:rsidRPr="003F272B">
        <w:rPr>
          <w:rFonts w:asciiTheme="minorHAnsi" w:hAnsiTheme="minorHAnsi"/>
          <w:sz w:val="20"/>
          <w:szCs w:val="20"/>
        </w:rPr>
        <w:t xml:space="preserve"> </w:t>
      </w:r>
      <w:r w:rsidR="00CC744A" w:rsidRPr="003F272B">
        <w:rPr>
          <w:rFonts w:asciiTheme="minorHAnsi" w:hAnsiTheme="minorHAnsi"/>
          <w:sz w:val="20"/>
          <w:szCs w:val="20"/>
        </w:rPr>
        <w:t xml:space="preserve">results framework for the project </w:t>
      </w:r>
      <w:r w:rsidR="00FA1388" w:rsidRPr="003F272B">
        <w:rPr>
          <w:rFonts w:asciiTheme="minorHAnsi" w:hAnsiTheme="minorHAnsi"/>
          <w:sz w:val="20"/>
          <w:szCs w:val="20"/>
        </w:rPr>
        <w:t xml:space="preserve">established a logical trail of activities for </w:t>
      </w:r>
      <w:r w:rsidR="003F272B" w:rsidRPr="003F272B">
        <w:rPr>
          <w:rFonts w:asciiTheme="minorHAnsi" w:hAnsiTheme="minorHAnsi"/>
          <w:sz w:val="20"/>
          <w:szCs w:val="20"/>
        </w:rPr>
        <w:t>achieving e</w:t>
      </w:r>
      <w:r w:rsidR="00FA1388" w:rsidRPr="003F272B">
        <w:rPr>
          <w:rFonts w:asciiTheme="minorHAnsi" w:hAnsiTheme="minorHAnsi"/>
          <w:sz w:val="20"/>
          <w:szCs w:val="20"/>
        </w:rPr>
        <w:t>xpected outcomes</w:t>
      </w:r>
      <w:r w:rsidR="003F272B" w:rsidRPr="003F272B">
        <w:rPr>
          <w:rFonts w:asciiTheme="minorHAnsi" w:hAnsiTheme="minorHAnsi"/>
          <w:sz w:val="20"/>
          <w:szCs w:val="20"/>
        </w:rPr>
        <w:t>, t</w:t>
      </w:r>
      <w:r w:rsidR="000D1689" w:rsidRPr="003F272B">
        <w:rPr>
          <w:rFonts w:asciiTheme="minorHAnsi" w:hAnsiTheme="minorHAnsi"/>
          <w:sz w:val="20"/>
          <w:szCs w:val="20"/>
        </w:rPr>
        <w:t>here was limited clarity of expectations</w:t>
      </w:r>
      <w:r w:rsidR="003F272B" w:rsidRPr="003F272B">
        <w:rPr>
          <w:rFonts w:asciiTheme="minorHAnsi" w:hAnsiTheme="minorHAnsi"/>
          <w:sz w:val="20"/>
          <w:szCs w:val="20"/>
        </w:rPr>
        <w:t xml:space="preserve"> </w:t>
      </w:r>
      <w:r w:rsidR="000D1689" w:rsidRPr="003F272B">
        <w:rPr>
          <w:rFonts w:asciiTheme="minorHAnsi" w:hAnsiTheme="minorHAnsi"/>
          <w:sz w:val="20"/>
          <w:szCs w:val="20"/>
        </w:rPr>
        <w:t xml:space="preserve">at the level of </w:t>
      </w:r>
      <w:r w:rsidR="003F272B" w:rsidRPr="003F272B">
        <w:rPr>
          <w:rFonts w:asciiTheme="minorHAnsi" w:hAnsiTheme="minorHAnsi"/>
          <w:sz w:val="20"/>
          <w:szCs w:val="20"/>
        </w:rPr>
        <w:t xml:space="preserve">the anticipated </w:t>
      </w:r>
      <w:r w:rsidR="00ED0CC1" w:rsidRPr="003F272B">
        <w:rPr>
          <w:rFonts w:asciiTheme="minorHAnsi" w:hAnsiTheme="minorHAnsi"/>
          <w:sz w:val="20"/>
          <w:szCs w:val="20"/>
        </w:rPr>
        <w:t>project impact.</w:t>
      </w:r>
      <w:r w:rsidR="00FA1388">
        <w:rPr>
          <w:rFonts w:asciiTheme="minorHAnsi" w:hAnsiTheme="minorHAnsi"/>
          <w:b/>
          <w:bCs/>
          <w:sz w:val="20"/>
          <w:szCs w:val="20"/>
        </w:rPr>
        <w:t xml:space="preserve"> </w:t>
      </w:r>
    </w:p>
    <w:p w14:paraId="46493E54" w14:textId="69B5B598" w:rsidR="006630F9" w:rsidRDefault="00485047" w:rsidP="00913711">
      <w:pPr>
        <w:pStyle w:val="Default"/>
        <w:spacing w:before="120" w:after="120" w:line="259" w:lineRule="auto"/>
        <w:jc w:val="both"/>
        <w:rPr>
          <w:rFonts w:asciiTheme="minorHAnsi" w:hAnsiTheme="minorHAnsi"/>
          <w:sz w:val="20"/>
          <w:szCs w:val="20"/>
        </w:rPr>
      </w:pPr>
      <w:r>
        <w:rPr>
          <w:rFonts w:asciiTheme="minorHAnsi" w:hAnsiTheme="minorHAnsi"/>
          <w:sz w:val="20"/>
          <w:szCs w:val="20"/>
        </w:rPr>
        <w:t xml:space="preserve">Given the </w:t>
      </w:r>
      <w:r w:rsidR="00514DC2">
        <w:rPr>
          <w:rFonts w:asciiTheme="minorHAnsi" w:hAnsiTheme="minorHAnsi"/>
          <w:sz w:val="20"/>
          <w:szCs w:val="20"/>
        </w:rPr>
        <w:t>focus of the efficiency criterion on how well project resources were used</w:t>
      </w:r>
      <w:r w:rsidR="00BE4CF8">
        <w:rPr>
          <w:rFonts w:asciiTheme="minorHAnsi" w:hAnsiTheme="minorHAnsi"/>
          <w:sz w:val="20"/>
          <w:szCs w:val="20"/>
        </w:rPr>
        <w:t xml:space="preserve"> to generate expected results, </w:t>
      </w:r>
      <w:r w:rsidR="009C5F2A">
        <w:rPr>
          <w:rFonts w:asciiTheme="minorHAnsi" w:hAnsiTheme="minorHAnsi"/>
          <w:sz w:val="20"/>
          <w:szCs w:val="20"/>
        </w:rPr>
        <w:t>it is pra</w:t>
      </w:r>
      <w:r w:rsidR="005D0F1E">
        <w:rPr>
          <w:rFonts w:asciiTheme="minorHAnsi" w:hAnsiTheme="minorHAnsi"/>
          <w:sz w:val="20"/>
          <w:szCs w:val="20"/>
        </w:rPr>
        <w:t>gmatic</w:t>
      </w:r>
      <w:r w:rsidR="00D73FF6">
        <w:rPr>
          <w:rFonts w:asciiTheme="minorHAnsi" w:hAnsiTheme="minorHAnsi"/>
          <w:sz w:val="20"/>
          <w:szCs w:val="20"/>
        </w:rPr>
        <w:t xml:space="preserve"> </w:t>
      </w:r>
      <w:r w:rsidR="009C5F2A">
        <w:rPr>
          <w:rFonts w:asciiTheme="minorHAnsi" w:hAnsiTheme="minorHAnsi"/>
          <w:sz w:val="20"/>
          <w:szCs w:val="20"/>
        </w:rPr>
        <w:t xml:space="preserve">to </w:t>
      </w:r>
      <w:r w:rsidR="00D73FF6">
        <w:rPr>
          <w:rFonts w:asciiTheme="minorHAnsi" w:hAnsiTheme="minorHAnsi"/>
          <w:sz w:val="20"/>
          <w:szCs w:val="20"/>
        </w:rPr>
        <w:t xml:space="preserve">commence the </w:t>
      </w:r>
      <w:r w:rsidR="009C5F2A">
        <w:rPr>
          <w:rFonts w:asciiTheme="minorHAnsi" w:hAnsiTheme="minorHAnsi"/>
          <w:sz w:val="20"/>
          <w:szCs w:val="20"/>
        </w:rPr>
        <w:t>assess</w:t>
      </w:r>
      <w:r w:rsidR="00D73FF6">
        <w:rPr>
          <w:rFonts w:asciiTheme="minorHAnsi" w:hAnsiTheme="minorHAnsi"/>
          <w:sz w:val="20"/>
          <w:szCs w:val="20"/>
        </w:rPr>
        <w:t xml:space="preserve">ment </w:t>
      </w:r>
      <w:r w:rsidR="002D2E6F">
        <w:rPr>
          <w:rFonts w:asciiTheme="minorHAnsi" w:hAnsiTheme="minorHAnsi"/>
          <w:sz w:val="20"/>
          <w:szCs w:val="20"/>
        </w:rPr>
        <w:t xml:space="preserve">of efficiency </w:t>
      </w:r>
      <w:r w:rsidR="007017E6">
        <w:rPr>
          <w:rFonts w:asciiTheme="minorHAnsi" w:hAnsiTheme="minorHAnsi"/>
          <w:sz w:val="20"/>
          <w:szCs w:val="20"/>
        </w:rPr>
        <w:t xml:space="preserve">with an </w:t>
      </w:r>
      <w:r w:rsidR="002D2E6F">
        <w:rPr>
          <w:rFonts w:asciiTheme="minorHAnsi" w:hAnsiTheme="minorHAnsi"/>
          <w:sz w:val="20"/>
          <w:szCs w:val="20"/>
        </w:rPr>
        <w:t xml:space="preserve">analysis of the </w:t>
      </w:r>
      <w:r w:rsidR="00A20213">
        <w:rPr>
          <w:rFonts w:asciiTheme="minorHAnsi" w:hAnsiTheme="minorHAnsi"/>
          <w:sz w:val="20"/>
          <w:szCs w:val="20"/>
        </w:rPr>
        <w:t>projec</w:t>
      </w:r>
      <w:r w:rsidR="009C5F2A">
        <w:rPr>
          <w:rFonts w:asciiTheme="minorHAnsi" w:hAnsiTheme="minorHAnsi"/>
          <w:sz w:val="20"/>
          <w:szCs w:val="20"/>
        </w:rPr>
        <w:t>t</w:t>
      </w:r>
      <w:r w:rsidR="00A20213">
        <w:rPr>
          <w:rFonts w:asciiTheme="minorHAnsi" w:hAnsiTheme="minorHAnsi"/>
          <w:sz w:val="20"/>
          <w:szCs w:val="20"/>
        </w:rPr>
        <w:t xml:space="preserve"> design</w:t>
      </w:r>
      <w:r w:rsidR="002D2E6F">
        <w:rPr>
          <w:rFonts w:asciiTheme="minorHAnsi" w:hAnsiTheme="minorHAnsi"/>
          <w:sz w:val="20"/>
          <w:szCs w:val="20"/>
        </w:rPr>
        <w:t>.</w:t>
      </w:r>
      <w:r w:rsidR="005D6FA0">
        <w:rPr>
          <w:rFonts w:asciiTheme="minorHAnsi" w:hAnsiTheme="minorHAnsi"/>
          <w:sz w:val="20"/>
          <w:szCs w:val="20"/>
        </w:rPr>
        <w:t xml:space="preserve"> In effect, </w:t>
      </w:r>
      <w:r w:rsidR="00AA3F74">
        <w:rPr>
          <w:rFonts w:asciiTheme="minorHAnsi" w:hAnsiTheme="minorHAnsi"/>
          <w:sz w:val="20"/>
          <w:szCs w:val="20"/>
        </w:rPr>
        <w:t xml:space="preserve">a comprehensive project design supports the efficient allocation and use of scarce project resources </w:t>
      </w:r>
      <w:r w:rsidR="006630F9">
        <w:rPr>
          <w:rFonts w:asciiTheme="minorHAnsi" w:hAnsiTheme="minorHAnsi"/>
          <w:sz w:val="20"/>
          <w:szCs w:val="20"/>
        </w:rPr>
        <w:t xml:space="preserve">for </w:t>
      </w:r>
      <w:r w:rsidR="00EA5A40">
        <w:rPr>
          <w:rFonts w:asciiTheme="minorHAnsi" w:hAnsiTheme="minorHAnsi"/>
          <w:sz w:val="20"/>
          <w:szCs w:val="20"/>
        </w:rPr>
        <w:t xml:space="preserve">the </w:t>
      </w:r>
      <w:r w:rsidR="006630F9">
        <w:rPr>
          <w:rFonts w:asciiTheme="minorHAnsi" w:hAnsiTheme="minorHAnsi"/>
          <w:sz w:val="20"/>
          <w:szCs w:val="20"/>
        </w:rPr>
        <w:t xml:space="preserve">effective </w:t>
      </w:r>
      <w:r w:rsidR="009F548E">
        <w:rPr>
          <w:rFonts w:asciiTheme="minorHAnsi" w:hAnsiTheme="minorHAnsi"/>
          <w:sz w:val="20"/>
          <w:szCs w:val="20"/>
        </w:rPr>
        <w:t>implementation</w:t>
      </w:r>
      <w:r w:rsidR="00EA5A40">
        <w:rPr>
          <w:rFonts w:asciiTheme="minorHAnsi" w:hAnsiTheme="minorHAnsi"/>
          <w:sz w:val="20"/>
          <w:szCs w:val="20"/>
        </w:rPr>
        <w:t xml:space="preserve"> of activities</w:t>
      </w:r>
      <w:r w:rsidR="009F548E">
        <w:rPr>
          <w:rFonts w:asciiTheme="minorHAnsi" w:hAnsiTheme="minorHAnsi"/>
          <w:sz w:val="20"/>
          <w:szCs w:val="20"/>
        </w:rPr>
        <w:t xml:space="preserve"> and positive results delivery (i.e. the delivery of expected results</w:t>
      </w:r>
      <w:r w:rsidR="003C63D4">
        <w:rPr>
          <w:rFonts w:asciiTheme="minorHAnsi" w:hAnsiTheme="minorHAnsi"/>
          <w:sz w:val="20"/>
          <w:szCs w:val="20"/>
        </w:rPr>
        <w:t xml:space="preserve"> and, as applicable, positive unintended results).</w:t>
      </w:r>
    </w:p>
    <w:p w14:paraId="2430527B" w14:textId="080B3C74" w:rsidR="003D7F38" w:rsidRDefault="00336B81" w:rsidP="00913711">
      <w:pPr>
        <w:pStyle w:val="Default"/>
        <w:spacing w:before="120" w:after="120" w:line="259" w:lineRule="auto"/>
        <w:jc w:val="both"/>
        <w:rPr>
          <w:rFonts w:asciiTheme="minorHAnsi" w:hAnsiTheme="minorHAnsi"/>
          <w:sz w:val="20"/>
          <w:szCs w:val="20"/>
        </w:rPr>
      </w:pPr>
      <w:r>
        <w:rPr>
          <w:rFonts w:asciiTheme="minorHAnsi" w:hAnsiTheme="minorHAnsi"/>
          <w:sz w:val="20"/>
          <w:szCs w:val="20"/>
        </w:rPr>
        <w:t xml:space="preserve">As a contribution towards expected project outputs, the results framework presented a logical link between </w:t>
      </w:r>
      <w:r w:rsidR="00D573D6">
        <w:rPr>
          <w:rFonts w:asciiTheme="minorHAnsi" w:hAnsiTheme="minorHAnsi"/>
          <w:sz w:val="20"/>
          <w:szCs w:val="20"/>
        </w:rPr>
        <w:t>the intended activities; the anticipated outputs; and outcome level results.</w:t>
      </w:r>
      <w:r w:rsidR="005612FC">
        <w:rPr>
          <w:rFonts w:asciiTheme="minorHAnsi" w:hAnsiTheme="minorHAnsi"/>
          <w:sz w:val="20"/>
          <w:szCs w:val="20"/>
        </w:rPr>
        <w:t xml:space="preserve"> </w:t>
      </w:r>
      <w:r w:rsidR="00F56955">
        <w:rPr>
          <w:rFonts w:asciiTheme="minorHAnsi" w:hAnsiTheme="minorHAnsi"/>
          <w:sz w:val="20"/>
          <w:szCs w:val="20"/>
        </w:rPr>
        <w:t>P</w:t>
      </w:r>
      <w:r w:rsidR="005612FC">
        <w:rPr>
          <w:rFonts w:asciiTheme="minorHAnsi" w:hAnsiTheme="minorHAnsi"/>
          <w:sz w:val="20"/>
          <w:szCs w:val="20"/>
        </w:rPr>
        <w:t xml:space="preserve">erformance indicators for each outcome were informed by the baseline measures that </w:t>
      </w:r>
      <w:r w:rsidR="000A3DA6">
        <w:rPr>
          <w:rFonts w:asciiTheme="minorHAnsi" w:hAnsiTheme="minorHAnsi"/>
          <w:sz w:val="20"/>
          <w:szCs w:val="20"/>
        </w:rPr>
        <w:t xml:space="preserve">were documented at project inception. </w:t>
      </w:r>
      <w:r w:rsidR="00F56955">
        <w:rPr>
          <w:rFonts w:asciiTheme="minorHAnsi" w:hAnsiTheme="minorHAnsi"/>
          <w:sz w:val="20"/>
          <w:szCs w:val="20"/>
        </w:rPr>
        <w:t xml:space="preserve">The assessment of </w:t>
      </w:r>
      <w:r w:rsidR="0086325B">
        <w:rPr>
          <w:rFonts w:asciiTheme="minorHAnsi" w:hAnsiTheme="minorHAnsi"/>
          <w:sz w:val="20"/>
          <w:szCs w:val="20"/>
        </w:rPr>
        <w:t xml:space="preserve">Outcome 1 was </w:t>
      </w:r>
      <w:r w:rsidR="000B62DD">
        <w:rPr>
          <w:rFonts w:asciiTheme="minorHAnsi" w:hAnsiTheme="minorHAnsi"/>
          <w:sz w:val="20"/>
          <w:szCs w:val="20"/>
        </w:rPr>
        <w:t>measure</w:t>
      </w:r>
      <w:r w:rsidR="00DE02DC">
        <w:rPr>
          <w:rFonts w:asciiTheme="minorHAnsi" w:hAnsiTheme="minorHAnsi"/>
          <w:sz w:val="20"/>
          <w:szCs w:val="20"/>
        </w:rPr>
        <w:t>d</w:t>
      </w:r>
      <w:r w:rsidR="000B62DD">
        <w:rPr>
          <w:rFonts w:asciiTheme="minorHAnsi" w:hAnsiTheme="minorHAnsi"/>
          <w:sz w:val="20"/>
          <w:szCs w:val="20"/>
        </w:rPr>
        <w:t xml:space="preserve"> by an appropriate set of indicators </w:t>
      </w:r>
      <w:r w:rsidR="00FF5346">
        <w:rPr>
          <w:rFonts w:asciiTheme="minorHAnsi" w:hAnsiTheme="minorHAnsi"/>
          <w:sz w:val="20"/>
          <w:szCs w:val="20"/>
        </w:rPr>
        <w:t xml:space="preserve">to document the availability of </w:t>
      </w:r>
      <w:r w:rsidR="00592807">
        <w:rPr>
          <w:rFonts w:asciiTheme="minorHAnsi" w:hAnsiTheme="minorHAnsi"/>
          <w:sz w:val="20"/>
          <w:szCs w:val="20"/>
        </w:rPr>
        <w:t>capacity</w:t>
      </w:r>
      <w:r w:rsidR="0038282B">
        <w:rPr>
          <w:rFonts w:asciiTheme="minorHAnsi" w:hAnsiTheme="minorHAnsi"/>
          <w:sz w:val="20"/>
          <w:szCs w:val="20"/>
        </w:rPr>
        <w:t>-</w:t>
      </w:r>
      <w:r w:rsidR="00592807">
        <w:rPr>
          <w:rFonts w:asciiTheme="minorHAnsi" w:hAnsiTheme="minorHAnsi"/>
          <w:sz w:val="20"/>
          <w:szCs w:val="20"/>
        </w:rPr>
        <w:t xml:space="preserve">strengthening </w:t>
      </w:r>
      <w:r w:rsidR="00035299">
        <w:rPr>
          <w:rFonts w:asciiTheme="minorHAnsi" w:hAnsiTheme="minorHAnsi"/>
          <w:sz w:val="20"/>
          <w:szCs w:val="20"/>
        </w:rPr>
        <w:t>guidance material</w:t>
      </w:r>
      <w:r w:rsidR="00DD0B6A">
        <w:rPr>
          <w:rFonts w:asciiTheme="minorHAnsi" w:hAnsiTheme="minorHAnsi"/>
          <w:sz w:val="20"/>
          <w:szCs w:val="20"/>
        </w:rPr>
        <w:t xml:space="preserve">; </w:t>
      </w:r>
      <w:r w:rsidR="0086325B">
        <w:rPr>
          <w:rFonts w:asciiTheme="minorHAnsi" w:hAnsiTheme="minorHAnsi"/>
          <w:sz w:val="20"/>
          <w:szCs w:val="20"/>
        </w:rPr>
        <w:t>s</w:t>
      </w:r>
      <w:r w:rsidR="00592807">
        <w:rPr>
          <w:rFonts w:asciiTheme="minorHAnsi" w:hAnsiTheme="minorHAnsi"/>
          <w:sz w:val="20"/>
          <w:szCs w:val="20"/>
        </w:rPr>
        <w:t>takeholder receptiveness to training; and the practical application of acquired learning</w:t>
      </w:r>
      <w:r w:rsidR="003D7F38">
        <w:rPr>
          <w:rFonts w:asciiTheme="minorHAnsi" w:hAnsiTheme="minorHAnsi"/>
          <w:sz w:val="20"/>
          <w:szCs w:val="20"/>
        </w:rPr>
        <w:t>s.</w:t>
      </w:r>
    </w:p>
    <w:p w14:paraId="36FBAA46" w14:textId="6F4675DF" w:rsidR="009171A1" w:rsidRDefault="00584AF7" w:rsidP="00913711">
      <w:pPr>
        <w:pStyle w:val="Default"/>
        <w:spacing w:before="120" w:after="120" w:line="259" w:lineRule="auto"/>
        <w:jc w:val="both"/>
        <w:rPr>
          <w:rFonts w:asciiTheme="minorHAnsi" w:hAnsiTheme="minorHAnsi"/>
          <w:sz w:val="20"/>
          <w:szCs w:val="20"/>
        </w:rPr>
      </w:pPr>
      <w:r>
        <w:rPr>
          <w:rFonts w:asciiTheme="minorHAnsi" w:hAnsiTheme="minorHAnsi"/>
          <w:sz w:val="20"/>
          <w:szCs w:val="20"/>
        </w:rPr>
        <w:t xml:space="preserve">Although </w:t>
      </w:r>
      <w:r w:rsidR="00DE02DC">
        <w:rPr>
          <w:rFonts w:asciiTheme="minorHAnsi" w:hAnsiTheme="minorHAnsi"/>
          <w:sz w:val="20"/>
          <w:szCs w:val="20"/>
        </w:rPr>
        <w:t xml:space="preserve">Outcome 2 was equally supported by </w:t>
      </w:r>
      <w:r>
        <w:rPr>
          <w:rFonts w:asciiTheme="minorHAnsi" w:hAnsiTheme="minorHAnsi"/>
          <w:sz w:val="20"/>
          <w:szCs w:val="20"/>
        </w:rPr>
        <w:t xml:space="preserve">suitable indicators of performance, </w:t>
      </w:r>
      <w:r w:rsidR="00FE661E">
        <w:rPr>
          <w:rFonts w:asciiTheme="minorHAnsi" w:hAnsiTheme="minorHAnsi"/>
          <w:sz w:val="20"/>
          <w:szCs w:val="20"/>
        </w:rPr>
        <w:t xml:space="preserve">the articulation of the outcome level result </w:t>
      </w:r>
      <w:r w:rsidR="000A4993">
        <w:rPr>
          <w:rFonts w:asciiTheme="minorHAnsi" w:hAnsiTheme="minorHAnsi"/>
          <w:sz w:val="20"/>
          <w:szCs w:val="20"/>
        </w:rPr>
        <w:t xml:space="preserve">could have been </w:t>
      </w:r>
      <w:r w:rsidR="003E11C0">
        <w:rPr>
          <w:rFonts w:asciiTheme="minorHAnsi" w:hAnsiTheme="minorHAnsi"/>
          <w:sz w:val="20"/>
          <w:szCs w:val="20"/>
        </w:rPr>
        <w:t xml:space="preserve">divided into </w:t>
      </w:r>
      <w:r w:rsidR="003E11C0">
        <w:rPr>
          <w:rFonts w:asciiTheme="minorHAnsi" w:hAnsiTheme="minorHAnsi"/>
          <w:sz w:val="20"/>
          <w:szCs w:val="20"/>
        </w:rPr>
        <w:t xml:space="preserve">two separate outcomes. This approach would have allowed for </w:t>
      </w:r>
      <w:r w:rsidR="00BE5A25">
        <w:rPr>
          <w:rFonts w:asciiTheme="minorHAnsi" w:hAnsiTheme="minorHAnsi"/>
          <w:sz w:val="20"/>
          <w:szCs w:val="20"/>
        </w:rPr>
        <w:t xml:space="preserve">greater </w:t>
      </w:r>
      <w:r w:rsidR="008F405A">
        <w:rPr>
          <w:rFonts w:asciiTheme="minorHAnsi" w:hAnsiTheme="minorHAnsi"/>
          <w:sz w:val="20"/>
          <w:szCs w:val="20"/>
        </w:rPr>
        <w:t>clari</w:t>
      </w:r>
      <w:r w:rsidR="00BE5A25">
        <w:rPr>
          <w:rFonts w:asciiTheme="minorHAnsi" w:hAnsiTheme="minorHAnsi"/>
          <w:sz w:val="20"/>
          <w:szCs w:val="20"/>
        </w:rPr>
        <w:t xml:space="preserve">ty in the establishment of the </w:t>
      </w:r>
      <w:r w:rsidR="008F405A">
        <w:rPr>
          <w:rFonts w:asciiTheme="minorHAnsi" w:hAnsiTheme="minorHAnsi"/>
          <w:sz w:val="20"/>
          <w:szCs w:val="20"/>
        </w:rPr>
        <w:t>results targets</w:t>
      </w:r>
      <w:r w:rsidR="00BE5A25">
        <w:rPr>
          <w:rFonts w:asciiTheme="minorHAnsi" w:hAnsiTheme="minorHAnsi"/>
          <w:sz w:val="20"/>
          <w:szCs w:val="20"/>
        </w:rPr>
        <w:t>, as well as a simplified link between the indicators of performance and the</w:t>
      </w:r>
      <w:r w:rsidR="0090351B">
        <w:rPr>
          <w:rFonts w:asciiTheme="minorHAnsi" w:hAnsiTheme="minorHAnsi"/>
          <w:sz w:val="20"/>
          <w:szCs w:val="20"/>
        </w:rPr>
        <w:t xml:space="preserve"> target outcomes.</w:t>
      </w:r>
      <w:r w:rsidR="008F405A">
        <w:rPr>
          <w:rFonts w:asciiTheme="minorHAnsi" w:hAnsiTheme="minorHAnsi"/>
          <w:sz w:val="20"/>
          <w:szCs w:val="20"/>
        </w:rPr>
        <w:t xml:space="preserve"> </w:t>
      </w:r>
      <w:r w:rsidR="009B571B">
        <w:rPr>
          <w:rFonts w:asciiTheme="minorHAnsi" w:hAnsiTheme="minorHAnsi"/>
          <w:sz w:val="20"/>
          <w:szCs w:val="20"/>
        </w:rPr>
        <w:t>Specifically, Outcome 2 targeted two related but distinct i</w:t>
      </w:r>
      <w:r w:rsidR="00EE1CED">
        <w:rPr>
          <w:rFonts w:asciiTheme="minorHAnsi" w:hAnsiTheme="minorHAnsi"/>
          <w:sz w:val="20"/>
          <w:szCs w:val="20"/>
        </w:rPr>
        <w:t>tems:</w:t>
      </w:r>
      <w:r w:rsidR="009B571B">
        <w:rPr>
          <w:rFonts w:asciiTheme="minorHAnsi" w:hAnsiTheme="minorHAnsi"/>
          <w:sz w:val="20"/>
          <w:szCs w:val="20"/>
        </w:rPr>
        <w:t xml:space="preserve"> i) increased </w:t>
      </w:r>
      <w:r w:rsidR="006321A6">
        <w:rPr>
          <w:rFonts w:asciiTheme="minorHAnsi" w:hAnsiTheme="minorHAnsi"/>
          <w:sz w:val="20"/>
          <w:szCs w:val="20"/>
        </w:rPr>
        <w:t>knowledge-exchange</w:t>
      </w:r>
      <w:r w:rsidR="009B571B">
        <w:rPr>
          <w:rFonts w:asciiTheme="minorHAnsi" w:hAnsiTheme="minorHAnsi"/>
          <w:sz w:val="20"/>
          <w:szCs w:val="20"/>
        </w:rPr>
        <w:t xml:space="preserve"> and peer</w:t>
      </w:r>
      <w:r w:rsidR="006274EE">
        <w:rPr>
          <w:rFonts w:asciiTheme="minorHAnsi" w:hAnsiTheme="minorHAnsi"/>
          <w:sz w:val="20"/>
          <w:szCs w:val="20"/>
        </w:rPr>
        <w:t>-</w:t>
      </w:r>
      <w:r w:rsidR="009B571B">
        <w:rPr>
          <w:rFonts w:asciiTheme="minorHAnsi" w:hAnsiTheme="minorHAnsi"/>
          <w:sz w:val="20"/>
          <w:szCs w:val="20"/>
        </w:rPr>
        <w:t xml:space="preserve">learning on applying </w:t>
      </w:r>
      <w:r w:rsidR="002E5362">
        <w:rPr>
          <w:rFonts w:asciiTheme="minorHAnsi" w:hAnsiTheme="minorHAnsi"/>
          <w:sz w:val="20"/>
          <w:szCs w:val="20"/>
        </w:rPr>
        <w:t xml:space="preserve">INFF concepts among target countries; and ii) </w:t>
      </w:r>
      <w:r w:rsidR="006A310C">
        <w:rPr>
          <w:rFonts w:asciiTheme="minorHAnsi" w:hAnsiTheme="minorHAnsi"/>
          <w:sz w:val="20"/>
          <w:szCs w:val="20"/>
        </w:rPr>
        <w:t xml:space="preserve">wider implementation efforts on </w:t>
      </w:r>
      <w:r w:rsidR="00ED7BBA">
        <w:rPr>
          <w:rFonts w:asciiTheme="minorHAnsi" w:hAnsiTheme="minorHAnsi"/>
          <w:sz w:val="20"/>
          <w:szCs w:val="20"/>
        </w:rPr>
        <w:t>INFFs in other countries and UN support to this effect. The separation of these issues would also have allowed for the</w:t>
      </w:r>
      <w:r w:rsidR="007E5470">
        <w:rPr>
          <w:rFonts w:asciiTheme="minorHAnsi" w:hAnsiTheme="minorHAnsi"/>
          <w:sz w:val="20"/>
          <w:szCs w:val="20"/>
        </w:rPr>
        <w:t xml:space="preserve"> refinement of the indicators of performance to allow results monitoring to </w:t>
      </w:r>
      <w:r w:rsidR="000E7A22">
        <w:rPr>
          <w:rFonts w:asciiTheme="minorHAnsi" w:hAnsiTheme="minorHAnsi"/>
          <w:sz w:val="20"/>
          <w:szCs w:val="20"/>
        </w:rPr>
        <w:t xml:space="preserve">better </w:t>
      </w:r>
      <w:r w:rsidR="007E5470">
        <w:rPr>
          <w:rFonts w:asciiTheme="minorHAnsi" w:hAnsiTheme="minorHAnsi"/>
          <w:sz w:val="20"/>
          <w:szCs w:val="20"/>
        </w:rPr>
        <w:t xml:space="preserve">document </w:t>
      </w:r>
      <w:r w:rsidR="00744C1E">
        <w:rPr>
          <w:rFonts w:asciiTheme="minorHAnsi" w:hAnsiTheme="minorHAnsi"/>
          <w:sz w:val="20"/>
          <w:szCs w:val="20"/>
        </w:rPr>
        <w:t>the effects of project</w:t>
      </w:r>
      <w:r w:rsidR="00DA013F">
        <w:rPr>
          <w:rFonts w:asciiTheme="minorHAnsi" w:hAnsiTheme="minorHAnsi"/>
          <w:sz w:val="20"/>
          <w:szCs w:val="20"/>
        </w:rPr>
        <w:t xml:space="preserve"> implementation.</w:t>
      </w:r>
      <w:r w:rsidR="00F3355B">
        <w:rPr>
          <w:rFonts w:asciiTheme="minorHAnsi" w:hAnsiTheme="minorHAnsi"/>
          <w:sz w:val="20"/>
          <w:szCs w:val="20"/>
        </w:rPr>
        <w:t xml:space="preserve"> </w:t>
      </w:r>
      <w:r w:rsidR="00E3148D">
        <w:rPr>
          <w:rFonts w:asciiTheme="minorHAnsi" w:hAnsiTheme="minorHAnsi"/>
          <w:sz w:val="20"/>
          <w:szCs w:val="20"/>
        </w:rPr>
        <w:t xml:space="preserve">As there </w:t>
      </w:r>
      <w:r w:rsidR="00664677">
        <w:rPr>
          <w:rFonts w:asciiTheme="minorHAnsi" w:hAnsiTheme="minorHAnsi"/>
          <w:sz w:val="20"/>
          <w:szCs w:val="20"/>
        </w:rPr>
        <w:t>was also</w:t>
      </w:r>
      <w:r w:rsidR="00E3148D">
        <w:rPr>
          <w:rFonts w:asciiTheme="minorHAnsi" w:hAnsiTheme="minorHAnsi"/>
          <w:sz w:val="20"/>
          <w:szCs w:val="20"/>
        </w:rPr>
        <w:t xml:space="preserve"> an </w:t>
      </w:r>
      <w:r w:rsidR="00DA013F">
        <w:rPr>
          <w:rFonts w:asciiTheme="minorHAnsi" w:hAnsiTheme="minorHAnsi"/>
          <w:sz w:val="20"/>
          <w:szCs w:val="20"/>
        </w:rPr>
        <w:t xml:space="preserve">interest in </w:t>
      </w:r>
      <w:r w:rsidR="00EC3509">
        <w:rPr>
          <w:rFonts w:asciiTheme="minorHAnsi" w:hAnsiTheme="minorHAnsi"/>
          <w:sz w:val="20"/>
          <w:szCs w:val="20"/>
        </w:rPr>
        <w:t xml:space="preserve">the contribution of </w:t>
      </w:r>
      <w:r w:rsidR="006321A6">
        <w:rPr>
          <w:rFonts w:asciiTheme="minorHAnsi" w:hAnsiTheme="minorHAnsi"/>
          <w:sz w:val="20"/>
          <w:szCs w:val="20"/>
        </w:rPr>
        <w:t>knowledge-exchange</w:t>
      </w:r>
      <w:r w:rsidR="00EC3509">
        <w:rPr>
          <w:rFonts w:asciiTheme="minorHAnsi" w:hAnsiTheme="minorHAnsi"/>
          <w:sz w:val="20"/>
          <w:szCs w:val="20"/>
        </w:rPr>
        <w:t xml:space="preserve"> and </w:t>
      </w:r>
      <w:r w:rsidR="006274EE">
        <w:rPr>
          <w:rFonts w:asciiTheme="minorHAnsi" w:hAnsiTheme="minorHAnsi"/>
          <w:sz w:val="20"/>
          <w:szCs w:val="20"/>
        </w:rPr>
        <w:t>peer</w:t>
      </w:r>
      <w:r w:rsidR="00E3148D">
        <w:rPr>
          <w:rFonts w:asciiTheme="minorHAnsi" w:hAnsiTheme="minorHAnsi"/>
          <w:sz w:val="20"/>
          <w:szCs w:val="20"/>
        </w:rPr>
        <w:t xml:space="preserve">-learning </w:t>
      </w:r>
      <w:proofErr w:type="gramStart"/>
      <w:r w:rsidR="00E3148D">
        <w:rPr>
          <w:rFonts w:asciiTheme="minorHAnsi" w:hAnsiTheme="minorHAnsi"/>
          <w:sz w:val="20"/>
          <w:szCs w:val="20"/>
        </w:rPr>
        <w:t xml:space="preserve">to </w:t>
      </w:r>
      <w:r w:rsidR="00ED4680">
        <w:rPr>
          <w:rFonts w:asciiTheme="minorHAnsi" w:hAnsiTheme="minorHAnsi"/>
          <w:sz w:val="20"/>
          <w:szCs w:val="20"/>
        </w:rPr>
        <w:t>‘</w:t>
      </w:r>
      <w:r w:rsidR="009602A9">
        <w:rPr>
          <w:rFonts w:asciiTheme="minorHAnsi" w:hAnsiTheme="minorHAnsi"/>
          <w:sz w:val="20"/>
          <w:szCs w:val="20"/>
        </w:rPr>
        <w:t>wider</w:t>
      </w:r>
      <w:proofErr w:type="gramEnd"/>
      <w:r w:rsidR="009602A9">
        <w:rPr>
          <w:rFonts w:asciiTheme="minorHAnsi" w:hAnsiTheme="minorHAnsi"/>
          <w:sz w:val="20"/>
          <w:szCs w:val="20"/>
        </w:rPr>
        <w:t xml:space="preserve"> implementation</w:t>
      </w:r>
      <w:r w:rsidR="00ED4680">
        <w:rPr>
          <w:rFonts w:asciiTheme="minorHAnsi" w:hAnsiTheme="minorHAnsi"/>
          <w:sz w:val="20"/>
          <w:szCs w:val="20"/>
        </w:rPr>
        <w:t xml:space="preserve"> efforts on INFFs,’</w:t>
      </w:r>
      <w:r w:rsidR="009602A9">
        <w:rPr>
          <w:rFonts w:asciiTheme="minorHAnsi" w:hAnsiTheme="minorHAnsi"/>
          <w:sz w:val="20"/>
          <w:szCs w:val="20"/>
        </w:rPr>
        <w:t xml:space="preserve"> this element could have been </w:t>
      </w:r>
      <w:r w:rsidR="009A3DFD">
        <w:rPr>
          <w:rFonts w:asciiTheme="minorHAnsi" w:hAnsiTheme="minorHAnsi"/>
          <w:sz w:val="20"/>
          <w:szCs w:val="20"/>
        </w:rPr>
        <w:t>incorporated into Item ii)</w:t>
      </w:r>
      <w:r w:rsidR="00832D03">
        <w:rPr>
          <w:rFonts w:asciiTheme="minorHAnsi" w:hAnsiTheme="minorHAnsi"/>
          <w:sz w:val="20"/>
          <w:szCs w:val="20"/>
        </w:rPr>
        <w:t>,</w:t>
      </w:r>
      <w:r w:rsidR="009A3DFD">
        <w:rPr>
          <w:rFonts w:asciiTheme="minorHAnsi" w:hAnsiTheme="minorHAnsi"/>
          <w:sz w:val="20"/>
          <w:szCs w:val="20"/>
        </w:rPr>
        <w:t xml:space="preserve"> in simple diction, to </w:t>
      </w:r>
      <w:r w:rsidR="00D34BCC">
        <w:rPr>
          <w:rFonts w:asciiTheme="minorHAnsi" w:hAnsiTheme="minorHAnsi"/>
          <w:sz w:val="20"/>
          <w:szCs w:val="20"/>
        </w:rPr>
        <w:t xml:space="preserve">support results reporting </w:t>
      </w:r>
      <w:r w:rsidR="00A55F70">
        <w:rPr>
          <w:rFonts w:asciiTheme="minorHAnsi" w:hAnsiTheme="minorHAnsi"/>
          <w:sz w:val="20"/>
          <w:szCs w:val="20"/>
        </w:rPr>
        <w:t xml:space="preserve">that </w:t>
      </w:r>
      <w:r w:rsidR="004C44EB">
        <w:rPr>
          <w:rFonts w:asciiTheme="minorHAnsi" w:hAnsiTheme="minorHAnsi"/>
          <w:sz w:val="20"/>
          <w:szCs w:val="20"/>
        </w:rPr>
        <w:t>document</w:t>
      </w:r>
      <w:r w:rsidR="009171A1">
        <w:rPr>
          <w:rFonts w:asciiTheme="minorHAnsi" w:hAnsiTheme="minorHAnsi"/>
          <w:sz w:val="20"/>
          <w:szCs w:val="20"/>
        </w:rPr>
        <w:t>s</w:t>
      </w:r>
      <w:r w:rsidR="004C44EB">
        <w:rPr>
          <w:rFonts w:asciiTheme="minorHAnsi" w:hAnsiTheme="minorHAnsi"/>
          <w:sz w:val="20"/>
          <w:szCs w:val="20"/>
        </w:rPr>
        <w:t xml:space="preserve"> the actual contribution of the </w:t>
      </w:r>
      <w:r w:rsidR="00F94D15">
        <w:rPr>
          <w:rFonts w:asciiTheme="minorHAnsi" w:hAnsiTheme="minorHAnsi"/>
          <w:sz w:val="20"/>
          <w:szCs w:val="20"/>
        </w:rPr>
        <w:t>identified project activities</w:t>
      </w:r>
      <w:r w:rsidR="009171A1">
        <w:rPr>
          <w:rFonts w:asciiTheme="minorHAnsi" w:hAnsiTheme="minorHAnsi"/>
          <w:sz w:val="20"/>
          <w:szCs w:val="20"/>
        </w:rPr>
        <w:t>.</w:t>
      </w:r>
    </w:p>
    <w:p w14:paraId="0FFF8B4B" w14:textId="1A7A2139" w:rsidR="005F758F" w:rsidRPr="00893AFC" w:rsidRDefault="00EB1E5E" w:rsidP="00913711">
      <w:pPr>
        <w:pStyle w:val="Default"/>
        <w:spacing w:before="120" w:after="120" w:line="259" w:lineRule="auto"/>
        <w:jc w:val="both"/>
        <w:rPr>
          <w:rFonts w:asciiTheme="minorHAnsi" w:hAnsiTheme="minorHAnsi"/>
          <w:sz w:val="20"/>
          <w:szCs w:val="20"/>
        </w:rPr>
      </w:pPr>
      <w:r>
        <w:rPr>
          <w:rFonts w:asciiTheme="minorHAnsi" w:hAnsiTheme="minorHAnsi"/>
          <w:sz w:val="20"/>
          <w:szCs w:val="20"/>
        </w:rPr>
        <w:t>At the level of project impact, the</w:t>
      </w:r>
      <w:r w:rsidR="002F7C2E">
        <w:rPr>
          <w:rFonts w:asciiTheme="minorHAnsi" w:hAnsiTheme="minorHAnsi"/>
          <w:sz w:val="20"/>
          <w:szCs w:val="20"/>
        </w:rPr>
        <w:t xml:space="preserve"> expectation</w:t>
      </w:r>
      <w:r w:rsidR="00734FF0">
        <w:rPr>
          <w:rFonts w:asciiTheme="minorHAnsi" w:hAnsiTheme="minorHAnsi"/>
          <w:sz w:val="20"/>
          <w:szCs w:val="20"/>
        </w:rPr>
        <w:t>s</w:t>
      </w:r>
      <w:r w:rsidR="002F7C2E">
        <w:rPr>
          <w:rFonts w:asciiTheme="minorHAnsi" w:hAnsiTheme="minorHAnsi"/>
          <w:sz w:val="20"/>
          <w:szCs w:val="20"/>
        </w:rPr>
        <w:t xml:space="preserve"> from the project were less clear</w:t>
      </w:r>
      <w:r w:rsidR="003342D1">
        <w:rPr>
          <w:rFonts w:asciiTheme="minorHAnsi" w:hAnsiTheme="minorHAnsi"/>
          <w:sz w:val="20"/>
          <w:szCs w:val="20"/>
        </w:rPr>
        <w:t xml:space="preserve">. </w:t>
      </w:r>
      <w:r w:rsidR="00D42356">
        <w:rPr>
          <w:rFonts w:asciiTheme="minorHAnsi" w:hAnsiTheme="minorHAnsi"/>
          <w:sz w:val="20"/>
          <w:szCs w:val="20"/>
        </w:rPr>
        <w:t xml:space="preserve">As articulated, the expected project impact </w:t>
      </w:r>
      <w:r w:rsidR="001828D5">
        <w:rPr>
          <w:rFonts w:asciiTheme="minorHAnsi" w:hAnsiTheme="minorHAnsi"/>
          <w:sz w:val="20"/>
          <w:szCs w:val="20"/>
        </w:rPr>
        <w:t xml:space="preserve">was a close repetition of Outcome 1. </w:t>
      </w:r>
      <w:r w:rsidR="00B43E9A">
        <w:rPr>
          <w:rFonts w:asciiTheme="minorHAnsi" w:hAnsiTheme="minorHAnsi"/>
          <w:sz w:val="20"/>
          <w:szCs w:val="20"/>
        </w:rPr>
        <w:t xml:space="preserve">The expected impact </w:t>
      </w:r>
      <w:r w:rsidR="00B50ECA">
        <w:rPr>
          <w:rFonts w:asciiTheme="minorHAnsi" w:hAnsiTheme="minorHAnsi"/>
          <w:sz w:val="20"/>
          <w:szCs w:val="20"/>
        </w:rPr>
        <w:t xml:space="preserve">of an intervention </w:t>
      </w:r>
      <w:r w:rsidR="00B43E9A">
        <w:rPr>
          <w:rFonts w:asciiTheme="minorHAnsi" w:hAnsiTheme="minorHAnsi"/>
          <w:sz w:val="20"/>
          <w:szCs w:val="20"/>
        </w:rPr>
        <w:t>is an advancement over the outcomes level results</w:t>
      </w:r>
      <w:r w:rsidR="00C702A2">
        <w:rPr>
          <w:rFonts w:asciiTheme="minorHAnsi" w:hAnsiTheme="minorHAnsi"/>
          <w:sz w:val="20"/>
          <w:szCs w:val="20"/>
        </w:rPr>
        <w:t xml:space="preserve">, as it </w:t>
      </w:r>
      <w:r w:rsidR="008626BF">
        <w:rPr>
          <w:rFonts w:asciiTheme="minorHAnsi" w:hAnsiTheme="minorHAnsi"/>
          <w:sz w:val="20"/>
          <w:szCs w:val="20"/>
        </w:rPr>
        <w:t xml:space="preserve">is meant to </w:t>
      </w:r>
      <w:r w:rsidR="00414C89">
        <w:rPr>
          <w:rFonts w:asciiTheme="minorHAnsi" w:hAnsiTheme="minorHAnsi"/>
          <w:sz w:val="20"/>
          <w:szCs w:val="20"/>
        </w:rPr>
        <w:t xml:space="preserve">highlight </w:t>
      </w:r>
      <w:r w:rsidR="008626BF">
        <w:rPr>
          <w:rFonts w:asciiTheme="minorHAnsi" w:hAnsiTheme="minorHAnsi"/>
          <w:sz w:val="20"/>
          <w:szCs w:val="20"/>
        </w:rPr>
        <w:t xml:space="preserve">the </w:t>
      </w:r>
      <w:r w:rsidR="00414C89">
        <w:rPr>
          <w:rFonts w:asciiTheme="minorHAnsi" w:hAnsiTheme="minorHAnsi"/>
          <w:sz w:val="20"/>
          <w:szCs w:val="20"/>
        </w:rPr>
        <w:t>transformati</w:t>
      </w:r>
      <w:r w:rsidR="008626BF">
        <w:rPr>
          <w:rFonts w:asciiTheme="minorHAnsi" w:hAnsiTheme="minorHAnsi"/>
          <w:sz w:val="20"/>
          <w:szCs w:val="20"/>
        </w:rPr>
        <w:t xml:space="preserve">on </w:t>
      </w:r>
      <w:r w:rsidR="00414C89">
        <w:rPr>
          <w:rFonts w:asciiTheme="minorHAnsi" w:hAnsiTheme="minorHAnsi"/>
          <w:sz w:val="20"/>
          <w:szCs w:val="20"/>
        </w:rPr>
        <w:t xml:space="preserve">that is generated </w:t>
      </w:r>
      <w:r w:rsidR="0081644D">
        <w:rPr>
          <w:rFonts w:asciiTheme="minorHAnsi" w:hAnsiTheme="minorHAnsi"/>
          <w:sz w:val="20"/>
          <w:szCs w:val="20"/>
        </w:rPr>
        <w:t xml:space="preserve">after outcomes </w:t>
      </w:r>
      <w:r w:rsidR="00EA765C">
        <w:rPr>
          <w:rFonts w:asciiTheme="minorHAnsi" w:hAnsiTheme="minorHAnsi"/>
          <w:sz w:val="20"/>
          <w:szCs w:val="20"/>
        </w:rPr>
        <w:t>are a</w:t>
      </w:r>
      <w:r w:rsidR="0081644D">
        <w:rPr>
          <w:rFonts w:asciiTheme="minorHAnsi" w:hAnsiTheme="minorHAnsi"/>
          <w:sz w:val="20"/>
          <w:szCs w:val="20"/>
        </w:rPr>
        <w:t xml:space="preserve">chieved. As an illustration, </w:t>
      </w:r>
      <w:r w:rsidR="00B50ECA">
        <w:rPr>
          <w:rFonts w:asciiTheme="minorHAnsi" w:hAnsiTheme="minorHAnsi"/>
          <w:sz w:val="20"/>
          <w:szCs w:val="20"/>
        </w:rPr>
        <w:t xml:space="preserve">if </w:t>
      </w:r>
      <w:r w:rsidR="00876C54">
        <w:rPr>
          <w:rFonts w:asciiTheme="minorHAnsi" w:hAnsiTheme="minorHAnsi"/>
          <w:sz w:val="20"/>
          <w:szCs w:val="20"/>
        </w:rPr>
        <w:t>Outcome 1 focused on strengthen</w:t>
      </w:r>
      <w:r w:rsidR="00826809">
        <w:rPr>
          <w:rFonts w:asciiTheme="minorHAnsi" w:hAnsiTheme="minorHAnsi"/>
          <w:sz w:val="20"/>
          <w:szCs w:val="20"/>
        </w:rPr>
        <w:t>ed</w:t>
      </w:r>
      <w:r w:rsidR="00876C54">
        <w:rPr>
          <w:rFonts w:asciiTheme="minorHAnsi" w:hAnsiTheme="minorHAnsi"/>
          <w:sz w:val="20"/>
          <w:szCs w:val="20"/>
        </w:rPr>
        <w:t xml:space="preserve"> capacities, it would have been use</w:t>
      </w:r>
      <w:r w:rsidR="007B627C">
        <w:rPr>
          <w:rFonts w:asciiTheme="minorHAnsi" w:hAnsiTheme="minorHAnsi"/>
          <w:sz w:val="20"/>
          <w:szCs w:val="20"/>
        </w:rPr>
        <w:t xml:space="preserve">ful </w:t>
      </w:r>
      <w:r w:rsidR="00876C54">
        <w:rPr>
          <w:rFonts w:asciiTheme="minorHAnsi" w:hAnsiTheme="minorHAnsi"/>
          <w:sz w:val="20"/>
          <w:szCs w:val="20"/>
        </w:rPr>
        <w:t xml:space="preserve">for the expected project impact to focus on </w:t>
      </w:r>
      <w:r w:rsidR="00253397">
        <w:rPr>
          <w:rFonts w:asciiTheme="minorHAnsi" w:hAnsiTheme="minorHAnsi"/>
          <w:sz w:val="20"/>
          <w:szCs w:val="20"/>
        </w:rPr>
        <w:t xml:space="preserve">the </w:t>
      </w:r>
      <w:r w:rsidR="002A4E60">
        <w:rPr>
          <w:rFonts w:asciiTheme="minorHAnsi" w:hAnsiTheme="minorHAnsi"/>
          <w:sz w:val="20"/>
          <w:szCs w:val="20"/>
        </w:rPr>
        <w:t xml:space="preserve">application </w:t>
      </w:r>
      <w:r w:rsidR="00253397">
        <w:rPr>
          <w:rFonts w:asciiTheme="minorHAnsi" w:hAnsiTheme="minorHAnsi"/>
          <w:sz w:val="20"/>
          <w:szCs w:val="20"/>
        </w:rPr>
        <w:t xml:space="preserve">of the INFF methodology </w:t>
      </w:r>
      <w:r w:rsidR="00380F58">
        <w:rPr>
          <w:rFonts w:asciiTheme="minorHAnsi" w:hAnsiTheme="minorHAnsi"/>
          <w:sz w:val="20"/>
          <w:szCs w:val="20"/>
        </w:rPr>
        <w:t xml:space="preserve">(e.g. evidence of the development of </w:t>
      </w:r>
      <w:r w:rsidR="00CF3390">
        <w:rPr>
          <w:rFonts w:asciiTheme="minorHAnsi" w:hAnsiTheme="minorHAnsi"/>
          <w:sz w:val="20"/>
          <w:szCs w:val="20"/>
        </w:rPr>
        <w:t xml:space="preserve">an </w:t>
      </w:r>
      <w:r w:rsidR="00380F58">
        <w:rPr>
          <w:rFonts w:asciiTheme="minorHAnsi" w:hAnsiTheme="minorHAnsi"/>
          <w:sz w:val="20"/>
          <w:szCs w:val="20"/>
        </w:rPr>
        <w:t xml:space="preserve">INFF </w:t>
      </w:r>
      <w:r w:rsidR="00CF3390">
        <w:rPr>
          <w:rFonts w:asciiTheme="minorHAnsi" w:hAnsiTheme="minorHAnsi"/>
          <w:sz w:val="20"/>
          <w:szCs w:val="20"/>
        </w:rPr>
        <w:t>strategy in a non-project country</w:t>
      </w:r>
      <w:r w:rsidR="00826809">
        <w:rPr>
          <w:rFonts w:asciiTheme="minorHAnsi" w:hAnsiTheme="minorHAnsi"/>
          <w:sz w:val="20"/>
          <w:szCs w:val="20"/>
        </w:rPr>
        <w:t xml:space="preserve">; a continuation of </w:t>
      </w:r>
      <w:r w:rsidR="001C3A55">
        <w:rPr>
          <w:rFonts w:asciiTheme="minorHAnsi" w:hAnsiTheme="minorHAnsi"/>
          <w:sz w:val="20"/>
          <w:szCs w:val="20"/>
        </w:rPr>
        <w:t>b</w:t>
      </w:r>
      <w:r w:rsidR="00826809">
        <w:rPr>
          <w:rFonts w:asciiTheme="minorHAnsi" w:hAnsiTheme="minorHAnsi"/>
          <w:sz w:val="20"/>
          <w:szCs w:val="20"/>
        </w:rPr>
        <w:t xml:space="preserve">uilding </w:t>
      </w:r>
      <w:r w:rsidR="001C3A55">
        <w:rPr>
          <w:rFonts w:asciiTheme="minorHAnsi" w:hAnsiTheme="minorHAnsi"/>
          <w:sz w:val="20"/>
          <w:szCs w:val="20"/>
        </w:rPr>
        <w:t>b</w:t>
      </w:r>
      <w:r w:rsidR="00826809">
        <w:rPr>
          <w:rFonts w:asciiTheme="minorHAnsi" w:hAnsiTheme="minorHAnsi"/>
          <w:sz w:val="20"/>
          <w:szCs w:val="20"/>
        </w:rPr>
        <w:t xml:space="preserve">lock implementation; etc.). These items were incorporated into the </w:t>
      </w:r>
      <w:r w:rsidR="005F758F">
        <w:rPr>
          <w:rFonts w:asciiTheme="minorHAnsi" w:hAnsiTheme="minorHAnsi"/>
          <w:sz w:val="20"/>
          <w:szCs w:val="20"/>
        </w:rPr>
        <w:t xml:space="preserve">indicators of performance for </w:t>
      </w:r>
      <w:r w:rsidR="005F758F" w:rsidRPr="00893AFC">
        <w:rPr>
          <w:rFonts w:asciiTheme="minorHAnsi" w:hAnsiTheme="minorHAnsi"/>
          <w:sz w:val="20"/>
          <w:szCs w:val="20"/>
        </w:rPr>
        <w:t>results achievement at the outcomes level.</w:t>
      </w:r>
    </w:p>
    <w:p w14:paraId="0E11D3F3" w14:textId="6877CEE5" w:rsidR="00690E4C" w:rsidRPr="00893AFC" w:rsidRDefault="000254F1" w:rsidP="003B672F">
      <w:pPr>
        <w:pStyle w:val="Default"/>
        <w:numPr>
          <w:ilvl w:val="0"/>
          <w:numId w:val="107"/>
        </w:numPr>
        <w:spacing w:before="120" w:after="120" w:line="259" w:lineRule="auto"/>
        <w:jc w:val="both"/>
        <w:rPr>
          <w:rFonts w:asciiTheme="minorHAnsi" w:hAnsiTheme="minorHAnsi"/>
          <w:sz w:val="20"/>
          <w:szCs w:val="20"/>
        </w:rPr>
      </w:pPr>
      <w:r w:rsidRPr="00893AFC">
        <w:rPr>
          <w:rFonts w:asciiTheme="minorHAnsi" w:hAnsiTheme="minorHAnsi"/>
          <w:sz w:val="20"/>
          <w:szCs w:val="20"/>
        </w:rPr>
        <w:t>T</w:t>
      </w:r>
      <w:r w:rsidR="00690E4C" w:rsidRPr="00893AFC">
        <w:rPr>
          <w:rFonts w:asciiTheme="minorHAnsi" w:hAnsiTheme="minorHAnsi"/>
          <w:sz w:val="20"/>
          <w:szCs w:val="20"/>
        </w:rPr>
        <w:t xml:space="preserve">he </w:t>
      </w:r>
      <w:r w:rsidR="006D305F" w:rsidRPr="00893AFC">
        <w:rPr>
          <w:rFonts w:asciiTheme="minorHAnsi" w:hAnsiTheme="minorHAnsi"/>
          <w:sz w:val="20"/>
          <w:szCs w:val="20"/>
        </w:rPr>
        <w:t>articula</w:t>
      </w:r>
      <w:r w:rsidRPr="00893AFC">
        <w:rPr>
          <w:rFonts w:asciiTheme="minorHAnsi" w:hAnsiTheme="minorHAnsi"/>
          <w:sz w:val="20"/>
          <w:szCs w:val="20"/>
        </w:rPr>
        <w:t xml:space="preserve">tion </w:t>
      </w:r>
      <w:r w:rsidR="00893AFC" w:rsidRPr="00893AFC">
        <w:rPr>
          <w:rFonts w:asciiTheme="minorHAnsi" w:hAnsiTheme="minorHAnsi"/>
          <w:sz w:val="20"/>
          <w:szCs w:val="20"/>
        </w:rPr>
        <w:t>of</w:t>
      </w:r>
      <w:r w:rsidRPr="00893AFC">
        <w:rPr>
          <w:rFonts w:asciiTheme="minorHAnsi" w:hAnsiTheme="minorHAnsi"/>
          <w:sz w:val="20"/>
          <w:szCs w:val="20"/>
        </w:rPr>
        <w:t xml:space="preserve"> the </w:t>
      </w:r>
      <w:r w:rsidR="00690E4C" w:rsidRPr="00893AFC">
        <w:rPr>
          <w:rFonts w:asciiTheme="minorHAnsi" w:hAnsiTheme="minorHAnsi"/>
          <w:sz w:val="20"/>
          <w:szCs w:val="20"/>
        </w:rPr>
        <w:t xml:space="preserve">project </w:t>
      </w:r>
      <w:r w:rsidRPr="00893AFC">
        <w:rPr>
          <w:rFonts w:asciiTheme="minorHAnsi" w:hAnsiTheme="minorHAnsi"/>
          <w:sz w:val="20"/>
          <w:szCs w:val="20"/>
        </w:rPr>
        <w:t xml:space="preserve">results framework </w:t>
      </w:r>
      <w:r w:rsidR="00690E4C" w:rsidRPr="00893AFC">
        <w:rPr>
          <w:rFonts w:asciiTheme="minorHAnsi" w:hAnsiTheme="minorHAnsi"/>
          <w:sz w:val="20"/>
          <w:szCs w:val="20"/>
        </w:rPr>
        <w:t>did not det</w:t>
      </w:r>
      <w:r w:rsidR="00D04737" w:rsidRPr="00893AFC">
        <w:rPr>
          <w:rFonts w:asciiTheme="minorHAnsi" w:hAnsiTheme="minorHAnsi"/>
          <w:sz w:val="20"/>
          <w:szCs w:val="20"/>
        </w:rPr>
        <w:t xml:space="preserve">er </w:t>
      </w:r>
      <w:r w:rsidR="00690E4C" w:rsidRPr="00893AFC">
        <w:rPr>
          <w:rFonts w:asciiTheme="minorHAnsi" w:hAnsiTheme="minorHAnsi"/>
          <w:sz w:val="20"/>
          <w:szCs w:val="20"/>
        </w:rPr>
        <w:t xml:space="preserve">the achievement </w:t>
      </w:r>
      <w:r w:rsidR="0018365F" w:rsidRPr="00893AFC">
        <w:rPr>
          <w:rFonts w:asciiTheme="minorHAnsi" w:hAnsiTheme="minorHAnsi"/>
          <w:sz w:val="20"/>
          <w:szCs w:val="20"/>
        </w:rPr>
        <w:t>of expected results.</w:t>
      </w:r>
      <w:r w:rsidRPr="00893AFC">
        <w:rPr>
          <w:rStyle w:val="FootnoteReference"/>
          <w:rFonts w:asciiTheme="minorHAnsi" w:hAnsiTheme="minorHAnsi"/>
          <w:sz w:val="20"/>
          <w:szCs w:val="20"/>
        </w:rPr>
        <w:t xml:space="preserve"> </w:t>
      </w:r>
      <w:r w:rsidRPr="00893AFC">
        <w:rPr>
          <w:rStyle w:val="FootnoteReference"/>
          <w:rFonts w:asciiTheme="minorHAnsi" w:hAnsiTheme="minorHAnsi"/>
          <w:sz w:val="20"/>
          <w:szCs w:val="20"/>
        </w:rPr>
        <w:footnoteReference w:id="180"/>
      </w:r>
      <w:r w:rsidRPr="00893AFC">
        <w:rPr>
          <w:rFonts w:asciiTheme="minorHAnsi" w:hAnsiTheme="minorHAnsi"/>
          <w:sz w:val="20"/>
          <w:szCs w:val="20"/>
        </w:rPr>
        <w:t xml:space="preserve"> </w:t>
      </w:r>
      <w:r w:rsidR="00222A13" w:rsidRPr="00893AFC">
        <w:rPr>
          <w:rFonts w:asciiTheme="minorHAnsi" w:hAnsiTheme="minorHAnsi"/>
          <w:sz w:val="20"/>
          <w:szCs w:val="20"/>
        </w:rPr>
        <w:t>As indicated, however, refinement would have allowed</w:t>
      </w:r>
      <w:r w:rsidR="00633D90" w:rsidRPr="00893AFC">
        <w:rPr>
          <w:rFonts w:asciiTheme="minorHAnsi" w:hAnsiTheme="minorHAnsi"/>
          <w:sz w:val="20"/>
          <w:szCs w:val="20"/>
        </w:rPr>
        <w:t xml:space="preserve"> for </w:t>
      </w:r>
      <w:r w:rsidR="00F225E3" w:rsidRPr="00893AFC">
        <w:rPr>
          <w:rFonts w:asciiTheme="minorHAnsi" w:hAnsiTheme="minorHAnsi"/>
          <w:sz w:val="20"/>
          <w:szCs w:val="20"/>
        </w:rPr>
        <w:t>increased accuracy in the targeting of expected results, as well as</w:t>
      </w:r>
      <w:r w:rsidR="00714D98">
        <w:rPr>
          <w:rFonts w:asciiTheme="minorHAnsi" w:hAnsiTheme="minorHAnsi"/>
          <w:sz w:val="20"/>
          <w:szCs w:val="20"/>
        </w:rPr>
        <w:t xml:space="preserve"> </w:t>
      </w:r>
      <w:r w:rsidR="00F225E3" w:rsidRPr="00893AFC">
        <w:rPr>
          <w:rFonts w:asciiTheme="minorHAnsi" w:hAnsiTheme="minorHAnsi"/>
          <w:sz w:val="20"/>
          <w:szCs w:val="20"/>
        </w:rPr>
        <w:t>moni</w:t>
      </w:r>
      <w:r w:rsidR="00600626" w:rsidRPr="00893AFC">
        <w:rPr>
          <w:rFonts w:asciiTheme="minorHAnsi" w:hAnsiTheme="minorHAnsi"/>
          <w:sz w:val="20"/>
          <w:szCs w:val="20"/>
        </w:rPr>
        <w:t>toring and reporting on the same.</w:t>
      </w:r>
    </w:p>
    <w:p w14:paraId="1CD7421D" w14:textId="7E0DB950" w:rsidR="00F6653B" w:rsidRPr="00F6653B" w:rsidRDefault="00600626" w:rsidP="003B672F">
      <w:pPr>
        <w:pStyle w:val="Default"/>
        <w:numPr>
          <w:ilvl w:val="0"/>
          <w:numId w:val="107"/>
        </w:numPr>
        <w:spacing w:before="120" w:after="120" w:line="259" w:lineRule="auto"/>
        <w:jc w:val="both"/>
        <w:rPr>
          <w:rFonts w:asciiTheme="minorHAnsi" w:hAnsiTheme="minorHAnsi"/>
          <w:sz w:val="20"/>
          <w:szCs w:val="20"/>
        </w:rPr>
      </w:pPr>
      <w:r w:rsidRPr="00F6653B">
        <w:rPr>
          <w:rFonts w:asciiTheme="minorHAnsi" w:hAnsiTheme="minorHAnsi"/>
          <w:b/>
          <w:bCs/>
          <w:sz w:val="20"/>
          <w:szCs w:val="20"/>
        </w:rPr>
        <w:t xml:space="preserve">Finding </w:t>
      </w:r>
      <w:r w:rsidR="0002786C" w:rsidRPr="00F6653B">
        <w:rPr>
          <w:rFonts w:asciiTheme="minorHAnsi" w:hAnsiTheme="minorHAnsi"/>
          <w:b/>
          <w:bCs/>
          <w:sz w:val="20"/>
          <w:szCs w:val="20"/>
        </w:rPr>
        <w:t>8</w:t>
      </w:r>
      <w:r w:rsidRPr="00F6653B">
        <w:rPr>
          <w:rFonts w:asciiTheme="minorHAnsi" w:hAnsiTheme="minorHAnsi"/>
          <w:b/>
          <w:bCs/>
          <w:sz w:val="20"/>
          <w:szCs w:val="20"/>
        </w:rPr>
        <w:t>:</w:t>
      </w:r>
      <w:r w:rsidR="0002786C" w:rsidRPr="00F6653B">
        <w:rPr>
          <w:rFonts w:asciiTheme="minorHAnsi" w:hAnsiTheme="minorHAnsi"/>
          <w:b/>
          <w:bCs/>
          <w:sz w:val="20"/>
          <w:szCs w:val="20"/>
        </w:rPr>
        <w:t xml:space="preserve"> </w:t>
      </w:r>
      <w:r w:rsidR="00F6653B" w:rsidRPr="00F6653B">
        <w:rPr>
          <w:rFonts w:asciiTheme="minorHAnsi" w:hAnsiTheme="minorHAnsi"/>
          <w:sz w:val="20"/>
          <w:szCs w:val="20"/>
        </w:rPr>
        <w:t xml:space="preserve">To the extent that the project </w:t>
      </w:r>
      <w:r w:rsidR="00F6653B">
        <w:rPr>
          <w:rFonts w:asciiTheme="minorHAnsi" w:hAnsiTheme="minorHAnsi"/>
          <w:sz w:val="20"/>
          <w:szCs w:val="20"/>
        </w:rPr>
        <w:t xml:space="preserve">budget </w:t>
      </w:r>
      <w:r w:rsidR="00F6653B" w:rsidRPr="00F6653B">
        <w:rPr>
          <w:rFonts w:asciiTheme="minorHAnsi" w:hAnsiTheme="minorHAnsi"/>
          <w:sz w:val="20"/>
          <w:szCs w:val="20"/>
        </w:rPr>
        <w:t>was adequate for the achievement of expected results</w:t>
      </w:r>
      <w:r w:rsidR="00D308E4">
        <w:rPr>
          <w:rFonts w:asciiTheme="minorHAnsi" w:hAnsiTheme="minorHAnsi"/>
          <w:sz w:val="20"/>
          <w:szCs w:val="20"/>
        </w:rPr>
        <w:t xml:space="preserve"> and project activities provided added value to </w:t>
      </w:r>
      <w:r w:rsidR="009F72B3">
        <w:rPr>
          <w:rFonts w:asciiTheme="minorHAnsi" w:hAnsiTheme="minorHAnsi"/>
          <w:sz w:val="20"/>
          <w:szCs w:val="20"/>
        </w:rPr>
        <w:t>the target and non-proj</w:t>
      </w:r>
      <w:r w:rsidR="00990A9F">
        <w:rPr>
          <w:rFonts w:asciiTheme="minorHAnsi" w:hAnsiTheme="minorHAnsi"/>
          <w:sz w:val="20"/>
          <w:szCs w:val="20"/>
        </w:rPr>
        <w:t>e</w:t>
      </w:r>
      <w:r w:rsidR="009F72B3">
        <w:rPr>
          <w:rFonts w:asciiTheme="minorHAnsi" w:hAnsiTheme="minorHAnsi"/>
          <w:sz w:val="20"/>
          <w:szCs w:val="20"/>
        </w:rPr>
        <w:t>ct countries</w:t>
      </w:r>
      <w:r w:rsidR="00F6653B" w:rsidRPr="00F6653B">
        <w:rPr>
          <w:rFonts w:asciiTheme="minorHAnsi" w:hAnsiTheme="minorHAnsi"/>
          <w:sz w:val="20"/>
          <w:szCs w:val="20"/>
        </w:rPr>
        <w:t xml:space="preserve">, there was evidence of </w:t>
      </w:r>
      <w:r w:rsidR="00F249B4">
        <w:rPr>
          <w:rFonts w:asciiTheme="minorHAnsi" w:hAnsiTheme="minorHAnsi"/>
          <w:sz w:val="20"/>
          <w:szCs w:val="20"/>
        </w:rPr>
        <w:t>project</w:t>
      </w:r>
      <w:r w:rsidR="00F6653B" w:rsidRPr="00F6653B">
        <w:rPr>
          <w:rFonts w:asciiTheme="minorHAnsi" w:hAnsiTheme="minorHAnsi"/>
          <w:sz w:val="20"/>
          <w:szCs w:val="20"/>
        </w:rPr>
        <w:t xml:space="preserve"> contribution towards value-for-money.</w:t>
      </w:r>
    </w:p>
    <w:p w14:paraId="2930F9B4" w14:textId="0E30D9F8" w:rsidR="00F74AC5" w:rsidRDefault="00C00042" w:rsidP="003B672F">
      <w:pPr>
        <w:pStyle w:val="Default"/>
        <w:numPr>
          <w:ilvl w:val="0"/>
          <w:numId w:val="107"/>
        </w:numPr>
        <w:spacing w:before="120" w:after="120" w:line="259" w:lineRule="auto"/>
        <w:jc w:val="both"/>
        <w:rPr>
          <w:rFonts w:asciiTheme="minorHAnsi" w:hAnsiTheme="minorHAnsi"/>
          <w:sz w:val="20"/>
          <w:szCs w:val="20"/>
        </w:rPr>
      </w:pPr>
      <w:r>
        <w:rPr>
          <w:rFonts w:asciiTheme="minorHAnsi" w:hAnsiTheme="minorHAnsi"/>
          <w:sz w:val="20"/>
          <w:szCs w:val="20"/>
        </w:rPr>
        <w:lastRenderedPageBreak/>
        <w:t xml:space="preserve">Project implementation was </w:t>
      </w:r>
      <w:r w:rsidR="008915E8">
        <w:rPr>
          <w:rFonts w:asciiTheme="minorHAnsi" w:hAnsiTheme="minorHAnsi"/>
          <w:sz w:val="20"/>
          <w:szCs w:val="20"/>
        </w:rPr>
        <w:t>funded under the 13</w:t>
      </w:r>
      <w:r w:rsidR="008915E8" w:rsidRPr="008915E8">
        <w:rPr>
          <w:rFonts w:asciiTheme="minorHAnsi" w:hAnsiTheme="minorHAnsi"/>
          <w:sz w:val="20"/>
          <w:szCs w:val="20"/>
          <w:vertAlign w:val="superscript"/>
        </w:rPr>
        <w:t>th</w:t>
      </w:r>
      <w:r w:rsidR="008915E8">
        <w:rPr>
          <w:rFonts w:asciiTheme="minorHAnsi" w:hAnsiTheme="minorHAnsi"/>
          <w:sz w:val="20"/>
          <w:szCs w:val="20"/>
        </w:rPr>
        <w:t xml:space="preserve"> tranche of the Development Account</w:t>
      </w:r>
      <w:r w:rsidR="00187DD6">
        <w:rPr>
          <w:rFonts w:asciiTheme="minorHAnsi" w:hAnsiTheme="minorHAnsi"/>
          <w:sz w:val="20"/>
          <w:szCs w:val="20"/>
        </w:rPr>
        <w:t xml:space="preserve"> </w:t>
      </w:r>
      <w:r>
        <w:rPr>
          <w:rFonts w:asciiTheme="minorHAnsi" w:hAnsiTheme="minorHAnsi"/>
          <w:sz w:val="20"/>
          <w:szCs w:val="20"/>
        </w:rPr>
        <w:t xml:space="preserve">based on a budget of USD </w:t>
      </w:r>
      <w:r w:rsidR="008915E8">
        <w:rPr>
          <w:rFonts w:asciiTheme="minorHAnsi" w:hAnsiTheme="minorHAnsi"/>
          <w:sz w:val="20"/>
          <w:szCs w:val="20"/>
        </w:rPr>
        <w:t>$2.32</w:t>
      </w:r>
      <w:r w:rsidR="00607356">
        <w:rPr>
          <w:rFonts w:asciiTheme="minorHAnsi" w:hAnsiTheme="minorHAnsi"/>
          <w:sz w:val="20"/>
          <w:szCs w:val="20"/>
        </w:rPr>
        <w:t>1</w:t>
      </w:r>
      <w:r w:rsidR="008915E8">
        <w:rPr>
          <w:rFonts w:asciiTheme="minorHAnsi" w:hAnsiTheme="minorHAnsi"/>
          <w:sz w:val="20"/>
          <w:szCs w:val="20"/>
        </w:rPr>
        <w:t xml:space="preserve"> million</w:t>
      </w:r>
      <w:r w:rsidR="00187DD6">
        <w:rPr>
          <w:rFonts w:asciiTheme="minorHAnsi" w:hAnsiTheme="minorHAnsi"/>
          <w:sz w:val="20"/>
          <w:szCs w:val="20"/>
        </w:rPr>
        <w:t>.</w:t>
      </w:r>
      <w:r w:rsidR="00187DD6">
        <w:rPr>
          <w:rStyle w:val="FootnoteReference"/>
          <w:rFonts w:asciiTheme="minorHAnsi" w:hAnsiTheme="minorHAnsi"/>
          <w:sz w:val="20"/>
          <w:szCs w:val="20"/>
        </w:rPr>
        <w:footnoteReference w:id="181"/>
      </w:r>
      <w:r w:rsidR="009D144F">
        <w:rPr>
          <w:rFonts w:asciiTheme="minorHAnsi" w:hAnsiTheme="minorHAnsi"/>
          <w:sz w:val="20"/>
          <w:szCs w:val="20"/>
        </w:rPr>
        <w:t xml:space="preserve"> The timeframe for implementation</w:t>
      </w:r>
      <w:r w:rsidR="00C47049">
        <w:rPr>
          <w:rFonts w:asciiTheme="minorHAnsi" w:hAnsiTheme="minorHAnsi"/>
          <w:sz w:val="20"/>
          <w:szCs w:val="20"/>
        </w:rPr>
        <w:t xml:space="preserve"> and </w:t>
      </w:r>
      <w:r w:rsidR="009D144F">
        <w:rPr>
          <w:rFonts w:asciiTheme="minorHAnsi" w:hAnsiTheme="minorHAnsi"/>
          <w:sz w:val="20"/>
          <w:szCs w:val="20"/>
        </w:rPr>
        <w:t xml:space="preserve">the achievement of </w:t>
      </w:r>
      <w:r w:rsidR="002E28DB">
        <w:rPr>
          <w:rFonts w:asciiTheme="minorHAnsi" w:hAnsiTheme="minorHAnsi"/>
          <w:sz w:val="20"/>
          <w:szCs w:val="20"/>
        </w:rPr>
        <w:t>expected results was March 2021 – December 2024.</w:t>
      </w:r>
      <w:r w:rsidR="00E86B5D">
        <w:rPr>
          <w:rFonts w:asciiTheme="minorHAnsi" w:hAnsiTheme="minorHAnsi"/>
          <w:sz w:val="20"/>
          <w:szCs w:val="20"/>
        </w:rPr>
        <w:t xml:space="preserve"> </w:t>
      </w:r>
    </w:p>
    <w:p w14:paraId="5E7C3D2F" w14:textId="7A126235" w:rsidR="003B15BB" w:rsidRPr="00824D1A" w:rsidRDefault="00E86B5D" w:rsidP="003B672F">
      <w:pPr>
        <w:pStyle w:val="Default"/>
        <w:numPr>
          <w:ilvl w:val="0"/>
          <w:numId w:val="107"/>
        </w:numPr>
        <w:spacing w:before="120" w:after="120" w:line="259" w:lineRule="auto"/>
        <w:jc w:val="both"/>
        <w:rPr>
          <w:rFonts w:asciiTheme="minorHAnsi" w:hAnsiTheme="minorHAnsi"/>
          <w:sz w:val="20"/>
          <w:szCs w:val="20"/>
        </w:rPr>
      </w:pPr>
      <w:r w:rsidRPr="00824D1A">
        <w:rPr>
          <w:rFonts w:asciiTheme="minorHAnsi" w:hAnsiTheme="minorHAnsi"/>
          <w:sz w:val="20"/>
          <w:szCs w:val="20"/>
        </w:rPr>
        <w:t xml:space="preserve">There has been evidence of the </w:t>
      </w:r>
      <w:r w:rsidR="00F74AC5" w:rsidRPr="00824D1A">
        <w:rPr>
          <w:rFonts w:asciiTheme="minorHAnsi" w:hAnsiTheme="minorHAnsi"/>
          <w:sz w:val="20"/>
          <w:szCs w:val="20"/>
        </w:rPr>
        <w:t xml:space="preserve">achievement of expected results within budget. </w:t>
      </w:r>
      <w:r w:rsidR="00D006DA" w:rsidRPr="00824D1A">
        <w:rPr>
          <w:rFonts w:asciiTheme="minorHAnsi" w:hAnsiTheme="minorHAnsi"/>
          <w:sz w:val="20"/>
          <w:szCs w:val="20"/>
        </w:rPr>
        <w:t>At</w:t>
      </w:r>
      <w:r w:rsidR="007A23FF" w:rsidRPr="00824D1A">
        <w:rPr>
          <w:rFonts w:asciiTheme="minorHAnsi" w:hAnsiTheme="minorHAnsi"/>
          <w:sz w:val="20"/>
          <w:szCs w:val="20"/>
        </w:rPr>
        <w:t xml:space="preserve"> </w:t>
      </w:r>
      <w:r w:rsidR="004F3E7E">
        <w:rPr>
          <w:rFonts w:asciiTheme="minorHAnsi" w:hAnsiTheme="minorHAnsi"/>
          <w:sz w:val="20"/>
          <w:szCs w:val="20"/>
        </w:rPr>
        <w:t xml:space="preserve">the end of the </w:t>
      </w:r>
      <w:r w:rsidR="007A23FF" w:rsidRPr="00824D1A">
        <w:rPr>
          <w:rFonts w:asciiTheme="minorHAnsi" w:hAnsiTheme="minorHAnsi"/>
          <w:sz w:val="20"/>
          <w:szCs w:val="20"/>
        </w:rPr>
        <w:t>project</w:t>
      </w:r>
      <w:r w:rsidR="00A04BA0" w:rsidRPr="00824D1A">
        <w:rPr>
          <w:rFonts w:asciiTheme="minorHAnsi" w:hAnsiTheme="minorHAnsi"/>
          <w:sz w:val="20"/>
          <w:szCs w:val="20"/>
        </w:rPr>
        <w:t>, the rate of expenditure was 96.76 percent</w:t>
      </w:r>
      <w:r w:rsidR="00003F3F" w:rsidRPr="00824D1A">
        <w:rPr>
          <w:rFonts w:asciiTheme="minorHAnsi" w:hAnsiTheme="minorHAnsi"/>
          <w:sz w:val="20"/>
          <w:szCs w:val="20"/>
        </w:rPr>
        <w:t xml:space="preserve"> with an unspent balance of 3.23 percent.</w:t>
      </w:r>
      <w:r w:rsidR="00003F3F" w:rsidRPr="00824D1A">
        <w:rPr>
          <w:rStyle w:val="FootnoteReference"/>
          <w:rFonts w:asciiTheme="minorHAnsi" w:hAnsiTheme="minorHAnsi"/>
          <w:sz w:val="20"/>
          <w:szCs w:val="20"/>
        </w:rPr>
        <w:t xml:space="preserve"> </w:t>
      </w:r>
      <w:r w:rsidR="00003F3F">
        <w:rPr>
          <w:rStyle w:val="FootnoteReference"/>
          <w:rFonts w:asciiTheme="minorHAnsi" w:hAnsiTheme="minorHAnsi"/>
          <w:sz w:val="20"/>
          <w:szCs w:val="20"/>
        </w:rPr>
        <w:footnoteReference w:id="182"/>
      </w:r>
      <w:r w:rsidR="00003F3F" w:rsidRPr="00824D1A">
        <w:rPr>
          <w:rFonts w:asciiTheme="minorHAnsi" w:hAnsiTheme="minorHAnsi"/>
          <w:sz w:val="20"/>
          <w:szCs w:val="20"/>
        </w:rPr>
        <w:t xml:space="preserve"> </w:t>
      </w:r>
      <w:r w:rsidR="00BA3F22">
        <w:rPr>
          <w:rFonts w:asciiTheme="minorHAnsi" w:hAnsiTheme="minorHAnsi"/>
          <w:sz w:val="20"/>
          <w:szCs w:val="20"/>
        </w:rPr>
        <w:t>Project implementation accounted for the majority of the total projec</w:t>
      </w:r>
      <w:r w:rsidR="00776E04">
        <w:rPr>
          <w:rFonts w:asciiTheme="minorHAnsi" w:hAnsiTheme="minorHAnsi"/>
          <w:sz w:val="20"/>
          <w:szCs w:val="20"/>
        </w:rPr>
        <w:t>t</w:t>
      </w:r>
      <w:r w:rsidR="00BA3F22">
        <w:rPr>
          <w:rFonts w:asciiTheme="minorHAnsi" w:hAnsiTheme="minorHAnsi"/>
          <w:sz w:val="20"/>
          <w:szCs w:val="20"/>
        </w:rPr>
        <w:t xml:space="preserve"> expenditure, in the form of </w:t>
      </w:r>
      <w:r w:rsidR="00776E04">
        <w:rPr>
          <w:rFonts w:asciiTheme="minorHAnsi" w:hAnsiTheme="minorHAnsi"/>
          <w:sz w:val="20"/>
          <w:szCs w:val="20"/>
        </w:rPr>
        <w:t xml:space="preserve">the engagement of consultants and experts (51 percent of total project expenditure); </w:t>
      </w:r>
      <w:r w:rsidR="00694583">
        <w:rPr>
          <w:rFonts w:asciiTheme="minorHAnsi" w:hAnsiTheme="minorHAnsi"/>
          <w:sz w:val="20"/>
          <w:szCs w:val="20"/>
        </w:rPr>
        <w:t>contractual services (14 percent of total project expenditure); and workshops (12 percent of total project expenditure).</w:t>
      </w:r>
      <w:r w:rsidR="0064101E">
        <w:rPr>
          <w:rFonts w:asciiTheme="minorHAnsi" w:hAnsiTheme="minorHAnsi"/>
          <w:sz w:val="20"/>
          <w:szCs w:val="20"/>
        </w:rPr>
        <w:t xml:space="preserve"> Although </w:t>
      </w:r>
      <w:r w:rsidR="004022C5">
        <w:rPr>
          <w:rFonts w:asciiTheme="minorHAnsi" w:hAnsiTheme="minorHAnsi"/>
          <w:sz w:val="20"/>
          <w:szCs w:val="20"/>
        </w:rPr>
        <w:t>there was no evidence of a budget overrun</w:t>
      </w:r>
      <w:r w:rsidR="0062353B">
        <w:rPr>
          <w:rFonts w:asciiTheme="minorHAnsi" w:hAnsiTheme="minorHAnsi"/>
          <w:sz w:val="20"/>
          <w:szCs w:val="20"/>
        </w:rPr>
        <w:t>, the</w:t>
      </w:r>
      <w:r w:rsidR="007E598E">
        <w:rPr>
          <w:rFonts w:asciiTheme="minorHAnsi" w:hAnsiTheme="minorHAnsi"/>
          <w:sz w:val="20"/>
          <w:szCs w:val="20"/>
        </w:rPr>
        <w:t xml:space="preserve"> final expenditure by class of activity indicated that the original allocation for consultants and experts (38.73 percent of the budget) was significantly below </w:t>
      </w:r>
      <w:r w:rsidR="00533756">
        <w:rPr>
          <w:rFonts w:asciiTheme="minorHAnsi" w:hAnsiTheme="minorHAnsi"/>
          <w:sz w:val="20"/>
          <w:szCs w:val="20"/>
        </w:rPr>
        <w:t>the amount that was required.</w:t>
      </w:r>
      <w:r w:rsidR="002C4521">
        <w:rPr>
          <w:rFonts w:asciiTheme="minorHAnsi" w:hAnsiTheme="minorHAnsi"/>
          <w:sz w:val="20"/>
          <w:szCs w:val="20"/>
        </w:rPr>
        <w:t xml:space="preserve"> </w:t>
      </w:r>
      <w:r w:rsidR="000A1E62">
        <w:rPr>
          <w:rFonts w:asciiTheme="minorHAnsi" w:hAnsiTheme="minorHAnsi"/>
          <w:sz w:val="20"/>
          <w:szCs w:val="20"/>
        </w:rPr>
        <w:t>Conversely,</w:t>
      </w:r>
      <w:r w:rsidR="002C4521">
        <w:rPr>
          <w:rFonts w:asciiTheme="minorHAnsi" w:hAnsiTheme="minorHAnsi"/>
          <w:sz w:val="20"/>
          <w:szCs w:val="20"/>
        </w:rPr>
        <w:t xml:space="preserve"> the </w:t>
      </w:r>
      <w:r w:rsidR="000A1E62">
        <w:rPr>
          <w:rFonts w:asciiTheme="minorHAnsi" w:hAnsiTheme="minorHAnsi"/>
          <w:sz w:val="20"/>
          <w:szCs w:val="20"/>
        </w:rPr>
        <w:t xml:space="preserve">original </w:t>
      </w:r>
      <w:r w:rsidR="002C4521">
        <w:rPr>
          <w:rFonts w:asciiTheme="minorHAnsi" w:hAnsiTheme="minorHAnsi"/>
          <w:sz w:val="20"/>
          <w:szCs w:val="20"/>
        </w:rPr>
        <w:t xml:space="preserve">allocation for </w:t>
      </w:r>
      <w:r w:rsidR="000A1E62">
        <w:rPr>
          <w:rFonts w:asciiTheme="minorHAnsi" w:hAnsiTheme="minorHAnsi"/>
          <w:sz w:val="20"/>
          <w:szCs w:val="20"/>
        </w:rPr>
        <w:t>workshops (21.95 percent) was in excess of the amount that had been spent by the end of the project (</w:t>
      </w:r>
      <w:r w:rsidR="00DE44E0">
        <w:rPr>
          <w:rFonts w:asciiTheme="minorHAnsi" w:hAnsiTheme="minorHAnsi"/>
          <w:sz w:val="20"/>
          <w:szCs w:val="20"/>
        </w:rPr>
        <w:t>12 percent of total expenditure).</w:t>
      </w:r>
      <w:r w:rsidR="00DE44E0">
        <w:rPr>
          <w:rStyle w:val="FootnoteReference"/>
          <w:rFonts w:asciiTheme="minorHAnsi" w:hAnsiTheme="minorHAnsi"/>
          <w:sz w:val="20"/>
          <w:szCs w:val="20"/>
        </w:rPr>
        <w:footnoteReference w:id="183"/>
      </w:r>
    </w:p>
    <w:p w14:paraId="5F8122AA" w14:textId="77777777" w:rsidR="008239EE" w:rsidRDefault="00462446" w:rsidP="003B672F">
      <w:pPr>
        <w:pStyle w:val="Default"/>
        <w:numPr>
          <w:ilvl w:val="0"/>
          <w:numId w:val="107"/>
        </w:numPr>
        <w:spacing w:before="120" w:after="120" w:line="259" w:lineRule="auto"/>
        <w:jc w:val="both"/>
        <w:rPr>
          <w:rFonts w:asciiTheme="minorHAnsi" w:hAnsiTheme="minorHAnsi"/>
          <w:sz w:val="20"/>
          <w:szCs w:val="20"/>
        </w:rPr>
      </w:pPr>
      <w:r>
        <w:rPr>
          <w:rFonts w:asciiTheme="minorHAnsi" w:hAnsiTheme="minorHAnsi"/>
          <w:sz w:val="20"/>
          <w:szCs w:val="20"/>
        </w:rPr>
        <w:t>E</w:t>
      </w:r>
      <w:r w:rsidR="00323D0C">
        <w:rPr>
          <w:rFonts w:asciiTheme="minorHAnsi" w:hAnsiTheme="minorHAnsi"/>
          <w:sz w:val="20"/>
          <w:szCs w:val="20"/>
        </w:rPr>
        <w:t xml:space="preserve">vidence </w:t>
      </w:r>
      <w:r w:rsidR="00984688">
        <w:rPr>
          <w:rFonts w:asciiTheme="minorHAnsi" w:hAnsiTheme="minorHAnsi"/>
          <w:sz w:val="20"/>
          <w:szCs w:val="20"/>
        </w:rPr>
        <w:t xml:space="preserve">of </w:t>
      </w:r>
      <w:r w:rsidR="0040239C">
        <w:rPr>
          <w:rFonts w:asciiTheme="minorHAnsi" w:hAnsiTheme="minorHAnsi"/>
          <w:sz w:val="20"/>
          <w:szCs w:val="20"/>
        </w:rPr>
        <w:t xml:space="preserve">the </w:t>
      </w:r>
      <w:r w:rsidR="004C6084">
        <w:rPr>
          <w:rFonts w:asciiTheme="minorHAnsi" w:hAnsiTheme="minorHAnsi"/>
          <w:sz w:val="20"/>
          <w:szCs w:val="20"/>
        </w:rPr>
        <w:t>maxim</w:t>
      </w:r>
      <w:r w:rsidR="0040239C">
        <w:rPr>
          <w:rFonts w:asciiTheme="minorHAnsi" w:hAnsiTheme="minorHAnsi"/>
          <w:sz w:val="20"/>
          <w:szCs w:val="20"/>
        </w:rPr>
        <w:t xml:space="preserve">isation of impact </w:t>
      </w:r>
      <w:r>
        <w:rPr>
          <w:rFonts w:asciiTheme="minorHAnsi" w:hAnsiTheme="minorHAnsi"/>
          <w:sz w:val="20"/>
          <w:szCs w:val="20"/>
        </w:rPr>
        <w:t xml:space="preserve">from </w:t>
      </w:r>
      <w:r w:rsidR="004C6084">
        <w:rPr>
          <w:rFonts w:asciiTheme="minorHAnsi" w:hAnsiTheme="minorHAnsi"/>
          <w:sz w:val="20"/>
          <w:szCs w:val="20"/>
        </w:rPr>
        <w:t>money spent</w:t>
      </w:r>
      <w:r>
        <w:rPr>
          <w:rFonts w:asciiTheme="minorHAnsi" w:hAnsiTheme="minorHAnsi"/>
          <w:sz w:val="20"/>
          <w:szCs w:val="20"/>
        </w:rPr>
        <w:t xml:space="preserve">, combined with </w:t>
      </w:r>
      <w:r w:rsidR="00A70DB5">
        <w:rPr>
          <w:rFonts w:asciiTheme="minorHAnsi" w:hAnsiTheme="minorHAnsi"/>
          <w:sz w:val="20"/>
          <w:szCs w:val="20"/>
        </w:rPr>
        <w:t xml:space="preserve">the </w:t>
      </w:r>
      <w:r w:rsidR="004C6084">
        <w:rPr>
          <w:rFonts w:asciiTheme="minorHAnsi" w:hAnsiTheme="minorHAnsi"/>
          <w:sz w:val="20"/>
          <w:szCs w:val="20"/>
        </w:rPr>
        <w:t xml:space="preserve">added value </w:t>
      </w:r>
      <w:r w:rsidR="00A70DB5">
        <w:rPr>
          <w:rFonts w:asciiTheme="minorHAnsi" w:hAnsiTheme="minorHAnsi"/>
          <w:sz w:val="20"/>
          <w:szCs w:val="20"/>
        </w:rPr>
        <w:t xml:space="preserve">of the project </w:t>
      </w:r>
      <w:r w:rsidR="004C6084">
        <w:rPr>
          <w:rFonts w:asciiTheme="minorHAnsi" w:hAnsiTheme="minorHAnsi"/>
          <w:sz w:val="20"/>
          <w:szCs w:val="20"/>
        </w:rPr>
        <w:t xml:space="preserve">to the target project beneficiaries </w:t>
      </w:r>
      <w:r w:rsidR="00F6625D">
        <w:rPr>
          <w:rFonts w:asciiTheme="minorHAnsi" w:hAnsiTheme="minorHAnsi"/>
          <w:sz w:val="20"/>
          <w:szCs w:val="20"/>
        </w:rPr>
        <w:t>was used to assess project value for money.</w:t>
      </w:r>
      <w:r w:rsidR="00F6625D">
        <w:rPr>
          <w:rStyle w:val="FootnoteReference"/>
          <w:rFonts w:asciiTheme="minorHAnsi" w:hAnsiTheme="minorHAnsi"/>
          <w:sz w:val="20"/>
          <w:szCs w:val="20"/>
        </w:rPr>
        <w:footnoteReference w:id="184"/>
      </w:r>
      <w:r w:rsidR="00F6625D">
        <w:rPr>
          <w:rFonts w:asciiTheme="minorHAnsi" w:hAnsiTheme="minorHAnsi"/>
          <w:sz w:val="20"/>
          <w:szCs w:val="20"/>
        </w:rPr>
        <w:t xml:space="preserve"> </w:t>
      </w:r>
      <w:r w:rsidR="00BD0103">
        <w:rPr>
          <w:rFonts w:asciiTheme="minorHAnsi" w:hAnsiTheme="minorHAnsi"/>
          <w:sz w:val="20"/>
          <w:szCs w:val="20"/>
        </w:rPr>
        <w:t xml:space="preserve">Project participants from the target and non-project countries were appreciative of </w:t>
      </w:r>
      <w:r w:rsidR="00011464">
        <w:rPr>
          <w:rFonts w:asciiTheme="minorHAnsi" w:hAnsiTheme="minorHAnsi"/>
          <w:sz w:val="20"/>
          <w:szCs w:val="20"/>
        </w:rPr>
        <w:t>opportunities that were created by the project</w:t>
      </w:r>
      <w:r w:rsidR="0013009E">
        <w:rPr>
          <w:rFonts w:asciiTheme="minorHAnsi" w:hAnsiTheme="minorHAnsi"/>
          <w:sz w:val="20"/>
          <w:szCs w:val="20"/>
        </w:rPr>
        <w:t xml:space="preserve"> f</w:t>
      </w:r>
      <w:r w:rsidR="00011464">
        <w:rPr>
          <w:rFonts w:asciiTheme="minorHAnsi" w:hAnsiTheme="minorHAnsi"/>
          <w:sz w:val="20"/>
          <w:szCs w:val="20"/>
        </w:rPr>
        <w:t xml:space="preserve">or </w:t>
      </w:r>
      <w:r w:rsidR="006321A6">
        <w:rPr>
          <w:rFonts w:asciiTheme="minorHAnsi" w:hAnsiTheme="minorHAnsi"/>
          <w:sz w:val="20"/>
          <w:szCs w:val="20"/>
        </w:rPr>
        <w:t>knowledge-exchange</w:t>
      </w:r>
      <w:r w:rsidR="008A64FD">
        <w:rPr>
          <w:rFonts w:asciiTheme="minorHAnsi" w:hAnsiTheme="minorHAnsi"/>
          <w:sz w:val="20"/>
          <w:szCs w:val="20"/>
        </w:rPr>
        <w:t>; peer-learning and the acquisition of resources and tools on INFFs.</w:t>
      </w:r>
      <w:r w:rsidR="006072D3">
        <w:rPr>
          <w:rStyle w:val="FootnoteReference"/>
          <w:rFonts w:asciiTheme="minorHAnsi" w:hAnsiTheme="minorHAnsi"/>
          <w:sz w:val="20"/>
          <w:szCs w:val="20"/>
        </w:rPr>
        <w:footnoteReference w:id="185"/>
      </w:r>
    </w:p>
    <w:p w14:paraId="5AEAC0B7" w14:textId="20AC0C81" w:rsidR="008239EE" w:rsidRDefault="008239EE" w:rsidP="003B672F">
      <w:pPr>
        <w:pStyle w:val="Default"/>
        <w:numPr>
          <w:ilvl w:val="0"/>
          <w:numId w:val="107"/>
        </w:numPr>
        <w:spacing w:before="120" w:after="120" w:line="259" w:lineRule="auto"/>
        <w:jc w:val="both"/>
        <w:rPr>
          <w:rFonts w:asciiTheme="minorHAnsi" w:hAnsiTheme="minorHAnsi"/>
          <w:sz w:val="20"/>
          <w:szCs w:val="20"/>
        </w:rPr>
      </w:pPr>
      <w:r w:rsidRPr="00BD4BC9">
        <w:rPr>
          <w:rFonts w:eastAsia="Calibri"/>
          <w:noProof/>
        </w:rPr>
        <mc:AlternateContent>
          <mc:Choice Requires="wps">
            <w:drawing>
              <wp:inline distT="0" distB="0" distL="0" distR="0" wp14:anchorId="036885C3" wp14:editId="1AFB4DE6">
                <wp:extent cx="2949575" cy="1097280"/>
                <wp:effectExtent l="0" t="0" r="22225" b="26670"/>
                <wp:docPr id="13683168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9575" cy="1097280"/>
                        </a:xfrm>
                        <a:prstGeom prst="rect">
                          <a:avLst/>
                        </a:prstGeom>
                        <a:solidFill>
                          <a:schemeClr val="accent1">
                            <a:alpha val="1000"/>
                          </a:schemeClr>
                        </a:solidFill>
                        <a:ln w="25400">
                          <a:solidFill>
                            <a:schemeClr val="accent1"/>
                          </a:solidFill>
                          <a:miter lim="800000"/>
                          <a:headEnd/>
                          <a:tailEnd/>
                        </a:ln>
                      </wps:spPr>
                      <wps:txbx>
                        <w:txbxContent>
                          <w:p w14:paraId="2179ED34" w14:textId="77777777" w:rsidR="008239EE" w:rsidRPr="009B24AA" w:rsidRDefault="008239EE" w:rsidP="008239EE">
                            <w:pPr>
                              <w:pStyle w:val="TextboxQuote"/>
                              <w:spacing w:after="0"/>
                              <w:rPr>
                                <w:sz w:val="18"/>
                                <w:szCs w:val="18"/>
                              </w:rPr>
                            </w:pPr>
                            <w:r>
                              <w:rPr>
                                <w:sz w:val="18"/>
                                <w:szCs w:val="18"/>
                              </w:rPr>
                              <w:t>I represent my organisation on the PPP technical committee and hence the training and knowledge gained will be informing my participation in committee meetings</w:t>
                            </w:r>
                          </w:p>
                          <w:p w14:paraId="5D8DB6D6" w14:textId="77777777" w:rsidR="008239EE" w:rsidRDefault="008239EE" w:rsidP="008239EE">
                            <w:pPr>
                              <w:pStyle w:val="TextboxSource"/>
                            </w:pPr>
                            <w:r w:rsidRPr="00853027">
                              <w:t xml:space="preserve">Source: </w:t>
                            </w:r>
                            <w:r>
                              <w:t>Regional workshop participant</w:t>
                            </w:r>
                          </w:p>
                        </w:txbxContent>
                      </wps:txbx>
                      <wps:bodyPr rot="0" vert="horz" wrap="square" lIns="144000" tIns="108000" rIns="144000" bIns="108000" anchor="t" anchorCtr="0">
                        <a:spAutoFit/>
                      </wps:bodyPr>
                    </wps:wsp>
                  </a:graphicData>
                </a:graphic>
              </wp:inline>
            </w:drawing>
          </mc:Choice>
          <mc:Fallback>
            <w:pict>
              <v:shape w14:anchorId="036885C3" id="_x0000_s1030" type="#_x0000_t202" style="width:232.25pt;height:8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" fillcolor="#009edb [3204]" strokecolor="#009edb [3204]" strokeweight="2pt">
                <v:fill opacity="771f"/>
                <v:textbox style="mso-fit-shape-to-text:t" inset="4mm,3mm,4mm,3mm">
                  <w:txbxContent>
                    <w:p w14:paraId="2179ED34" w14:textId="77777777" w:rsidR="008239EE" w:rsidRPr="009B24AA" w:rsidRDefault="008239EE" w:rsidP="008239EE">
                      <w:pPr>
                        <w:pStyle w:val="TextboxQuote"/>
                        <w:spacing w:after="0"/>
                        <w:rPr>
                          <w:sz w:val="18"/>
                          <w:szCs w:val="18"/>
                        </w:rPr>
                      </w:pPr>
                      <w:r>
                        <w:rPr>
                          <w:sz w:val="18"/>
                          <w:szCs w:val="18"/>
                        </w:rPr>
                        <w:t>I represent my organisation on the PPP technical committee and hence the training and knowledge gained will be informing my participation in committee meetings</w:t>
                      </w:r>
                    </w:p>
                    <w:p w14:paraId="5D8DB6D6" w14:textId="77777777" w:rsidR="008239EE" w:rsidRDefault="008239EE" w:rsidP="008239EE">
                      <w:pPr>
                        <w:pStyle w:val="TextboxSource"/>
                      </w:pPr>
                      <w:r w:rsidRPr="00853027">
                        <w:t xml:space="preserve">Source: </w:t>
                      </w:r>
                      <w:r>
                        <w:t>Regional workshop participant</w:t>
                      </w:r>
                    </w:p>
                  </w:txbxContent>
                </v:textbox>
                <w10:anchorlock/>
              </v:shape>
            </w:pict>
          </mc:Fallback>
        </mc:AlternateContent>
      </w:r>
    </w:p>
    <w:p w14:paraId="643259BC" w14:textId="24C69D07" w:rsidR="00F6625D" w:rsidRPr="00DB1A3D" w:rsidRDefault="0013009E" w:rsidP="00C30BD1">
      <w:pPr>
        <w:pStyle w:val="Default"/>
        <w:numPr>
          <w:ilvl w:val="0"/>
          <w:numId w:val="107"/>
        </w:numPr>
        <w:spacing w:before="120" w:after="120" w:line="259" w:lineRule="auto"/>
        <w:jc w:val="both"/>
        <w:rPr>
          <w:rFonts w:asciiTheme="minorHAnsi" w:hAnsiTheme="minorHAnsi"/>
          <w:sz w:val="20"/>
          <w:szCs w:val="20"/>
        </w:rPr>
      </w:pPr>
      <w:r w:rsidRPr="00DB1A3D">
        <w:rPr>
          <w:rFonts w:asciiTheme="minorHAnsi" w:hAnsiTheme="minorHAnsi"/>
          <w:sz w:val="20"/>
          <w:szCs w:val="20"/>
        </w:rPr>
        <w:t xml:space="preserve"> They further indicated that the added value </w:t>
      </w:r>
      <w:r w:rsidR="00C96658" w:rsidRPr="00DB1A3D">
        <w:rPr>
          <w:rFonts w:asciiTheme="minorHAnsi" w:hAnsiTheme="minorHAnsi"/>
          <w:sz w:val="20"/>
          <w:szCs w:val="20"/>
        </w:rPr>
        <w:t>of the project has been their new a</w:t>
      </w:r>
      <w:r w:rsidR="005A0750" w:rsidRPr="00DB1A3D">
        <w:rPr>
          <w:rFonts w:asciiTheme="minorHAnsi" w:hAnsiTheme="minorHAnsi"/>
          <w:sz w:val="20"/>
          <w:szCs w:val="20"/>
        </w:rPr>
        <w:t xml:space="preserve">bility to contribute further </w:t>
      </w:r>
      <w:r w:rsidR="005A0750" w:rsidRPr="00DB1A3D">
        <w:rPr>
          <w:rFonts w:asciiTheme="minorHAnsi" w:hAnsiTheme="minorHAnsi"/>
          <w:sz w:val="20"/>
          <w:szCs w:val="20"/>
        </w:rPr>
        <w:t>to the work portfolios of their organisations.</w:t>
      </w:r>
      <w:r w:rsidR="008239EE" w:rsidRPr="00DB1A3D">
        <w:rPr>
          <w:rFonts w:asciiTheme="minorHAnsi" w:hAnsiTheme="minorHAnsi"/>
          <w:sz w:val="20"/>
          <w:szCs w:val="20"/>
        </w:rPr>
        <w:t xml:space="preserve"> </w:t>
      </w:r>
      <w:r w:rsidR="00445612" w:rsidRPr="00DB1A3D">
        <w:rPr>
          <w:rFonts w:asciiTheme="minorHAnsi" w:hAnsiTheme="minorHAnsi"/>
          <w:sz w:val="20"/>
          <w:szCs w:val="20"/>
        </w:rPr>
        <w:t xml:space="preserve">This </w:t>
      </w:r>
      <w:r w:rsidR="006072D3" w:rsidRPr="00DB1A3D">
        <w:rPr>
          <w:rFonts w:asciiTheme="minorHAnsi" w:hAnsiTheme="minorHAnsi"/>
          <w:sz w:val="20"/>
          <w:szCs w:val="20"/>
        </w:rPr>
        <w:t xml:space="preserve">development </w:t>
      </w:r>
      <w:r w:rsidR="00A5089F" w:rsidRPr="00DB1A3D">
        <w:rPr>
          <w:rFonts w:asciiTheme="minorHAnsi" w:hAnsiTheme="minorHAnsi"/>
          <w:sz w:val="20"/>
          <w:szCs w:val="20"/>
        </w:rPr>
        <w:t xml:space="preserve">was corroborated by </w:t>
      </w:r>
      <w:r w:rsidR="00E23962" w:rsidRPr="00DB1A3D">
        <w:rPr>
          <w:rFonts w:asciiTheme="minorHAnsi" w:hAnsiTheme="minorHAnsi"/>
          <w:sz w:val="20"/>
          <w:szCs w:val="20"/>
        </w:rPr>
        <w:t xml:space="preserve">the level of participation in regional and country-specific workshops, as well as the final global workshop, and </w:t>
      </w:r>
      <w:r w:rsidR="00623699" w:rsidRPr="00DB1A3D">
        <w:rPr>
          <w:rFonts w:asciiTheme="minorHAnsi" w:hAnsiTheme="minorHAnsi"/>
          <w:sz w:val="20"/>
          <w:szCs w:val="20"/>
        </w:rPr>
        <w:t xml:space="preserve">the </w:t>
      </w:r>
      <w:r w:rsidR="00E23962" w:rsidRPr="00DB1A3D">
        <w:rPr>
          <w:rFonts w:asciiTheme="minorHAnsi" w:hAnsiTheme="minorHAnsi"/>
          <w:sz w:val="20"/>
          <w:szCs w:val="20"/>
        </w:rPr>
        <w:t>follow-up requests for technical assistance by non-project cou</w:t>
      </w:r>
      <w:r w:rsidR="00623699" w:rsidRPr="00DB1A3D">
        <w:rPr>
          <w:rFonts w:asciiTheme="minorHAnsi" w:hAnsiTheme="minorHAnsi"/>
          <w:sz w:val="20"/>
          <w:szCs w:val="20"/>
        </w:rPr>
        <w:t>ntries.</w:t>
      </w:r>
      <w:r w:rsidR="0026508B">
        <w:rPr>
          <w:rStyle w:val="FootnoteReference"/>
          <w:rFonts w:asciiTheme="minorHAnsi" w:hAnsiTheme="minorHAnsi"/>
          <w:sz w:val="20"/>
          <w:szCs w:val="20"/>
        </w:rPr>
        <w:footnoteReference w:id="186"/>
      </w:r>
    </w:p>
    <w:p w14:paraId="4F61D0A5" w14:textId="68FA3E80" w:rsidR="00F6625D" w:rsidRDefault="00C025AB" w:rsidP="003B672F">
      <w:pPr>
        <w:pStyle w:val="Default"/>
        <w:numPr>
          <w:ilvl w:val="0"/>
          <w:numId w:val="107"/>
        </w:numPr>
        <w:spacing w:before="120" w:after="120" w:line="259" w:lineRule="auto"/>
        <w:jc w:val="both"/>
        <w:rPr>
          <w:rFonts w:asciiTheme="minorHAnsi" w:hAnsiTheme="minorHAnsi"/>
          <w:sz w:val="20"/>
          <w:szCs w:val="20"/>
        </w:rPr>
      </w:pPr>
      <w:r>
        <w:rPr>
          <w:rFonts w:asciiTheme="minorHAnsi" w:hAnsiTheme="minorHAnsi"/>
          <w:sz w:val="20"/>
          <w:szCs w:val="20"/>
        </w:rPr>
        <w:t>As th</w:t>
      </w:r>
      <w:r w:rsidR="00350D64">
        <w:rPr>
          <w:rFonts w:asciiTheme="minorHAnsi" w:hAnsiTheme="minorHAnsi"/>
          <w:sz w:val="20"/>
          <w:szCs w:val="20"/>
        </w:rPr>
        <w:t xml:space="preserve">ere has been evidence of the efficient management of the project budget and the provision of added value to </w:t>
      </w:r>
      <w:r w:rsidR="00F376A9">
        <w:rPr>
          <w:rFonts w:asciiTheme="minorHAnsi" w:hAnsiTheme="minorHAnsi"/>
          <w:sz w:val="20"/>
          <w:szCs w:val="20"/>
        </w:rPr>
        <w:t>target and non-project countries, the project is rated as having contributed towards value for money</w:t>
      </w:r>
      <w:r>
        <w:rPr>
          <w:rFonts w:asciiTheme="minorHAnsi" w:hAnsiTheme="minorHAnsi"/>
          <w:sz w:val="20"/>
          <w:szCs w:val="20"/>
        </w:rPr>
        <w:t xml:space="preserve"> </w:t>
      </w:r>
    </w:p>
    <w:p w14:paraId="1EDE5F46" w14:textId="40011EBB" w:rsidR="0071034C" w:rsidRDefault="000C2F6D" w:rsidP="00EE394E">
      <w:pPr>
        <w:pStyle w:val="BodyText"/>
        <w:rPr>
          <w:b/>
          <w:bCs/>
          <w:szCs w:val="20"/>
        </w:rPr>
      </w:pPr>
      <w:r w:rsidRPr="00EE394E">
        <w:rPr>
          <w:b/>
          <w:bCs/>
          <w:szCs w:val="20"/>
        </w:rPr>
        <w:t xml:space="preserve">Finding </w:t>
      </w:r>
      <w:r w:rsidR="00600626" w:rsidRPr="00EE394E">
        <w:rPr>
          <w:b/>
          <w:bCs/>
          <w:szCs w:val="20"/>
        </w:rPr>
        <w:t>9</w:t>
      </w:r>
      <w:r w:rsidRPr="00EE394E">
        <w:rPr>
          <w:b/>
          <w:bCs/>
          <w:szCs w:val="20"/>
        </w:rPr>
        <w:t xml:space="preserve">: </w:t>
      </w:r>
      <w:r w:rsidR="00AB22DF" w:rsidRPr="00AB22DF">
        <w:rPr>
          <w:szCs w:val="20"/>
        </w:rPr>
        <w:t xml:space="preserve">Although project implementation was informed by a </w:t>
      </w:r>
      <w:r w:rsidR="00335087" w:rsidRPr="00AB22DF">
        <w:rPr>
          <w:szCs w:val="20"/>
        </w:rPr>
        <w:t>risk assessment and mitigation plan</w:t>
      </w:r>
      <w:r w:rsidR="00AB22DF" w:rsidRPr="00AB22DF">
        <w:rPr>
          <w:szCs w:val="20"/>
        </w:rPr>
        <w:t>, there was an underestimation of the disruptive effect of geopolitical factors on project activities</w:t>
      </w:r>
      <w:r w:rsidR="00AB22DF">
        <w:rPr>
          <w:szCs w:val="20"/>
        </w:rPr>
        <w:t>.</w:t>
      </w:r>
    </w:p>
    <w:p w14:paraId="2CA3E5FB" w14:textId="0B6E119B" w:rsidR="0009069D" w:rsidRDefault="007D010B" w:rsidP="00EE394E">
      <w:pPr>
        <w:pStyle w:val="BodyText"/>
        <w:rPr>
          <w:szCs w:val="20"/>
        </w:rPr>
      </w:pPr>
      <w:r>
        <w:rPr>
          <w:szCs w:val="20"/>
        </w:rPr>
        <w:t>A</w:t>
      </w:r>
      <w:r w:rsidR="001F4E62">
        <w:rPr>
          <w:szCs w:val="20"/>
        </w:rPr>
        <w:t xml:space="preserve">s a </w:t>
      </w:r>
      <w:r>
        <w:rPr>
          <w:szCs w:val="20"/>
        </w:rPr>
        <w:t>critical element of project conceptualisation</w:t>
      </w:r>
      <w:r w:rsidR="001F4E62">
        <w:rPr>
          <w:szCs w:val="20"/>
        </w:rPr>
        <w:t xml:space="preserve">, anticipated risks to </w:t>
      </w:r>
      <w:r w:rsidR="00B4589E">
        <w:rPr>
          <w:szCs w:val="20"/>
        </w:rPr>
        <w:t>results achievement</w:t>
      </w:r>
      <w:r w:rsidR="001F4E62">
        <w:rPr>
          <w:szCs w:val="20"/>
        </w:rPr>
        <w:t xml:space="preserve"> </w:t>
      </w:r>
      <w:r w:rsidR="006A2065">
        <w:rPr>
          <w:szCs w:val="20"/>
        </w:rPr>
        <w:t xml:space="preserve">and </w:t>
      </w:r>
      <w:r w:rsidR="0009261E">
        <w:rPr>
          <w:szCs w:val="20"/>
        </w:rPr>
        <w:t xml:space="preserve">measures to </w:t>
      </w:r>
      <w:r w:rsidR="006A2065">
        <w:rPr>
          <w:szCs w:val="20"/>
        </w:rPr>
        <w:t xml:space="preserve">support mitigation were used to inform project </w:t>
      </w:r>
      <w:r w:rsidR="0009261E">
        <w:rPr>
          <w:szCs w:val="20"/>
        </w:rPr>
        <w:t xml:space="preserve">implementation. </w:t>
      </w:r>
      <w:r w:rsidR="0056026F">
        <w:rPr>
          <w:szCs w:val="20"/>
        </w:rPr>
        <w:t xml:space="preserve">There were three foreseen risks to results achievement: i) </w:t>
      </w:r>
      <w:r w:rsidR="00B858BA">
        <w:rPr>
          <w:szCs w:val="20"/>
        </w:rPr>
        <w:t xml:space="preserve">extended </w:t>
      </w:r>
      <w:r w:rsidR="00FD3D7A">
        <w:rPr>
          <w:szCs w:val="20"/>
        </w:rPr>
        <w:t xml:space="preserve">restrictions </w:t>
      </w:r>
      <w:r w:rsidR="00B858BA">
        <w:rPr>
          <w:szCs w:val="20"/>
        </w:rPr>
        <w:t xml:space="preserve">from the COVID-19 pandemic; ii) </w:t>
      </w:r>
      <w:r w:rsidR="00331F06">
        <w:rPr>
          <w:szCs w:val="20"/>
        </w:rPr>
        <w:t xml:space="preserve">variation in </w:t>
      </w:r>
      <w:r w:rsidR="00227B29">
        <w:rPr>
          <w:szCs w:val="20"/>
        </w:rPr>
        <w:t>the willingness of government</w:t>
      </w:r>
      <w:r w:rsidR="00331F06">
        <w:rPr>
          <w:szCs w:val="20"/>
        </w:rPr>
        <w:t xml:space="preserve">s to participate in the project; </w:t>
      </w:r>
      <w:r w:rsidR="00456435">
        <w:rPr>
          <w:szCs w:val="20"/>
        </w:rPr>
        <w:t xml:space="preserve">and iii) </w:t>
      </w:r>
      <w:r w:rsidR="008A51C0">
        <w:rPr>
          <w:szCs w:val="20"/>
        </w:rPr>
        <w:t>changes in the security situation in the target countries and re</w:t>
      </w:r>
      <w:r w:rsidR="00356010">
        <w:rPr>
          <w:szCs w:val="20"/>
        </w:rPr>
        <w:t>gions.</w:t>
      </w:r>
      <w:r w:rsidR="002E2064">
        <w:rPr>
          <w:rStyle w:val="FootnoteReference"/>
          <w:szCs w:val="20"/>
        </w:rPr>
        <w:footnoteReference w:id="187"/>
      </w:r>
      <w:r w:rsidR="00356010">
        <w:rPr>
          <w:szCs w:val="20"/>
        </w:rPr>
        <w:t xml:space="preserve"> The </w:t>
      </w:r>
      <w:r w:rsidR="00BE3430">
        <w:rPr>
          <w:szCs w:val="20"/>
        </w:rPr>
        <w:t xml:space="preserve">proposed </w:t>
      </w:r>
      <w:r w:rsidR="00356010">
        <w:rPr>
          <w:szCs w:val="20"/>
        </w:rPr>
        <w:t xml:space="preserve">mitigation measures </w:t>
      </w:r>
      <w:r w:rsidR="008010BC">
        <w:rPr>
          <w:szCs w:val="20"/>
        </w:rPr>
        <w:t>were feasible</w:t>
      </w:r>
      <w:r w:rsidR="009F562C">
        <w:rPr>
          <w:szCs w:val="20"/>
        </w:rPr>
        <w:t xml:space="preserve"> and involved virtual </w:t>
      </w:r>
      <w:r w:rsidR="00F856AB">
        <w:rPr>
          <w:szCs w:val="20"/>
        </w:rPr>
        <w:t xml:space="preserve">engagement; </w:t>
      </w:r>
      <w:r w:rsidR="00C05AD2">
        <w:rPr>
          <w:szCs w:val="20"/>
        </w:rPr>
        <w:t>out</w:t>
      </w:r>
      <w:r w:rsidR="00F856AB">
        <w:rPr>
          <w:szCs w:val="20"/>
        </w:rPr>
        <w:t>reach to relev</w:t>
      </w:r>
      <w:r w:rsidR="00E720DD">
        <w:rPr>
          <w:szCs w:val="20"/>
        </w:rPr>
        <w:t>a</w:t>
      </w:r>
      <w:r w:rsidR="00F856AB">
        <w:rPr>
          <w:szCs w:val="20"/>
        </w:rPr>
        <w:t xml:space="preserve">nt stakeholders who were external to central government; and </w:t>
      </w:r>
      <w:r w:rsidR="00E720DD">
        <w:rPr>
          <w:szCs w:val="20"/>
        </w:rPr>
        <w:t xml:space="preserve">the </w:t>
      </w:r>
      <w:r w:rsidR="007C2116">
        <w:rPr>
          <w:szCs w:val="20"/>
        </w:rPr>
        <w:t>use</w:t>
      </w:r>
      <w:r w:rsidR="00E720DD">
        <w:rPr>
          <w:szCs w:val="20"/>
        </w:rPr>
        <w:t xml:space="preserve"> of alternative event venues during socio-political upheavals.</w:t>
      </w:r>
      <w:r w:rsidR="005672F6">
        <w:rPr>
          <w:szCs w:val="20"/>
        </w:rPr>
        <w:t xml:space="preserve"> </w:t>
      </w:r>
      <w:r w:rsidR="009F208D">
        <w:rPr>
          <w:szCs w:val="20"/>
        </w:rPr>
        <w:t xml:space="preserve">At the time of operationalisation, however, they </w:t>
      </w:r>
      <w:r w:rsidR="00380BD8">
        <w:rPr>
          <w:szCs w:val="20"/>
        </w:rPr>
        <w:t xml:space="preserve">were </w:t>
      </w:r>
      <w:r w:rsidR="00487EBA">
        <w:rPr>
          <w:szCs w:val="20"/>
        </w:rPr>
        <w:t>overly simplistic and generalised</w:t>
      </w:r>
      <w:r w:rsidR="00ED7F1E">
        <w:rPr>
          <w:szCs w:val="20"/>
        </w:rPr>
        <w:t xml:space="preserve">. </w:t>
      </w:r>
    </w:p>
    <w:p w14:paraId="446A88A1" w14:textId="26E2A204" w:rsidR="0009069D" w:rsidRDefault="0009069D" w:rsidP="00EE394E">
      <w:pPr>
        <w:pStyle w:val="BodyText"/>
        <w:rPr>
          <w:szCs w:val="20"/>
        </w:rPr>
      </w:pPr>
      <w:r>
        <w:rPr>
          <w:szCs w:val="20"/>
        </w:rPr>
        <w:t xml:space="preserve">The </w:t>
      </w:r>
      <w:r w:rsidR="00ED7F1E">
        <w:rPr>
          <w:szCs w:val="20"/>
        </w:rPr>
        <w:t xml:space="preserve">mitigation measures </w:t>
      </w:r>
      <w:r>
        <w:rPr>
          <w:szCs w:val="20"/>
        </w:rPr>
        <w:t xml:space="preserve">did not </w:t>
      </w:r>
      <w:r w:rsidR="00905D26">
        <w:rPr>
          <w:szCs w:val="20"/>
        </w:rPr>
        <w:t>address</w:t>
      </w:r>
      <w:r>
        <w:rPr>
          <w:szCs w:val="20"/>
        </w:rPr>
        <w:t xml:space="preserve"> challenges </w:t>
      </w:r>
      <w:r w:rsidR="00D14B5C">
        <w:rPr>
          <w:szCs w:val="20"/>
        </w:rPr>
        <w:t>in relation</w:t>
      </w:r>
      <w:r>
        <w:rPr>
          <w:szCs w:val="20"/>
        </w:rPr>
        <w:t xml:space="preserve"> to</w:t>
      </w:r>
      <w:r w:rsidR="00C118FF">
        <w:rPr>
          <w:szCs w:val="20"/>
        </w:rPr>
        <w:t>: i)</w:t>
      </w:r>
      <w:r>
        <w:rPr>
          <w:szCs w:val="20"/>
        </w:rPr>
        <w:t xml:space="preserve"> coordination and </w:t>
      </w:r>
      <w:r w:rsidR="00C118FF">
        <w:rPr>
          <w:szCs w:val="20"/>
        </w:rPr>
        <w:t>collaboration between UN entities</w:t>
      </w:r>
      <w:r w:rsidR="00D72E62">
        <w:rPr>
          <w:szCs w:val="20"/>
        </w:rPr>
        <w:t>;</w:t>
      </w:r>
      <w:r w:rsidR="00086512">
        <w:rPr>
          <w:szCs w:val="20"/>
        </w:rPr>
        <w:t xml:space="preserve"> and</w:t>
      </w:r>
      <w:r w:rsidR="00D72E62">
        <w:rPr>
          <w:szCs w:val="20"/>
        </w:rPr>
        <w:t xml:space="preserve"> </w:t>
      </w:r>
      <w:r w:rsidR="00086512">
        <w:rPr>
          <w:szCs w:val="20"/>
        </w:rPr>
        <w:t xml:space="preserve">ii) INFF awareness and government engagement in project activities. </w:t>
      </w:r>
      <w:r w:rsidR="00D34BC9">
        <w:rPr>
          <w:szCs w:val="20"/>
        </w:rPr>
        <w:t>There was also a significant underestimation of the effect</w:t>
      </w:r>
      <w:r w:rsidR="003F3983">
        <w:rPr>
          <w:szCs w:val="20"/>
        </w:rPr>
        <w:t>s</w:t>
      </w:r>
      <w:r w:rsidR="00D34BC9">
        <w:rPr>
          <w:szCs w:val="20"/>
        </w:rPr>
        <w:t xml:space="preserve"> of geopolitical factors on </w:t>
      </w:r>
      <w:r w:rsidR="000933F6">
        <w:rPr>
          <w:szCs w:val="20"/>
        </w:rPr>
        <w:t xml:space="preserve">project implementation. </w:t>
      </w:r>
    </w:p>
    <w:p w14:paraId="2C3423E4" w14:textId="4FBF2B9D" w:rsidR="00D23E7E" w:rsidRDefault="009949DC" w:rsidP="00EE394E">
      <w:pPr>
        <w:pStyle w:val="BodyText"/>
        <w:rPr>
          <w:szCs w:val="20"/>
        </w:rPr>
      </w:pPr>
      <w:r>
        <w:rPr>
          <w:szCs w:val="20"/>
        </w:rPr>
        <w:t xml:space="preserve">In general, there was evidence of collaboration between the </w:t>
      </w:r>
      <w:r w:rsidR="000C6EEB">
        <w:rPr>
          <w:szCs w:val="20"/>
        </w:rPr>
        <w:t xml:space="preserve">Tier 2 entities to deliver regional workshops and follow-up </w:t>
      </w:r>
      <w:r w:rsidR="00C425EB">
        <w:rPr>
          <w:szCs w:val="20"/>
        </w:rPr>
        <w:t xml:space="preserve">with </w:t>
      </w:r>
      <w:r w:rsidR="000C6EEB">
        <w:rPr>
          <w:szCs w:val="20"/>
        </w:rPr>
        <w:t xml:space="preserve">country-specific </w:t>
      </w:r>
      <w:r w:rsidR="00BD75B6">
        <w:rPr>
          <w:szCs w:val="20"/>
        </w:rPr>
        <w:t xml:space="preserve">events. </w:t>
      </w:r>
      <w:r w:rsidR="00BD75B6">
        <w:rPr>
          <w:szCs w:val="20"/>
        </w:rPr>
        <w:lastRenderedPageBreak/>
        <w:t>There was note</w:t>
      </w:r>
      <w:r w:rsidR="005D2BD1">
        <w:rPr>
          <w:szCs w:val="20"/>
        </w:rPr>
        <w:t>d</w:t>
      </w:r>
      <w:r w:rsidR="00BD75B6">
        <w:rPr>
          <w:szCs w:val="20"/>
        </w:rPr>
        <w:t xml:space="preserve"> collaboration, for example, between UNCTAD and UNEC</w:t>
      </w:r>
      <w:r w:rsidR="009D5888">
        <w:rPr>
          <w:szCs w:val="20"/>
        </w:rPr>
        <w:t xml:space="preserve">A, as well as UNCTAD and UNECE, to facilitate workshops </w:t>
      </w:r>
      <w:r w:rsidR="00297A2D">
        <w:rPr>
          <w:szCs w:val="20"/>
        </w:rPr>
        <w:t>in Africa and Europe, respectively.</w:t>
      </w:r>
      <w:r w:rsidR="005D2BD1">
        <w:rPr>
          <w:szCs w:val="20"/>
        </w:rPr>
        <w:t xml:space="preserve"> </w:t>
      </w:r>
      <w:r w:rsidR="003F3983">
        <w:rPr>
          <w:szCs w:val="20"/>
        </w:rPr>
        <w:t xml:space="preserve">Individual RECs also collaborated with </w:t>
      </w:r>
      <w:r w:rsidR="004D422F">
        <w:rPr>
          <w:szCs w:val="20"/>
        </w:rPr>
        <w:t>UN en</w:t>
      </w:r>
      <w:r w:rsidR="007E691B">
        <w:rPr>
          <w:szCs w:val="20"/>
        </w:rPr>
        <w:t>titi</w:t>
      </w:r>
      <w:r w:rsidR="004D422F">
        <w:rPr>
          <w:szCs w:val="20"/>
        </w:rPr>
        <w:t>es that were external to the project</w:t>
      </w:r>
      <w:r w:rsidR="007E691B">
        <w:rPr>
          <w:szCs w:val="20"/>
        </w:rPr>
        <w:t xml:space="preserve">; </w:t>
      </w:r>
      <w:r w:rsidR="003F3983">
        <w:rPr>
          <w:szCs w:val="20"/>
        </w:rPr>
        <w:t>government agencies</w:t>
      </w:r>
      <w:r w:rsidR="00A814D8">
        <w:rPr>
          <w:szCs w:val="20"/>
        </w:rPr>
        <w:t xml:space="preserve">; regional </w:t>
      </w:r>
      <w:r w:rsidR="00413DEB">
        <w:rPr>
          <w:szCs w:val="20"/>
        </w:rPr>
        <w:t>associations;</w:t>
      </w:r>
      <w:r w:rsidR="00AA0AEF">
        <w:rPr>
          <w:szCs w:val="20"/>
        </w:rPr>
        <w:t xml:space="preserve"> and international </w:t>
      </w:r>
      <w:r w:rsidR="00A814D8">
        <w:rPr>
          <w:szCs w:val="20"/>
        </w:rPr>
        <w:t xml:space="preserve">organisations, to develop </w:t>
      </w:r>
      <w:r w:rsidR="00194305">
        <w:rPr>
          <w:szCs w:val="20"/>
        </w:rPr>
        <w:t xml:space="preserve">specialised </w:t>
      </w:r>
      <w:r w:rsidR="00C464C0">
        <w:rPr>
          <w:szCs w:val="20"/>
        </w:rPr>
        <w:t>guidance material</w:t>
      </w:r>
      <w:r w:rsidR="00407BCF">
        <w:rPr>
          <w:szCs w:val="20"/>
        </w:rPr>
        <w:t xml:space="preserve">; </w:t>
      </w:r>
      <w:r w:rsidR="007E691B">
        <w:rPr>
          <w:szCs w:val="20"/>
        </w:rPr>
        <w:t xml:space="preserve">facilitate </w:t>
      </w:r>
      <w:r w:rsidR="00407BCF">
        <w:rPr>
          <w:szCs w:val="20"/>
        </w:rPr>
        <w:t>regional events</w:t>
      </w:r>
      <w:r w:rsidR="0079155E">
        <w:rPr>
          <w:szCs w:val="20"/>
        </w:rPr>
        <w:t>;</w:t>
      </w:r>
      <w:r w:rsidR="00073F15">
        <w:rPr>
          <w:szCs w:val="20"/>
        </w:rPr>
        <w:t xml:space="preserve"> </w:t>
      </w:r>
      <w:r w:rsidR="00194305">
        <w:rPr>
          <w:szCs w:val="20"/>
        </w:rPr>
        <w:t xml:space="preserve">and </w:t>
      </w:r>
      <w:r w:rsidR="0079155E">
        <w:rPr>
          <w:szCs w:val="20"/>
        </w:rPr>
        <w:t>engage in policy discussions</w:t>
      </w:r>
      <w:r w:rsidR="00C464C0">
        <w:rPr>
          <w:szCs w:val="20"/>
        </w:rPr>
        <w:t>.</w:t>
      </w:r>
      <w:r w:rsidR="0079155E">
        <w:rPr>
          <w:szCs w:val="20"/>
        </w:rPr>
        <w:t xml:space="preserve"> </w:t>
      </w:r>
    </w:p>
    <w:p w14:paraId="55E5FB1E" w14:textId="1F196062" w:rsidR="0079155E" w:rsidRDefault="00073F15" w:rsidP="00EE394E">
      <w:pPr>
        <w:pStyle w:val="BodyText"/>
        <w:rPr>
          <w:szCs w:val="20"/>
        </w:rPr>
      </w:pPr>
      <w:r>
        <w:rPr>
          <w:szCs w:val="20"/>
        </w:rPr>
        <w:t>To illustrate</w:t>
      </w:r>
      <w:r w:rsidR="0079155E">
        <w:rPr>
          <w:szCs w:val="20"/>
        </w:rPr>
        <w:t xml:space="preserve">, UNECLAC </w:t>
      </w:r>
      <w:r w:rsidR="00BE3DA2">
        <w:rPr>
          <w:szCs w:val="20"/>
        </w:rPr>
        <w:t>collaborated with Banco Popu</w:t>
      </w:r>
      <w:r w:rsidR="00E5551E">
        <w:rPr>
          <w:szCs w:val="20"/>
        </w:rPr>
        <w:t xml:space="preserve">lar Dominicano and the Dominican Republic Stock Market </w:t>
      </w:r>
      <w:r w:rsidR="00291341">
        <w:rPr>
          <w:szCs w:val="20"/>
        </w:rPr>
        <w:t xml:space="preserve">to support enhanced private sector engagement in development financing in the Dominican Republic. </w:t>
      </w:r>
      <w:r w:rsidR="007B1179">
        <w:rPr>
          <w:szCs w:val="20"/>
        </w:rPr>
        <w:t xml:space="preserve">UNECLAC </w:t>
      </w:r>
      <w:r w:rsidR="008A36BF">
        <w:rPr>
          <w:szCs w:val="20"/>
        </w:rPr>
        <w:t xml:space="preserve">also </w:t>
      </w:r>
      <w:r w:rsidR="007B1179">
        <w:rPr>
          <w:szCs w:val="20"/>
        </w:rPr>
        <w:t xml:space="preserve">engaged high-level government representatives from </w:t>
      </w:r>
      <w:r w:rsidR="005B0FC9">
        <w:rPr>
          <w:szCs w:val="20"/>
        </w:rPr>
        <w:t>the Ministry of the Economy, Planning and Development, and the Ministry of the Presidency</w:t>
      </w:r>
      <w:r w:rsidR="00EB5C1A">
        <w:rPr>
          <w:szCs w:val="20"/>
        </w:rPr>
        <w:t xml:space="preserve">, as well as representatives from </w:t>
      </w:r>
      <w:r w:rsidR="00910849">
        <w:rPr>
          <w:szCs w:val="20"/>
        </w:rPr>
        <w:t xml:space="preserve">UN </w:t>
      </w:r>
      <w:r w:rsidR="00EB5C1A">
        <w:rPr>
          <w:szCs w:val="20"/>
        </w:rPr>
        <w:t>RCO and UNDP during the end-of-project event in the Dominican Republic.</w:t>
      </w:r>
      <w:r w:rsidR="009E5306" w:rsidRPr="009E5306">
        <w:rPr>
          <w:rStyle w:val="FootnoteReference"/>
        </w:rPr>
        <w:t xml:space="preserve"> </w:t>
      </w:r>
      <w:r w:rsidR="009E5306" w:rsidRPr="00E2039E">
        <w:rPr>
          <w:rStyle w:val="FootnoteReference"/>
        </w:rPr>
        <w:footnoteReference w:id="188"/>
      </w:r>
    </w:p>
    <w:p w14:paraId="4F586798" w14:textId="53186E8A" w:rsidR="004B2D48" w:rsidRDefault="00121872" w:rsidP="00EE394E">
      <w:pPr>
        <w:pStyle w:val="BodyText"/>
        <w:rPr>
          <w:szCs w:val="20"/>
        </w:rPr>
      </w:pPr>
      <w:r>
        <w:rPr>
          <w:szCs w:val="20"/>
        </w:rPr>
        <w:t>UNECE partnered with the Eurasian Development Bank</w:t>
      </w:r>
      <w:r w:rsidR="001D199C">
        <w:rPr>
          <w:szCs w:val="20"/>
        </w:rPr>
        <w:t xml:space="preserve"> to hold a roundtable discussion in Belarus on financing opportunities for infrastructure projects. These </w:t>
      </w:r>
      <w:r w:rsidR="00CA688E">
        <w:rPr>
          <w:szCs w:val="20"/>
        </w:rPr>
        <w:t xml:space="preserve">projects had all been assessed using the PIERS methodology. To </w:t>
      </w:r>
      <w:r w:rsidR="004B2D48">
        <w:rPr>
          <w:szCs w:val="20"/>
        </w:rPr>
        <w:t xml:space="preserve">support efforts </w:t>
      </w:r>
      <w:r w:rsidR="00240083">
        <w:rPr>
          <w:szCs w:val="20"/>
        </w:rPr>
        <w:t xml:space="preserve">for </w:t>
      </w:r>
      <w:r w:rsidR="004B2D48" w:rsidRPr="009E5306">
        <w:t>enhance</w:t>
      </w:r>
      <w:r w:rsidR="00240083">
        <w:t>d</w:t>
      </w:r>
      <w:r w:rsidR="004B2D48" w:rsidRPr="009E5306">
        <w:t xml:space="preserve"> financial integrity and</w:t>
      </w:r>
      <w:r w:rsidR="00043356">
        <w:t xml:space="preserve"> the </w:t>
      </w:r>
      <w:r w:rsidR="005B40D1">
        <w:t xml:space="preserve">combatting </w:t>
      </w:r>
      <w:r w:rsidR="00271D8A">
        <w:t>of illicit financial flows</w:t>
      </w:r>
      <w:r w:rsidR="00711426">
        <w:t xml:space="preserve"> (IFFs), </w:t>
      </w:r>
      <w:r w:rsidR="009E5306" w:rsidRPr="009E5306">
        <w:t xml:space="preserve">UNCTAD </w:t>
      </w:r>
      <w:r w:rsidR="00711426">
        <w:t xml:space="preserve">also </w:t>
      </w:r>
      <w:r w:rsidR="004B2D48" w:rsidRPr="009E5306">
        <w:t xml:space="preserve">collaborated with </w:t>
      </w:r>
      <w:r w:rsidR="009E5306" w:rsidRPr="009E5306">
        <w:t xml:space="preserve">the </w:t>
      </w:r>
      <w:r w:rsidR="004B2D48" w:rsidRPr="009E5306">
        <w:t xml:space="preserve">United Nations Office on Drugs and Crime (UNODC) </w:t>
      </w:r>
      <w:r w:rsidR="00043356">
        <w:t xml:space="preserve">to develop </w:t>
      </w:r>
      <w:r w:rsidR="009E5306" w:rsidRPr="009E5306">
        <w:t xml:space="preserve">IFF </w:t>
      </w:r>
      <w:r w:rsidR="004B2D48" w:rsidRPr="009E5306">
        <w:t>projects in Burkina Faso and Zambia</w:t>
      </w:r>
      <w:r w:rsidR="009E5306">
        <w:t>.</w:t>
      </w:r>
      <w:r w:rsidR="009E5306" w:rsidRPr="009E5306">
        <w:rPr>
          <w:rStyle w:val="FootnoteReference"/>
        </w:rPr>
        <w:t xml:space="preserve"> </w:t>
      </w:r>
      <w:r w:rsidR="009E5306" w:rsidRPr="00E2039E">
        <w:rPr>
          <w:rStyle w:val="FootnoteReference"/>
        </w:rPr>
        <w:footnoteReference w:id="189"/>
      </w:r>
    </w:p>
    <w:p w14:paraId="2307F007" w14:textId="3A05F18F" w:rsidR="00364497" w:rsidRPr="00AB22DF" w:rsidRDefault="00EF0B19" w:rsidP="00EE394E">
      <w:pPr>
        <w:pStyle w:val="BodyText"/>
        <w:rPr>
          <w:szCs w:val="20"/>
        </w:rPr>
      </w:pPr>
      <w:r>
        <w:rPr>
          <w:szCs w:val="20"/>
        </w:rPr>
        <w:t xml:space="preserve">UNECA </w:t>
      </w:r>
      <w:r w:rsidR="0061593C">
        <w:rPr>
          <w:szCs w:val="20"/>
        </w:rPr>
        <w:t xml:space="preserve">engaged with several regional and international partners </w:t>
      </w:r>
      <w:r w:rsidR="00952226">
        <w:rPr>
          <w:szCs w:val="20"/>
        </w:rPr>
        <w:t>throughout the project, including UNDP; the African Union</w:t>
      </w:r>
      <w:r w:rsidR="00E01C0C">
        <w:rPr>
          <w:szCs w:val="20"/>
        </w:rPr>
        <w:t>;</w:t>
      </w:r>
      <w:r w:rsidR="00C162AC">
        <w:rPr>
          <w:szCs w:val="20"/>
        </w:rPr>
        <w:t xml:space="preserve"> and the African Forum on </w:t>
      </w:r>
      <w:r w:rsidR="00C162AC" w:rsidRPr="00E2039E">
        <w:rPr>
          <w:szCs w:val="20"/>
        </w:rPr>
        <w:t>Debt and Development</w:t>
      </w:r>
      <w:r w:rsidR="008A3324" w:rsidRPr="00E2039E">
        <w:rPr>
          <w:szCs w:val="20"/>
        </w:rPr>
        <w:t xml:space="preserve">, to hold policy discussions on </w:t>
      </w:r>
      <w:r w:rsidR="008A3324" w:rsidRPr="00E2039E">
        <w:t>domestic resource mobili</w:t>
      </w:r>
      <w:r w:rsidR="005B51AD">
        <w:t>s</w:t>
      </w:r>
      <w:r w:rsidR="008A3324" w:rsidRPr="00E2039E">
        <w:t xml:space="preserve">ation and debt sustainability. </w:t>
      </w:r>
      <w:r w:rsidR="0049571C" w:rsidRPr="00E2039E">
        <w:t>Partnerships between UNECA</w:t>
      </w:r>
      <w:r w:rsidR="005B51AD">
        <w:t xml:space="preserve">, </w:t>
      </w:r>
      <w:r w:rsidR="0049571C" w:rsidRPr="00E2039E">
        <w:t>Tax Justice Network Africa</w:t>
      </w:r>
      <w:r w:rsidR="00AA11B8" w:rsidRPr="00E2039E">
        <w:t xml:space="preserve"> and the African Tax Administration Forum</w:t>
      </w:r>
      <w:r w:rsidR="005B51AD">
        <w:t>,</w:t>
      </w:r>
      <w:r w:rsidR="00AA11B8" w:rsidRPr="00E2039E">
        <w:t xml:space="preserve"> were </w:t>
      </w:r>
      <w:r w:rsidR="00143D41">
        <w:t>further</w:t>
      </w:r>
      <w:r w:rsidR="00AA11B8" w:rsidRPr="00E2039E">
        <w:t xml:space="preserve"> established to </w:t>
      </w:r>
      <w:r w:rsidR="00041C66" w:rsidRPr="00E2039E">
        <w:t xml:space="preserve">strengthen policy dialogue on taxation and revenue mobilisation. </w:t>
      </w:r>
      <w:r w:rsidR="00E923C6" w:rsidRPr="00E2039E">
        <w:t xml:space="preserve">UNECA also engaged </w:t>
      </w:r>
      <w:r w:rsidR="00100F8D" w:rsidRPr="00E2039E">
        <w:t xml:space="preserve">the International Budget Partnership and the International Monetary Fund to </w:t>
      </w:r>
      <w:r w:rsidR="00C76F01">
        <w:t>discuss</w:t>
      </w:r>
      <w:r w:rsidR="00100F8D" w:rsidRPr="00E2039E">
        <w:t xml:space="preserve"> </w:t>
      </w:r>
      <w:r w:rsidRPr="00E2039E">
        <w:t>public financial management, transparency and accountability</w:t>
      </w:r>
      <w:r w:rsidR="00100F8D" w:rsidRPr="00E2039E">
        <w:t>.</w:t>
      </w:r>
      <w:r w:rsidR="00100F8D" w:rsidRPr="00E2039E">
        <w:rPr>
          <w:rStyle w:val="FootnoteReference"/>
        </w:rPr>
        <w:footnoteReference w:id="190"/>
      </w:r>
    </w:p>
    <w:p w14:paraId="487DBFF7" w14:textId="5B927232" w:rsidR="003A575B" w:rsidRDefault="005E6807" w:rsidP="00EE394E">
      <w:pPr>
        <w:pStyle w:val="BodyText"/>
        <w:rPr>
          <w:szCs w:val="20"/>
        </w:rPr>
      </w:pPr>
      <w:r>
        <w:rPr>
          <w:szCs w:val="20"/>
        </w:rPr>
        <w:t>There was some measure of discord</w:t>
      </w:r>
      <w:r w:rsidR="00142FD3">
        <w:rPr>
          <w:szCs w:val="20"/>
        </w:rPr>
        <w:t>, however,</w:t>
      </w:r>
      <w:r>
        <w:rPr>
          <w:szCs w:val="20"/>
        </w:rPr>
        <w:t xml:space="preserve"> between </w:t>
      </w:r>
      <w:r w:rsidR="00142FD3">
        <w:rPr>
          <w:szCs w:val="20"/>
        </w:rPr>
        <w:t>Tier 2 entities and UNDP</w:t>
      </w:r>
      <w:r w:rsidR="00C76F01">
        <w:rPr>
          <w:szCs w:val="20"/>
        </w:rPr>
        <w:t>,</w:t>
      </w:r>
      <w:r w:rsidR="00D3439F">
        <w:rPr>
          <w:szCs w:val="20"/>
        </w:rPr>
        <w:t xml:space="preserve"> which contributed </w:t>
      </w:r>
      <w:r w:rsidR="00D3439F">
        <w:rPr>
          <w:szCs w:val="20"/>
        </w:rPr>
        <w:t xml:space="preserve">towards collaboration and coordination challenges. </w:t>
      </w:r>
      <w:r w:rsidR="009F62C7">
        <w:rPr>
          <w:szCs w:val="20"/>
        </w:rPr>
        <w:t xml:space="preserve">The underlying issue was the overlap between project activities and projects that were funded </w:t>
      </w:r>
      <w:r w:rsidR="00053EB0">
        <w:rPr>
          <w:szCs w:val="20"/>
        </w:rPr>
        <w:t>under</w:t>
      </w:r>
      <w:r w:rsidR="00E537CD">
        <w:rPr>
          <w:szCs w:val="20"/>
        </w:rPr>
        <w:t xml:space="preserve"> </w:t>
      </w:r>
      <w:r w:rsidR="009F62C7">
        <w:rPr>
          <w:szCs w:val="20"/>
        </w:rPr>
        <w:t>the</w:t>
      </w:r>
      <w:r w:rsidR="00321856">
        <w:rPr>
          <w:szCs w:val="20"/>
        </w:rPr>
        <w:t xml:space="preserve"> UNDP-managed</w:t>
      </w:r>
      <w:r w:rsidR="009F62C7">
        <w:rPr>
          <w:szCs w:val="20"/>
        </w:rPr>
        <w:t xml:space="preserve"> </w:t>
      </w:r>
      <w:r w:rsidR="00F70B13">
        <w:rPr>
          <w:szCs w:val="20"/>
        </w:rPr>
        <w:t xml:space="preserve">Joint </w:t>
      </w:r>
      <w:r w:rsidR="009F62C7">
        <w:rPr>
          <w:szCs w:val="20"/>
        </w:rPr>
        <w:t>S</w:t>
      </w:r>
      <w:r w:rsidR="006B19A1">
        <w:rPr>
          <w:szCs w:val="20"/>
        </w:rPr>
        <w:t>DG</w:t>
      </w:r>
      <w:r w:rsidR="009F62C7">
        <w:rPr>
          <w:szCs w:val="20"/>
        </w:rPr>
        <w:t xml:space="preserve"> </w:t>
      </w:r>
      <w:r w:rsidR="00F70B13">
        <w:rPr>
          <w:szCs w:val="20"/>
        </w:rPr>
        <w:t>Fund</w:t>
      </w:r>
      <w:r w:rsidR="00E537CD">
        <w:rPr>
          <w:szCs w:val="20"/>
        </w:rPr>
        <w:t xml:space="preserve"> </w:t>
      </w:r>
      <w:r w:rsidR="00053EB0">
        <w:rPr>
          <w:szCs w:val="20"/>
        </w:rPr>
        <w:t>Programme</w:t>
      </w:r>
      <w:r w:rsidR="00F70B13">
        <w:rPr>
          <w:szCs w:val="20"/>
        </w:rPr>
        <w:t>. These project</w:t>
      </w:r>
      <w:r w:rsidR="00B7261D">
        <w:rPr>
          <w:szCs w:val="20"/>
        </w:rPr>
        <w:t>s</w:t>
      </w:r>
      <w:r w:rsidR="00F70B13">
        <w:rPr>
          <w:szCs w:val="20"/>
        </w:rPr>
        <w:t xml:space="preserve"> also supported INFF implementation </w:t>
      </w:r>
      <w:r w:rsidR="00222475">
        <w:rPr>
          <w:szCs w:val="20"/>
        </w:rPr>
        <w:t xml:space="preserve">and were also located </w:t>
      </w:r>
      <w:r w:rsidR="00F70B13">
        <w:rPr>
          <w:szCs w:val="20"/>
        </w:rPr>
        <w:t xml:space="preserve">within </w:t>
      </w:r>
      <w:r w:rsidR="00031C2E">
        <w:rPr>
          <w:szCs w:val="20"/>
        </w:rPr>
        <w:t>identified target countries.</w:t>
      </w:r>
      <w:r w:rsidR="006A06E7">
        <w:rPr>
          <w:rStyle w:val="FootnoteReference"/>
          <w:szCs w:val="20"/>
        </w:rPr>
        <w:footnoteReference w:id="191"/>
      </w:r>
      <w:r w:rsidR="000D1837">
        <w:rPr>
          <w:szCs w:val="20"/>
        </w:rPr>
        <w:t xml:space="preserve"> Within this context, c</w:t>
      </w:r>
      <w:r w:rsidR="00A70D01">
        <w:rPr>
          <w:szCs w:val="20"/>
        </w:rPr>
        <w:t>hallenges to co</w:t>
      </w:r>
      <w:r w:rsidR="002822DD">
        <w:rPr>
          <w:szCs w:val="20"/>
        </w:rPr>
        <w:t>ordination and collaboration occurred in the Dominican Republic; Eg</w:t>
      </w:r>
      <w:r w:rsidR="000D1837">
        <w:rPr>
          <w:szCs w:val="20"/>
        </w:rPr>
        <w:t>ypt</w:t>
      </w:r>
      <w:r w:rsidR="004B74D5">
        <w:rPr>
          <w:szCs w:val="20"/>
        </w:rPr>
        <w:t>;</w:t>
      </w:r>
      <w:r w:rsidR="000D1837">
        <w:rPr>
          <w:szCs w:val="20"/>
        </w:rPr>
        <w:t xml:space="preserve"> and Jordan. </w:t>
      </w:r>
      <w:r w:rsidR="005930C9">
        <w:rPr>
          <w:szCs w:val="20"/>
        </w:rPr>
        <w:t>UNECLAC and UNESCWA engaged UNDP</w:t>
      </w:r>
      <w:r w:rsidR="00CE22F5">
        <w:rPr>
          <w:szCs w:val="20"/>
        </w:rPr>
        <w:t xml:space="preserve">; </w:t>
      </w:r>
      <w:r w:rsidR="004B74D5">
        <w:rPr>
          <w:szCs w:val="20"/>
        </w:rPr>
        <w:t xml:space="preserve">UN </w:t>
      </w:r>
      <w:r w:rsidR="005930C9">
        <w:rPr>
          <w:szCs w:val="20"/>
        </w:rPr>
        <w:t>RCO</w:t>
      </w:r>
      <w:r w:rsidR="00CE22F5">
        <w:rPr>
          <w:szCs w:val="20"/>
        </w:rPr>
        <w:t xml:space="preserve">; and other </w:t>
      </w:r>
      <w:r w:rsidR="00BF014C">
        <w:rPr>
          <w:szCs w:val="20"/>
        </w:rPr>
        <w:t xml:space="preserve">relevant </w:t>
      </w:r>
      <w:r w:rsidR="00DC44D1">
        <w:rPr>
          <w:szCs w:val="20"/>
        </w:rPr>
        <w:t>stakeholder agencies</w:t>
      </w:r>
      <w:r w:rsidR="00EA3103">
        <w:rPr>
          <w:szCs w:val="20"/>
        </w:rPr>
        <w:t xml:space="preserve"> </w:t>
      </w:r>
      <w:r w:rsidR="00BF014C">
        <w:rPr>
          <w:szCs w:val="20"/>
        </w:rPr>
        <w:t xml:space="preserve">in </w:t>
      </w:r>
      <w:r w:rsidR="00266C5C">
        <w:rPr>
          <w:szCs w:val="20"/>
        </w:rPr>
        <w:t>meetings; consultation</w:t>
      </w:r>
      <w:r w:rsidR="00E32132">
        <w:rPr>
          <w:szCs w:val="20"/>
        </w:rPr>
        <w:t>s</w:t>
      </w:r>
      <w:r w:rsidR="00266C5C">
        <w:rPr>
          <w:szCs w:val="20"/>
        </w:rPr>
        <w:t>; and project events</w:t>
      </w:r>
      <w:r w:rsidR="007A0B71">
        <w:rPr>
          <w:szCs w:val="20"/>
        </w:rPr>
        <w:t xml:space="preserve"> to </w:t>
      </w:r>
      <w:r w:rsidR="00F90822">
        <w:rPr>
          <w:szCs w:val="20"/>
        </w:rPr>
        <w:t>support effective mitigation</w:t>
      </w:r>
      <w:r w:rsidR="00461A1C">
        <w:rPr>
          <w:szCs w:val="20"/>
        </w:rPr>
        <w:t>, with measured success</w:t>
      </w:r>
      <w:r w:rsidR="00F90822">
        <w:rPr>
          <w:szCs w:val="20"/>
        </w:rPr>
        <w:t xml:space="preserve">. </w:t>
      </w:r>
    </w:p>
    <w:p w14:paraId="6A6D19A7" w14:textId="63007479" w:rsidR="00364497" w:rsidRDefault="003A575B" w:rsidP="00EE394E">
      <w:pPr>
        <w:pStyle w:val="BodyText"/>
        <w:rPr>
          <w:szCs w:val="20"/>
        </w:rPr>
      </w:pPr>
      <w:r>
        <w:rPr>
          <w:szCs w:val="20"/>
        </w:rPr>
        <w:t xml:space="preserve">Efforts to facilitate a similar level of collaboration in Indonesia were unsuccessful. Indonesia </w:t>
      </w:r>
      <w:r w:rsidR="00E91535">
        <w:rPr>
          <w:szCs w:val="20"/>
        </w:rPr>
        <w:t xml:space="preserve">was </w:t>
      </w:r>
      <w:r w:rsidR="00DF1804">
        <w:rPr>
          <w:szCs w:val="20"/>
        </w:rPr>
        <w:t>initially</w:t>
      </w:r>
      <w:r w:rsidR="00E91535">
        <w:rPr>
          <w:szCs w:val="20"/>
        </w:rPr>
        <w:t xml:space="preserve"> selected as a </w:t>
      </w:r>
      <w:r w:rsidR="000260C2">
        <w:rPr>
          <w:szCs w:val="20"/>
        </w:rPr>
        <w:t xml:space="preserve">target </w:t>
      </w:r>
      <w:r w:rsidR="00E91535">
        <w:rPr>
          <w:szCs w:val="20"/>
        </w:rPr>
        <w:t>country</w:t>
      </w:r>
      <w:r w:rsidR="000260C2">
        <w:rPr>
          <w:szCs w:val="20"/>
        </w:rPr>
        <w:t>,</w:t>
      </w:r>
      <w:r w:rsidR="00E91535">
        <w:rPr>
          <w:szCs w:val="20"/>
        </w:rPr>
        <w:t xml:space="preserve"> but was replaced by Samoa in 2023 </w:t>
      </w:r>
      <w:r w:rsidR="00C6467A">
        <w:rPr>
          <w:szCs w:val="20"/>
        </w:rPr>
        <w:t>as</w:t>
      </w:r>
      <w:r w:rsidR="00E91535">
        <w:rPr>
          <w:szCs w:val="20"/>
        </w:rPr>
        <w:t xml:space="preserve"> </w:t>
      </w:r>
      <w:r w:rsidR="00F82451">
        <w:rPr>
          <w:szCs w:val="20"/>
        </w:rPr>
        <w:t>limited collaboration</w:t>
      </w:r>
      <w:r w:rsidR="00CE0CC3">
        <w:rPr>
          <w:szCs w:val="20"/>
        </w:rPr>
        <w:t xml:space="preserve"> </w:t>
      </w:r>
      <w:r w:rsidR="003E1B51">
        <w:rPr>
          <w:szCs w:val="20"/>
        </w:rPr>
        <w:t>by</w:t>
      </w:r>
      <w:r w:rsidR="00CE0CC3">
        <w:rPr>
          <w:szCs w:val="20"/>
        </w:rPr>
        <w:t xml:space="preserve"> UN</w:t>
      </w:r>
      <w:r w:rsidR="003E1B51">
        <w:rPr>
          <w:szCs w:val="20"/>
        </w:rPr>
        <w:t>CTs</w:t>
      </w:r>
      <w:r w:rsidR="00CE0CC3">
        <w:rPr>
          <w:szCs w:val="20"/>
        </w:rPr>
        <w:t xml:space="preserve"> delayed project start-up. </w:t>
      </w:r>
      <w:r w:rsidR="00FD2AD7">
        <w:rPr>
          <w:szCs w:val="20"/>
        </w:rPr>
        <w:t>A</w:t>
      </w:r>
      <w:r w:rsidR="00923ACF">
        <w:rPr>
          <w:szCs w:val="20"/>
        </w:rPr>
        <w:t>s</w:t>
      </w:r>
      <w:r w:rsidR="00A41E5B">
        <w:rPr>
          <w:szCs w:val="20"/>
        </w:rPr>
        <w:t xml:space="preserve"> Samoa had met the project selection criteri</w:t>
      </w:r>
      <w:r w:rsidR="00FD2AD7">
        <w:rPr>
          <w:szCs w:val="20"/>
        </w:rPr>
        <w:t xml:space="preserve">a, the rationale for the replacement was sound. </w:t>
      </w:r>
      <w:r w:rsidR="00785FC9">
        <w:rPr>
          <w:szCs w:val="20"/>
        </w:rPr>
        <w:t>The choice of replacement country created a new challenge for the project, however, as Samoa was a</w:t>
      </w:r>
      <w:r w:rsidR="003D78A9">
        <w:rPr>
          <w:szCs w:val="20"/>
        </w:rPr>
        <w:t xml:space="preserve"> small-island developing State with low human resource capacity </w:t>
      </w:r>
      <w:r w:rsidR="00326E7E">
        <w:rPr>
          <w:szCs w:val="20"/>
        </w:rPr>
        <w:t>in</w:t>
      </w:r>
      <w:r w:rsidR="00C93926">
        <w:rPr>
          <w:szCs w:val="20"/>
        </w:rPr>
        <w:t xml:space="preserve"> public administration</w:t>
      </w:r>
      <w:r w:rsidR="00923ACF">
        <w:rPr>
          <w:szCs w:val="20"/>
        </w:rPr>
        <w:t xml:space="preserve">. </w:t>
      </w:r>
    </w:p>
    <w:p w14:paraId="32C3311F" w14:textId="4C5BD1C1" w:rsidR="00364497" w:rsidRPr="00AB22DF" w:rsidRDefault="00221B08" w:rsidP="00EE394E">
      <w:pPr>
        <w:pStyle w:val="BodyText"/>
        <w:rPr>
          <w:szCs w:val="20"/>
        </w:rPr>
      </w:pPr>
      <w:r>
        <w:rPr>
          <w:szCs w:val="20"/>
        </w:rPr>
        <w:t>At the level of awareness and government engagement,</w:t>
      </w:r>
      <w:r w:rsidR="00667B81">
        <w:rPr>
          <w:szCs w:val="20"/>
        </w:rPr>
        <w:t xml:space="preserve"> the Tier 2 entities facilitated ongoing dialogue through </w:t>
      </w:r>
      <w:r w:rsidR="00667B81" w:rsidRPr="00A637E9">
        <w:t>regular stakeholder meetings and engagement activities</w:t>
      </w:r>
      <w:r w:rsidR="00667B81">
        <w:t xml:space="preserve"> to raise and sustain stakeholder awareness about the INFF methodology.</w:t>
      </w:r>
      <w:r w:rsidR="00667B81">
        <w:rPr>
          <w:rStyle w:val="FootnoteReference"/>
        </w:rPr>
        <w:footnoteReference w:id="192"/>
      </w:r>
      <w:r w:rsidR="00667B81">
        <w:t xml:space="preserve"> In Pakistan, however, a</w:t>
      </w:r>
      <w:r w:rsidR="00EB2E72">
        <w:rPr>
          <w:szCs w:val="20"/>
        </w:rPr>
        <w:t xml:space="preserve"> low awareness about INFFs </w:t>
      </w:r>
      <w:r w:rsidR="006708A8">
        <w:rPr>
          <w:szCs w:val="20"/>
        </w:rPr>
        <w:t xml:space="preserve">contributed towards </w:t>
      </w:r>
      <w:r w:rsidR="00AD6101">
        <w:rPr>
          <w:szCs w:val="20"/>
        </w:rPr>
        <w:t xml:space="preserve">a lack of governmental buy-in for </w:t>
      </w:r>
      <w:r w:rsidR="00566D48">
        <w:rPr>
          <w:szCs w:val="20"/>
        </w:rPr>
        <w:t xml:space="preserve">the </w:t>
      </w:r>
      <w:r w:rsidR="00AD6101">
        <w:rPr>
          <w:szCs w:val="20"/>
        </w:rPr>
        <w:t xml:space="preserve">project. </w:t>
      </w:r>
      <w:r w:rsidR="00BE1F34">
        <w:rPr>
          <w:szCs w:val="20"/>
        </w:rPr>
        <w:t xml:space="preserve">Although UNESCAP engaged </w:t>
      </w:r>
      <w:r w:rsidR="004031CD">
        <w:rPr>
          <w:szCs w:val="20"/>
        </w:rPr>
        <w:t>the Federal Board of Revenue</w:t>
      </w:r>
      <w:r w:rsidR="00C543CB">
        <w:rPr>
          <w:szCs w:val="20"/>
        </w:rPr>
        <w:t xml:space="preserve"> (FBR) </w:t>
      </w:r>
      <w:r w:rsidR="004031CD">
        <w:rPr>
          <w:szCs w:val="20"/>
        </w:rPr>
        <w:t>in project activities, delays to impl</w:t>
      </w:r>
      <w:r w:rsidR="00C543CB">
        <w:rPr>
          <w:szCs w:val="20"/>
        </w:rPr>
        <w:t>ementation</w:t>
      </w:r>
      <w:r w:rsidR="00101D99">
        <w:rPr>
          <w:szCs w:val="20"/>
        </w:rPr>
        <w:t xml:space="preserve"> result</w:t>
      </w:r>
      <w:r w:rsidR="00DB1705">
        <w:rPr>
          <w:szCs w:val="20"/>
        </w:rPr>
        <w:t>ed</w:t>
      </w:r>
      <w:r w:rsidR="00431453">
        <w:rPr>
          <w:szCs w:val="20"/>
        </w:rPr>
        <w:t xml:space="preserve"> from </w:t>
      </w:r>
      <w:r w:rsidR="00B75F0D">
        <w:rPr>
          <w:szCs w:val="20"/>
        </w:rPr>
        <w:t>a</w:t>
      </w:r>
      <w:r w:rsidR="008953CC">
        <w:rPr>
          <w:szCs w:val="20"/>
        </w:rPr>
        <w:t xml:space="preserve"> dis</w:t>
      </w:r>
      <w:r w:rsidR="00B75F0D">
        <w:rPr>
          <w:szCs w:val="20"/>
        </w:rPr>
        <w:t xml:space="preserve">connection </w:t>
      </w:r>
      <w:r w:rsidR="00BD00A9">
        <w:rPr>
          <w:szCs w:val="20"/>
        </w:rPr>
        <w:t>with the project focal points</w:t>
      </w:r>
      <w:r w:rsidR="00C543CB">
        <w:rPr>
          <w:szCs w:val="20"/>
        </w:rPr>
        <w:t>.</w:t>
      </w:r>
      <w:r w:rsidR="00101D99">
        <w:rPr>
          <w:rStyle w:val="FootnoteReference"/>
          <w:szCs w:val="20"/>
        </w:rPr>
        <w:footnoteReference w:id="193"/>
      </w:r>
      <w:r w:rsidR="000364E8">
        <w:rPr>
          <w:szCs w:val="20"/>
        </w:rPr>
        <w:t xml:space="preserve"> </w:t>
      </w:r>
      <w:r w:rsidR="0032253A">
        <w:rPr>
          <w:szCs w:val="20"/>
        </w:rPr>
        <w:t>A</w:t>
      </w:r>
      <w:r w:rsidR="003D6311">
        <w:rPr>
          <w:szCs w:val="20"/>
        </w:rPr>
        <w:t xml:space="preserve">s of the end of the project, </w:t>
      </w:r>
      <w:r w:rsidR="0031226A">
        <w:rPr>
          <w:szCs w:val="20"/>
        </w:rPr>
        <w:t xml:space="preserve">FBR </w:t>
      </w:r>
      <w:r w:rsidR="00C543CB">
        <w:rPr>
          <w:szCs w:val="20"/>
        </w:rPr>
        <w:t xml:space="preserve">had </w:t>
      </w:r>
      <w:r w:rsidR="003D6311">
        <w:rPr>
          <w:szCs w:val="20"/>
        </w:rPr>
        <w:t xml:space="preserve">also </w:t>
      </w:r>
      <w:r w:rsidR="005F7BFE">
        <w:rPr>
          <w:szCs w:val="20"/>
        </w:rPr>
        <w:t xml:space="preserve">not taken a decision to proceed with INFF </w:t>
      </w:r>
      <w:r w:rsidR="009A1B07">
        <w:rPr>
          <w:szCs w:val="20"/>
        </w:rPr>
        <w:t>development</w:t>
      </w:r>
      <w:r w:rsidR="004626BE">
        <w:rPr>
          <w:szCs w:val="20"/>
        </w:rPr>
        <w:t xml:space="preserve">. </w:t>
      </w:r>
    </w:p>
    <w:p w14:paraId="2E1E63A1" w14:textId="63294A6F" w:rsidR="001C258A" w:rsidRDefault="000440FC" w:rsidP="00EE394E">
      <w:pPr>
        <w:pStyle w:val="BodyText"/>
        <w:rPr>
          <w:szCs w:val="20"/>
        </w:rPr>
      </w:pPr>
      <w:r>
        <w:rPr>
          <w:szCs w:val="20"/>
        </w:rPr>
        <w:t>W</w:t>
      </w:r>
      <w:r w:rsidR="00CA0007">
        <w:rPr>
          <w:szCs w:val="20"/>
        </w:rPr>
        <w:t xml:space="preserve">hile the challenges of coordination/ collaboration and awareness/ government engagement were resolved </w:t>
      </w:r>
      <w:r w:rsidR="004C69EB">
        <w:rPr>
          <w:szCs w:val="20"/>
        </w:rPr>
        <w:t xml:space="preserve">during the first two years of the project, the challenge of </w:t>
      </w:r>
      <w:r w:rsidR="006E678A">
        <w:rPr>
          <w:szCs w:val="20"/>
        </w:rPr>
        <w:t xml:space="preserve">a volatile geopolitical climate persisted </w:t>
      </w:r>
      <w:r w:rsidR="006E678A">
        <w:rPr>
          <w:szCs w:val="20"/>
        </w:rPr>
        <w:lastRenderedPageBreak/>
        <w:t>through</w:t>
      </w:r>
      <w:r w:rsidR="008C259D">
        <w:rPr>
          <w:szCs w:val="20"/>
        </w:rPr>
        <w:t>out</w:t>
      </w:r>
      <w:r w:rsidR="006E678A">
        <w:rPr>
          <w:szCs w:val="20"/>
        </w:rPr>
        <w:t xml:space="preserve"> the project.</w:t>
      </w:r>
      <w:r w:rsidR="008C78CA" w:rsidRPr="008C78CA">
        <w:rPr>
          <w:rStyle w:val="FootnoteReference"/>
        </w:rPr>
        <w:t xml:space="preserve"> </w:t>
      </w:r>
      <w:r w:rsidR="008C78CA">
        <w:rPr>
          <w:rStyle w:val="FootnoteReference"/>
        </w:rPr>
        <w:footnoteReference w:id="194"/>
      </w:r>
      <w:r w:rsidR="006E678A">
        <w:rPr>
          <w:szCs w:val="20"/>
        </w:rPr>
        <w:t xml:space="preserve"> </w:t>
      </w:r>
      <w:r w:rsidR="004E2148">
        <w:rPr>
          <w:szCs w:val="20"/>
        </w:rPr>
        <w:t xml:space="preserve">Political instability </w:t>
      </w:r>
      <w:r w:rsidR="00E67594">
        <w:rPr>
          <w:szCs w:val="20"/>
        </w:rPr>
        <w:t>c</w:t>
      </w:r>
      <w:r w:rsidR="00D31FCA">
        <w:rPr>
          <w:szCs w:val="20"/>
        </w:rPr>
        <w:t xml:space="preserve">hallenged </w:t>
      </w:r>
      <w:r w:rsidR="000C60E9">
        <w:rPr>
          <w:szCs w:val="20"/>
        </w:rPr>
        <w:t>project implementation</w:t>
      </w:r>
      <w:r w:rsidR="00E67594">
        <w:rPr>
          <w:szCs w:val="20"/>
        </w:rPr>
        <w:t xml:space="preserve"> in </w:t>
      </w:r>
      <w:r w:rsidR="00D31FCA">
        <w:rPr>
          <w:szCs w:val="20"/>
        </w:rPr>
        <w:t xml:space="preserve">six target countries (Belarus; </w:t>
      </w:r>
      <w:r w:rsidR="000C60E9">
        <w:rPr>
          <w:szCs w:val="20"/>
        </w:rPr>
        <w:t xml:space="preserve">Burkina Faso; </w:t>
      </w:r>
      <w:r w:rsidR="00AC2F69">
        <w:rPr>
          <w:szCs w:val="20"/>
        </w:rPr>
        <w:t>Colombia; Costa Rica; Jordan; and Pakistan)</w:t>
      </w:r>
      <w:r w:rsidR="00772792">
        <w:rPr>
          <w:szCs w:val="20"/>
        </w:rPr>
        <w:t>, four of which were conflict-affected</w:t>
      </w:r>
      <w:r w:rsidR="00FD4258">
        <w:rPr>
          <w:szCs w:val="20"/>
        </w:rPr>
        <w:t xml:space="preserve"> (Belarus; Burkina Faso; Jordan; and Pakistan)</w:t>
      </w:r>
      <w:r w:rsidR="00772792">
        <w:rPr>
          <w:szCs w:val="20"/>
        </w:rPr>
        <w:t xml:space="preserve">. </w:t>
      </w:r>
      <w:r w:rsidR="005B2F3B">
        <w:rPr>
          <w:szCs w:val="20"/>
        </w:rPr>
        <w:t xml:space="preserve">As </w:t>
      </w:r>
      <w:r w:rsidR="00090520">
        <w:rPr>
          <w:szCs w:val="20"/>
        </w:rPr>
        <w:t>Pakista</w:t>
      </w:r>
      <w:r w:rsidR="005B2F3B">
        <w:rPr>
          <w:szCs w:val="20"/>
        </w:rPr>
        <w:t xml:space="preserve">n was also affected by </w:t>
      </w:r>
      <w:r w:rsidR="00226F37">
        <w:rPr>
          <w:szCs w:val="20"/>
        </w:rPr>
        <w:t xml:space="preserve">flooding, </w:t>
      </w:r>
      <w:r w:rsidR="00B8798C">
        <w:rPr>
          <w:szCs w:val="20"/>
        </w:rPr>
        <w:t>it was challenging for UNESCAP to engage some project stakeholders.</w:t>
      </w:r>
      <w:r w:rsidR="004D7F90">
        <w:rPr>
          <w:szCs w:val="20"/>
        </w:rPr>
        <w:t xml:space="preserve"> </w:t>
      </w:r>
    </w:p>
    <w:p w14:paraId="5E5B9963" w14:textId="77777777" w:rsidR="000442F1" w:rsidRDefault="00CC6AB5" w:rsidP="00EE394E">
      <w:pPr>
        <w:pStyle w:val="BodyText"/>
        <w:rPr>
          <w:szCs w:val="20"/>
        </w:rPr>
      </w:pPr>
      <w:r>
        <w:rPr>
          <w:szCs w:val="20"/>
        </w:rPr>
        <w:t>V</w:t>
      </w:r>
      <w:r w:rsidR="00165E6E">
        <w:rPr>
          <w:szCs w:val="20"/>
        </w:rPr>
        <w:t xml:space="preserve">irtual </w:t>
      </w:r>
      <w:r>
        <w:rPr>
          <w:szCs w:val="20"/>
        </w:rPr>
        <w:t>interface was used</w:t>
      </w:r>
      <w:r w:rsidR="00733A2E">
        <w:rPr>
          <w:szCs w:val="20"/>
        </w:rPr>
        <w:t xml:space="preserve"> </w:t>
      </w:r>
      <w:r w:rsidR="00F336A2">
        <w:rPr>
          <w:szCs w:val="20"/>
        </w:rPr>
        <w:t xml:space="preserve">successfully </w:t>
      </w:r>
      <w:r>
        <w:rPr>
          <w:szCs w:val="20"/>
        </w:rPr>
        <w:t xml:space="preserve">to </w:t>
      </w:r>
      <w:r w:rsidR="001E3FCB">
        <w:rPr>
          <w:szCs w:val="20"/>
        </w:rPr>
        <w:t xml:space="preserve">mitigate </w:t>
      </w:r>
      <w:r w:rsidR="00243163">
        <w:rPr>
          <w:szCs w:val="20"/>
        </w:rPr>
        <w:t>travel restrictions</w:t>
      </w:r>
      <w:r w:rsidR="001C258A">
        <w:rPr>
          <w:szCs w:val="20"/>
        </w:rPr>
        <w:t xml:space="preserve"> </w:t>
      </w:r>
      <w:r w:rsidR="00243163">
        <w:rPr>
          <w:szCs w:val="20"/>
        </w:rPr>
        <w:t>to</w:t>
      </w:r>
      <w:r w:rsidR="006D0524">
        <w:rPr>
          <w:szCs w:val="20"/>
        </w:rPr>
        <w:t xml:space="preserve"> conflict-affected target countries</w:t>
      </w:r>
      <w:r w:rsidR="00724E5E">
        <w:rPr>
          <w:szCs w:val="20"/>
        </w:rPr>
        <w:t xml:space="preserve">. </w:t>
      </w:r>
      <w:r w:rsidR="001F6D7C">
        <w:rPr>
          <w:szCs w:val="20"/>
        </w:rPr>
        <w:t>During the development of guidance material and the facilitation of assessments</w:t>
      </w:r>
      <w:r w:rsidR="00591F24">
        <w:rPr>
          <w:szCs w:val="20"/>
        </w:rPr>
        <w:t xml:space="preserve">, each process </w:t>
      </w:r>
      <w:r w:rsidR="00243163">
        <w:rPr>
          <w:szCs w:val="20"/>
        </w:rPr>
        <w:t>was supported by desk review,</w:t>
      </w:r>
      <w:r w:rsidR="0006412D">
        <w:rPr>
          <w:szCs w:val="20"/>
        </w:rPr>
        <w:t xml:space="preserve"> </w:t>
      </w:r>
      <w:r w:rsidR="00243163">
        <w:rPr>
          <w:szCs w:val="20"/>
        </w:rPr>
        <w:t>as applicable</w:t>
      </w:r>
      <w:r w:rsidR="006D0524">
        <w:rPr>
          <w:szCs w:val="20"/>
        </w:rPr>
        <w:t xml:space="preserve">. </w:t>
      </w:r>
      <w:r w:rsidR="009D5C0B">
        <w:rPr>
          <w:szCs w:val="20"/>
        </w:rPr>
        <w:t xml:space="preserve">It was necessary, however, </w:t>
      </w:r>
      <w:r w:rsidR="007E4FA6">
        <w:rPr>
          <w:szCs w:val="20"/>
        </w:rPr>
        <w:t xml:space="preserve">for UNCTAD to cancel two workshops in Pakistan because of </w:t>
      </w:r>
      <w:r w:rsidR="00C87FFA">
        <w:rPr>
          <w:szCs w:val="20"/>
        </w:rPr>
        <w:t xml:space="preserve">social unrest </w:t>
      </w:r>
      <w:r w:rsidR="007B43C9">
        <w:rPr>
          <w:szCs w:val="20"/>
        </w:rPr>
        <w:t>during</w:t>
      </w:r>
      <w:r w:rsidR="00C87FFA">
        <w:rPr>
          <w:szCs w:val="20"/>
        </w:rPr>
        <w:t xml:space="preserve"> the 2024 general elections. </w:t>
      </w:r>
      <w:r w:rsidR="00A30CFF">
        <w:rPr>
          <w:szCs w:val="20"/>
        </w:rPr>
        <w:t>In Colombia, as</w:t>
      </w:r>
      <w:r w:rsidR="00F336A2">
        <w:rPr>
          <w:szCs w:val="20"/>
        </w:rPr>
        <w:t xml:space="preserve"> the level of instability resulted from a change of government and was in the form of delayed implementation, </w:t>
      </w:r>
      <w:r w:rsidR="00D842A8">
        <w:rPr>
          <w:szCs w:val="20"/>
        </w:rPr>
        <w:t>the project</w:t>
      </w:r>
      <w:r w:rsidR="00D842A8" w:rsidRPr="00D842A8">
        <w:rPr>
          <w:szCs w:val="20"/>
        </w:rPr>
        <w:t xml:space="preserve"> </w:t>
      </w:r>
      <w:r w:rsidR="00D842A8">
        <w:rPr>
          <w:szCs w:val="20"/>
        </w:rPr>
        <w:t>engaged the Dominican Republic as a replacement country.</w:t>
      </w:r>
      <w:r w:rsidR="008C78CA">
        <w:rPr>
          <w:rStyle w:val="FootnoteReference"/>
          <w:szCs w:val="20"/>
        </w:rPr>
        <w:footnoteReference w:id="195"/>
      </w:r>
      <w:r w:rsidR="008E6F60">
        <w:rPr>
          <w:szCs w:val="20"/>
        </w:rPr>
        <w:t xml:space="preserve"> </w:t>
      </w:r>
    </w:p>
    <w:p w14:paraId="1A06E772" w14:textId="1F228405" w:rsidR="00F336A2" w:rsidRDefault="00C1113E" w:rsidP="005A281A">
      <w:pPr>
        <w:pStyle w:val="BodyText"/>
        <w:rPr>
          <w:szCs w:val="20"/>
        </w:rPr>
      </w:pPr>
      <w:r>
        <w:rPr>
          <w:szCs w:val="20"/>
        </w:rPr>
        <w:t>Th</w:t>
      </w:r>
      <w:r w:rsidR="00AA7CDF">
        <w:rPr>
          <w:szCs w:val="20"/>
        </w:rPr>
        <w:t xml:space="preserve">e </w:t>
      </w:r>
      <w:r w:rsidR="008E6F60">
        <w:rPr>
          <w:szCs w:val="20"/>
        </w:rPr>
        <w:t>selection of the Dominican Republic</w:t>
      </w:r>
      <w:r w:rsidR="00AA7CDF">
        <w:rPr>
          <w:szCs w:val="20"/>
        </w:rPr>
        <w:t xml:space="preserve"> was appropriate, as </w:t>
      </w:r>
      <w:r>
        <w:rPr>
          <w:szCs w:val="20"/>
        </w:rPr>
        <w:t xml:space="preserve">the country had met the </w:t>
      </w:r>
      <w:r w:rsidR="00324C22">
        <w:rPr>
          <w:szCs w:val="20"/>
        </w:rPr>
        <w:t xml:space="preserve">project </w:t>
      </w:r>
      <w:r>
        <w:rPr>
          <w:szCs w:val="20"/>
        </w:rPr>
        <w:t>selection criteria.</w:t>
      </w:r>
      <w:r w:rsidR="00D76F7E">
        <w:rPr>
          <w:szCs w:val="20"/>
        </w:rPr>
        <w:t xml:space="preserve"> </w:t>
      </w:r>
      <w:r w:rsidR="00C62680">
        <w:rPr>
          <w:szCs w:val="20"/>
        </w:rPr>
        <w:t>Significantly, although the Do</w:t>
      </w:r>
      <w:r w:rsidR="00A81766">
        <w:rPr>
          <w:szCs w:val="20"/>
        </w:rPr>
        <w:t xml:space="preserve">minican Republic </w:t>
      </w:r>
      <w:r w:rsidR="00D55E0F">
        <w:rPr>
          <w:szCs w:val="20"/>
        </w:rPr>
        <w:t>was already being supported through the UNDESA FINS project</w:t>
      </w:r>
      <w:r w:rsidR="00EA0ECB">
        <w:rPr>
          <w:szCs w:val="20"/>
        </w:rPr>
        <w:t>,</w:t>
      </w:r>
      <w:r w:rsidR="00AD66E5">
        <w:rPr>
          <w:szCs w:val="20"/>
        </w:rPr>
        <w:t xml:space="preserve"> there was no element of duplication as</w:t>
      </w:r>
      <w:r w:rsidR="007F45D4">
        <w:rPr>
          <w:szCs w:val="20"/>
        </w:rPr>
        <w:t xml:space="preserve"> </w:t>
      </w:r>
      <w:r w:rsidR="00FA1749">
        <w:rPr>
          <w:szCs w:val="20"/>
        </w:rPr>
        <w:t xml:space="preserve">the </w:t>
      </w:r>
      <w:r w:rsidR="007F45D4">
        <w:rPr>
          <w:szCs w:val="20"/>
        </w:rPr>
        <w:t>projects were complementary</w:t>
      </w:r>
      <w:r w:rsidR="001040CE">
        <w:rPr>
          <w:szCs w:val="20"/>
        </w:rPr>
        <w:t>.</w:t>
      </w:r>
      <w:r w:rsidR="001040CE">
        <w:rPr>
          <w:rStyle w:val="FootnoteReference"/>
          <w:szCs w:val="20"/>
        </w:rPr>
        <w:footnoteReference w:id="196"/>
      </w:r>
      <w:r w:rsidR="003F0605">
        <w:rPr>
          <w:szCs w:val="20"/>
        </w:rPr>
        <w:t xml:space="preserve"> </w:t>
      </w:r>
      <w:r w:rsidR="00EF35E6">
        <w:rPr>
          <w:szCs w:val="20"/>
        </w:rPr>
        <w:t xml:space="preserve">The selection of the Dominican Republic </w:t>
      </w:r>
      <w:r w:rsidR="00DC69F9">
        <w:rPr>
          <w:szCs w:val="20"/>
        </w:rPr>
        <w:t>was also largely informed by the</w:t>
      </w:r>
      <w:r w:rsidR="00CD4247">
        <w:rPr>
          <w:szCs w:val="20"/>
        </w:rPr>
        <w:t xml:space="preserve"> </w:t>
      </w:r>
      <w:r w:rsidR="00C87990">
        <w:rPr>
          <w:szCs w:val="20"/>
        </w:rPr>
        <w:t xml:space="preserve">interest of the country in INFF implementation, as well as its experience with this process through the FINS project. </w:t>
      </w:r>
      <w:r w:rsidR="002E6D15">
        <w:rPr>
          <w:szCs w:val="20"/>
        </w:rPr>
        <w:t xml:space="preserve">Based on the late replacement of Colombia, however, the project continued to face implementation delays. </w:t>
      </w:r>
      <w:r w:rsidR="00A33359">
        <w:rPr>
          <w:szCs w:val="20"/>
        </w:rPr>
        <w:t xml:space="preserve">To further support project implementation, however, </w:t>
      </w:r>
      <w:r w:rsidR="00E71C68">
        <w:rPr>
          <w:szCs w:val="20"/>
        </w:rPr>
        <w:t>the Dominican Republic engaged Colombia</w:t>
      </w:r>
      <w:r w:rsidR="00E71C68" w:rsidRPr="00E71C68">
        <w:rPr>
          <w:szCs w:val="20"/>
        </w:rPr>
        <w:t xml:space="preserve"> </w:t>
      </w:r>
      <w:r w:rsidR="00E71C68">
        <w:rPr>
          <w:szCs w:val="20"/>
        </w:rPr>
        <w:t>during the regional event at the final global workshop, to learn more about their experience wit</w:t>
      </w:r>
      <w:r w:rsidR="00B140D3">
        <w:rPr>
          <w:szCs w:val="20"/>
        </w:rPr>
        <w:t xml:space="preserve">h INFFs. </w:t>
      </w:r>
      <w:r w:rsidR="005A281A">
        <w:rPr>
          <w:szCs w:val="20"/>
        </w:rPr>
        <w:t xml:space="preserve">The interface between </w:t>
      </w:r>
      <w:r w:rsidR="00AB2A4C">
        <w:rPr>
          <w:szCs w:val="20"/>
        </w:rPr>
        <w:t>the</w:t>
      </w:r>
      <w:r w:rsidR="005A281A">
        <w:rPr>
          <w:szCs w:val="20"/>
        </w:rPr>
        <w:t xml:space="preserve"> countries was arranged in collabo</w:t>
      </w:r>
      <w:r w:rsidR="00B94FD5">
        <w:rPr>
          <w:szCs w:val="20"/>
        </w:rPr>
        <w:t>ration with UNECLAC.</w:t>
      </w:r>
    </w:p>
    <w:p w14:paraId="254C2D31" w14:textId="0AB6E191" w:rsidR="008C78CA" w:rsidRDefault="006E3306" w:rsidP="00EE394E">
      <w:pPr>
        <w:pStyle w:val="BodyText"/>
        <w:rPr>
          <w:szCs w:val="20"/>
        </w:rPr>
      </w:pPr>
      <w:r>
        <w:rPr>
          <w:szCs w:val="20"/>
        </w:rPr>
        <w:t>P</w:t>
      </w:r>
      <w:r w:rsidR="00572153">
        <w:rPr>
          <w:szCs w:val="20"/>
        </w:rPr>
        <w:t xml:space="preserve">roject implementation in </w:t>
      </w:r>
      <w:r w:rsidR="008169BD">
        <w:rPr>
          <w:szCs w:val="20"/>
        </w:rPr>
        <w:t xml:space="preserve">Costa Rica </w:t>
      </w:r>
      <w:r w:rsidR="00572153">
        <w:rPr>
          <w:szCs w:val="20"/>
        </w:rPr>
        <w:t>was also challenged by delay</w:t>
      </w:r>
      <w:r w:rsidR="00BA108F">
        <w:rPr>
          <w:szCs w:val="20"/>
        </w:rPr>
        <w:t xml:space="preserve">s </w:t>
      </w:r>
      <w:r w:rsidR="00B87157">
        <w:rPr>
          <w:szCs w:val="20"/>
        </w:rPr>
        <w:t>t</w:t>
      </w:r>
      <w:r w:rsidR="00335CFB">
        <w:rPr>
          <w:szCs w:val="20"/>
        </w:rPr>
        <w:t xml:space="preserve">hat </w:t>
      </w:r>
      <w:r w:rsidR="00450D9C">
        <w:rPr>
          <w:szCs w:val="20"/>
        </w:rPr>
        <w:t xml:space="preserve">resulted </w:t>
      </w:r>
      <w:r w:rsidR="00335CFB">
        <w:rPr>
          <w:szCs w:val="20"/>
        </w:rPr>
        <w:t xml:space="preserve">from </w:t>
      </w:r>
      <w:r w:rsidR="00572153">
        <w:rPr>
          <w:szCs w:val="20"/>
        </w:rPr>
        <w:t>a change o</w:t>
      </w:r>
      <w:r w:rsidR="00335CFB">
        <w:rPr>
          <w:szCs w:val="20"/>
        </w:rPr>
        <w:t>f</w:t>
      </w:r>
      <w:r w:rsidR="00572153">
        <w:rPr>
          <w:szCs w:val="20"/>
        </w:rPr>
        <w:t xml:space="preserve"> government. </w:t>
      </w:r>
      <w:r w:rsidR="00AE4080">
        <w:rPr>
          <w:szCs w:val="20"/>
        </w:rPr>
        <w:t xml:space="preserve">Meetings between </w:t>
      </w:r>
      <w:r w:rsidR="00F63C9E">
        <w:rPr>
          <w:szCs w:val="20"/>
        </w:rPr>
        <w:t xml:space="preserve">UNECLAC </w:t>
      </w:r>
      <w:r w:rsidR="00AE4080">
        <w:rPr>
          <w:szCs w:val="20"/>
        </w:rPr>
        <w:t xml:space="preserve">and </w:t>
      </w:r>
      <w:r w:rsidR="0063717A">
        <w:rPr>
          <w:szCs w:val="20"/>
        </w:rPr>
        <w:t>high-level g</w:t>
      </w:r>
      <w:r w:rsidR="00AE4080">
        <w:rPr>
          <w:szCs w:val="20"/>
        </w:rPr>
        <w:t xml:space="preserve">overnment </w:t>
      </w:r>
      <w:r w:rsidR="0063717A">
        <w:rPr>
          <w:szCs w:val="20"/>
        </w:rPr>
        <w:t xml:space="preserve">officials at the Ministry of Finance </w:t>
      </w:r>
      <w:r w:rsidR="00AE4080">
        <w:rPr>
          <w:szCs w:val="20"/>
        </w:rPr>
        <w:t>contributed towards m</w:t>
      </w:r>
      <w:r w:rsidR="00F63C9E">
        <w:rPr>
          <w:szCs w:val="20"/>
        </w:rPr>
        <w:t>itigation</w:t>
      </w:r>
      <w:r w:rsidR="00397C01">
        <w:rPr>
          <w:szCs w:val="20"/>
        </w:rPr>
        <w:t xml:space="preserve">. This led to the </w:t>
      </w:r>
      <w:r w:rsidR="00640674">
        <w:rPr>
          <w:szCs w:val="20"/>
        </w:rPr>
        <w:t xml:space="preserve">timely completion of </w:t>
      </w:r>
      <w:r w:rsidR="0063717A">
        <w:rPr>
          <w:szCs w:val="20"/>
        </w:rPr>
        <w:t xml:space="preserve">project activities. </w:t>
      </w:r>
    </w:p>
    <w:p w14:paraId="3E82B2E3" w14:textId="4D3A6BD4" w:rsidR="00A50E13" w:rsidRDefault="00EC1611" w:rsidP="00770CBB">
      <w:pPr>
        <w:pStyle w:val="BodyText"/>
        <w:rPr>
          <w:szCs w:val="20"/>
        </w:rPr>
      </w:pPr>
      <w:r>
        <w:rPr>
          <w:szCs w:val="20"/>
        </w:rPr>
        <w:t xml:space="preserve">As </w:t>
      </w:r>
      <w:r w:rsidR="00770CBB">
        <w:rPr>
          <w:szCs w:val="20"/>
        </w:rPr>
        <w:t>the</w:t>
      </w:r>
      <w:r w:rsidR="00156872">
        <w:rPr>
          <w:szCs w:val="20"/>
        </w:rPr>
        <w:t xml:space="preserve">re is a change of government in </w:t>
      </w:r>
      <w:r w:rsidR="00C6274A">
        <w:rPr>
          <w:szCs w:val="20"/>
        </w:rPr>
        <w:t xml:space="preserve">Latin American countries </w:t>
      </w:r>
      <w:r w:rsidR="003169DD">
        <w:rPr>
          <w:szCs w:val="20"/>
        </w:rPr>
        <w:t>during each five-year electoral cycle</w:t>
      </w:r>
      <w:r w:rsidR="00A50E13">
        <w:rPr>
          <w:szCs w:val="20"/>
        </w:rPr>
        <w:t xml:space="preserve">, there </w:t>
      </w:r>
      <w:r w:rsidR="00023055">
        <w:rPr>
          <w:szCs w:val="20"/>
        </w:rPr>
        <w:t xml:space="preserve">are </w:t>
      </w:r>
      <w:r w:rsidR="008C3296">
        <w:rPr>
          <w:szCs w:val="20"/>
        </w:rPr>
        <w:t>conceivable</w:t>
      </w:r>
      <w:r w:rsidR="007F0FB5">
        <w:rPr>
          <w:szCs w:val="20"/>
        </w:rPr>
        <w:t xml:space="preserve"> </w:t>
      </w:r>
      <w:r w:rsidR="00023055">
        <w:rPr>
          <w:szCs w:val="20"/>
        </w:rPr>
        <w:t xml:space="preserve">implications for the engagement of countries </w:t>
      </w:r>
      <w:r w:rsidR="00DF3737">
        <w:rPr>
          <w:szCs w:val="20"/>
        </w:rPr>
        <w:t>from the</w:t>
      </w:r>
      <w:r w:rsidR="00023055">
        <w:rPr>
          <w:szCs w:val="20"/>
        </w:rPr>
        <w:t xml:space="preserve"> region </w:t>
      </w:r>
      <w:r w:rsidR="00DF3737">
        <w:rPr>
          <w:szCs w:val="20"/>
        </w:rPr>
        <w:t xml:space="preserve">in </w:t>
      </w:r>
      <w:r w:rsidR="00DD63F3">
        <w:rPr>
          <w:szCs w:val="20"/>
        </w:rPr>
        <w:t>future similar projects</w:t>
      </w:r>
      <w:r w:rsidR="007F0FB5">
        <w:rPr>
          <w:szCs w:val="20"/>
        </w:rPr>
        <w:t xml:space="preserve">. </w:t>
      </w:r>
      <w:r w:rsidR="005F08C5">
        <w:rPr>
          <w:szCs w:val="20"/>
        </w:rPr>
        <w:t>Indeed, the change in the electoral c</w:t>
      </w:r>
      <w:r w:rsidR="00066ADD">
        <w:rPr>
          <w:szCs w:val="20"/>
        </w:rPr>
        <w:t xml:space="preserve">ycle is not unique to the Latin American and Caribbean region. </w:t>
      </w:r>
      <w:r w:rsidR="008E5B71">
        <w:rPr>
          <w:szCs w:val="20"/>
        </w:rPr>
        <w:t xml:space="preserve">Significantly, however, the </w:t>
      </w:r>
      <w:r w:rsidR="00A50E13">
        <w:rPr>
          <w:szCs w:val="20"/>
        </w:rPr>
        <w:t xml:space="preserve">implications </w:t>
      </w:r>
      <w:r w:rsidR="008E5B71">
        <w:rPr>
          <w:szCs w:val="20"/>
        </w:rPr>
        <w:t xml:space="preserve">of the change </w:t>
      </w:r>
      <w:r w:rsidR="00037951">
        <w:rPr>
          <w:szCs w:val="20"/>
        </w:rPr>
        <w:t>include</w:t>
      </w:r>
      <w:r w:rsidR="00CB67CE">
        <w:rPr>
          <w:szCs w:val="20"/>
        </w:rPr>
        <w:t xml:space="preserve"> </w:t>
      </w:r>
      <w:r w:rsidR="00A50E13">
        <w:rPr>
          <w:szCs w:val="20"/>
        </w:rPr>
        <w:t>delay</w:t>
      </w:r>
      <w:r w:rsidR="00CB67CE">
        <w:rPr>
          <w:szCs w:val="20"/>
        </w:rPr>
        <w:t>ed</w:t>
      </w:r>
      <w:r w:rsidR="00A50E13">
        <w:rPr>
          <w:szCs w:val="20"/>
        </w:rPr>
        <w:t xml:space="preserve"> activity </w:t>
      </w:r>
      <w:r w:rsidR="00CB67CE">
        <w:rPr>
          <w:szCs w:val="20"/>
        </w:rPr>
        <w:t>impl</w:t>
      </w:r>
      <w:r w:rsidR="00037951">
        <w:rPr>
          <w:szCs w:val="20"/>
        </w:rPr>
        <w:t>ementation</w:t>
      </w:r>
      <w:r w:rsidR="001B4687">
        <w:rPr>
          <w:szCs w:val="20"/>
        </w:rPr>
        <w:t xml:space="preserve"> and, by extension, results achievement, </w:t>
      </w:r>
      <w:r w:rsidR="004812F6">
        <w:rPr>
          <w:szCs w:val="20"/>
        </w:rPr>
        <w:t xml:space="preserve">given the need for </w:t>
      </w:r>
      <w:r w:rsidR="00253FA8">
        <w:rPr>
          <w:szCs w:val="20"/>
        </w:rPr>
        <w:t>executing</w:t>
      </w:r>
      <w:r w:rsidR="004812F6">
        <w:rPr>
          <w:szCs w:val="20"/>
        </w:rPr>
        <w:t xml:space="preserve"> agencies to </w:t>
      </w:r>
      <w:r w:rsidR="000B22C0">
        <w:rPr>
          <w:szCs w:val="20"/>
        </w:rPr>
        <w:t xml:space="preserve">establish a relationship with the new government. </w:t>
      </w:r>
      <w:r w:rsidR="001D55D1">
        <w:rPr>
          <w:szCs w:val="20"/>
        </w:rPr>
        <w:t xml:space="preserve">At the level of project design, therefore, a major </w:t>
      </w:r>
      <w:r w:rsidR="001726DF">
        <w:rPr>
          <w:szCs w:val="20"/>
        </w:rPr>
        <w:t xml:space="preserve">contributing factor towards </w:t>
      </w:r>
      <w:r w:rsidR="001D55D1">
        <w:rPr>
          <w:szCs w:val="20"/>
        </w:rPr>
        <w:t>results achi</w:t>
      </w:r>
      <w:r w:rsidR="001726DF">
        <w:rPr>
          <w:szCs w:val="20"/>
        </w:rPr>
        <w:t xml:space="preserve">evement would be the </w:t>
      </w:r>
      <w:r w:rsidR="00B51F4C">
        <w:rPr>
          <w:szCs w:val="20"/>
        </w:rPr>
        <w:t xml:space="preserve">project </w:t>
      </w:r>
      <w:r w:rsidR="00AE6CFF">
        <w:rPr>
          <w:szCs w:val="20"/>
        </w:rPr>
        <w:t xml:space="preserve">implementation </w:t>
      </w:r>
      <w:r w:rsidR="001726DF">
        <w:rPr>
          <w:szCs w:val="20"/>
        </w:rPr>
        <w:t>timeframe</w:t>
      </w:r>
      <w:r w:rsidR="00425E9D">
        <w:rPr>
          <w:szCs w:val="20"/>
        </w:rPr>
        <w:t xml:space="preserve"> and timing</w:t>
      </w:r>
      <w:r w:rsidR="00AE6CFF">
        <w:rPr>
          <w:szCs w:val="20"/>
        </w:rPr>
        <w:t>/ sche</w:t>
      </w:r>
      <w:r w:rsidR="00B51F4C">
        <w:rPr>
          <w:szCs w:val="20"/>
        </w:rPr>
        <w:t>duling of activities</w:t>
      </w:r>
      <w:r w:rsidR="001726DF">
        <w:rPr>
          <w:szCs w:val="20"/>
        </w:rPr>
        <w:t>.</w:t>
      </w:r>
    </w:p>
    <w:p w14:paraId="6A8FA74D" w14:textId="7E0156F0" w:rsidR="00321B73" w:rsidRDefault="00410BB4" w:rsidP="00EE394E">
      <w:pPr>
        <w:pStyle w:val="BodyText"/>
        <w:rPr>
          <w:szCs w:val="20"/>
        </w:rPr>
      </w:pPr>
      <w:r>
        <w:rPr>
          <w:szCs w:val="20"/>
        </w:rPr>
        <w:t xml:space="preserve">Although they were not </w:t>
      </w:r>
      <w:r w:rsidR="00BB3DBA">
        <w:rPr>
          <w:szCs w:val="20"/>
        </w:rPr>
        <w:t xml:space="preserve">foreseen during project conceptualisation, there were emergent challenges to the project </w:t>
      </w:r>
      <w:r>
        <w:rPr>
          <w:szCs w:val="20"/>
        </w:rPr>
        <w:t>at the level of financial management</w:t>
      </w:r>
      <w:r w:rsidR="00BB3DBA">
        <w:rPr>
          <w:szCs w:val="20"/>
        </w:rPr>
        <w:t xml:space="preserve">. </w:t>
      </w:r>
      <w:r w:rsidR="00D47AFA">
        <w:rPr>
          <w:szCs w:val="20"/>
        </w:rPr>
        <w:t>In Burkina Faso</w:t>
      </w:r>
      <w:r w:rsidR="00243163">
        <w:rPr>
          <w:szCs w:val="20"/>
        </w:rPr>
        <w:t>, the cost of conducting the DFA was higher than antic</w:t>
      </w:r>
      <w:r w:rsidR="0006412D">
        <w:rPr>
          <w:szCs w:val="20"/>
        </w:rPr>
        <w:t>i</w:t>
      </w:r>
      <w:r w:rsidR="00243163">
        <w:rPr>
          <w:szCs w:val="20"/>
        </w:rPr>
        <w:t>pated.</w:t>
      </w:r>
      <w:r w:rsidR="0006412D">
        <w:rPr>
          <w:szCs w:val="20"/>
        </w:rPr>
        <w:t xml:space="preserve"> </w:t>
      </w:r>
      <w:r w:rsidR="00B33B48">
        <w:rPr>
          <w:szCs w:val="20"/>
        </w:rPr>
        <w:t xml:space="preserve">UNDP supported the mitigation of this challenge by contributing </w:t>
      </w:r>
      <w:r w:rsidR="00104BF7">
        <w:rPr>
          <w:szCs w:val="20"/>
        </w:rPr>
        <w:t xml:space="preserve">towards </w:t>
      </w:r>
      <w:r w:rsidR="00760B86">
        <w:rPr>
          <w:szCs w:val="20"/>
        </w:rPr>
        <w:t xml:space="preserve">the </w:t>
      </w:r>
      <w:r w:rsidR="00104BF7">
        <w:rPr>
          <w:szCs w:val="20"/>
        </w:rPr>
        <w:t xml:space="preserve">cost of </w:t>
      </w:r>
      <w:r w:rsidR="00AE3616">
        <w:rPr>
          <w:szCs w:val="20"/>
        </w:rPr>
        <w:t>the DFA exercise</w:t>
      </w:r>
      <w:r w:rsidR="00104BF7">
        <w:rPr>
          <w:szCs w:val="20"/>
        </w:rPr>
        <w:t xml:space="preserve">. </w:t>
      </w:r>
    </w:p>
    <w:p w14:paraId="6486E69B" w14:textId="40BD2CD4" w:rsidR="005A7B9C" w:rsidRDefault="00052191" w:rsidP="00EE394E">
      <w:pPr>
        <w:pStyle w:val="BodyText"/>
        <w:rPr>
          <w:szCs w:val="20"/>
        </w:rPr>
      </w:pPr>
      <w:r>
        <w:rPr>
          <w:szCs w:val="20"/>
        </w:rPr>
        <w:t xml:space="preserve">In Zambia, </w:t>
      </w:r>
      <w:r w:rsidR="00551023">
        <w:rPr>
          <w:szCs w:val="20"/>
        </w:rPr>
        <w:t xml:space="preserve">project funds </w:t>
      </w:r>
      <w:r w:rsidR="00D9588C">
        <w:rPr>
          <w:szCs w:val="20"/>
        </w:rPr>
        <w:t xml:space="preserve">in the amount of USD $15,000 </w:t>
      </w:r>
      <w:r w:rsidR="00551023">
        <w:rPr>
          <w:szCs w:val="20"/>
        </w:rPr>
        <w:t xml:space="preserve">were </w:t>
      </w:r>
      <w:r w:rsidR="001C382F">
        <w:rPr>
          <w:szCs w:val="20"/>
        </w:rPr>
        <w:t>reallocate</w:t>
      </w:r>
      <w:r w:rsidR="000E07DA">
        <w:rPr>
          <w:szCs w:val="20"/>
        </w:rPr>
        <w:t xml:space="preserve">d by </w:t>
      </w:r>
      <w:r w:rsidR="001C6A83">
        <w:rPr>
          <w:szCs w:val="20"/>
        </w:rPr>
        <w:t>UNECA-SRO</w:t>
      </w:r>
      <w:r w:rsidR="0090770F">
        <w:rPr>
          <w:szCs w:val="20"/>
        </w:rPr>
        <w:t>,</w:t>
      </w:r>
      <w:r w:rsidR="001C6A83">
        <w:rPr>
          <w:szCs w:val="20"/>
        </w:rPr>
        <w:t xml:space="preserve"> </w:t>
      </w:r>
      <w:r w:rsidR="00D9588C">
        <w:rPr>
          <w:szCs w:val="20"/>
        </w:rPr>
        <w:t xml:space="preserve">to fund </w:t>
      </w:r>
      <w:r w:rsidR="0090770F">
        <w:rPr>
          <w:szCs w:val="20"/>
        </w:rPr>
        <w:t>non-project rela</w:t>
      </w:r>
      <w:r w:rsidR="009A149C">
        <w:rPr>
          <w:szCs w:val="20"/>
        </w:rPr>
        <w:t xml:space="preserve">ted </w:t>
      </w:r>
      <w:r w:rsidR="00255249">
        <w:rPr>
          <w:szCs w:val="20"/>
        </w:rPr>
        <w:t xml:space="preserve">technical cooperation </w:t>
      </w:r>
      <w:r w:rsidR="00D9588C">
        <w:rPr>
          <w:szCs w:val="20"/>
        </w:rPr>
        <w:t>activities</w:t>
      </w:r>
      <w:r w:rsidR="00255249">
        <w:rPr>
          <w:szCs w:val="20"/>
        </w:rPr>
        <w:t xml:space="preserve"> and urgent requests from UNECA States</w:t>
      </w:r>
      <w:r w:rsidR="0090770F">
        <w:rPr>
          <w:szCs w:val="20"/>
        </w:rPr>
        <w:t>.</w:t>
      </w:r>
      <w:r w:rsidR="00255249">
        <w:rPr>
          <w:szCs w:val="20"/>
        </w:rPr>
        <w:t xml:space="preserve"> </w:t>
      </w:r>
      <w:r w:rsidR="00DA6FFB">
        <w:rPr>
          <w:szCs w:val="20"/>
        </w:rPr>
        <w:t>Th</w:t>
      </w:r>
      <w:r w:rsidR="000F27EE">
        <w:rPr>
          <w:szCs w:val="20"/>
        </w:rPr>
        <w:t>is l</w:t>
      </w:r>
      <w:r w:rsidR="00DA6FFB">
        <w:rPr>
          <w:szCs w:val="20"/>
        </w:rPr>
        <w:t>e</w:t>
      </w:r>
      <w:r w:rsidR="000F27EE">
        <w:rPr>
          <w:szCs w:val="20"/>
        </w:rPr>
        <w:t xml:space="preserve">d to the cancellation of </w:t>
      </w:r>
      <w:r w:rsidR="005A7B9C">
        <w:rPr>
          <w:szCs w:val="20"/>
        </w:rPr>
        <w:t xml:space="preserve">a </w:t>
      </w:r>
      <w:r w:rsidR="009A149C">
        <w:rPr>
          <w:szCs w:val="20"/>
        </w:rPr>
        <w:t xml:space="preserve">project activity </w:t>
      </w:r>
      <w:r w:rsidR="005A7B9C">
        <w:rPr>
          <w:szCs w:val="20"/>
        </w:rPr>
        <w:t>for policy</w:t>
      </w:r>
      <w:r w:rsidR="00C4145D">
        <w:rPr>
          <w:szCs w:val="20"/>
        </w:rPr>
        <w:t>makers</w:t>
      </w:r>
      <w:r w:rsidR="005A5ABE">
        <w:rPr>
          <w:szCs w:val="20"/>
        </w:rPr>
        <w:t xml:space="preserve">. </w:t>
      </w:r>
      <w:r w:rsidR="0088512B">
        <w:rPr>
          <w:szCs w:val="20"/>
        </w:rPr>
        <w:t>Stakeholder consultations at the level of UNECA -SRO, supported by document review</w:t>
      </w:r>
      <w:r w:rsidR="00D3590C">
        <w:rPr>
          <w:szCs w:val="20"/>
        </w:rPr>
        <w:t>,</w:t>
      </w:r>
      <w:r w:rsidR="0088512B">
        <w:rPr>
          <w:szCs w:val="20"/>
        </w:rPr>
        <w:t xml:space="preserve"> have indicated</w:t>
      </w:r>
      <w:r w:rsidR="00C4145D">
        <w:rPr>
          <w:szCs w:val="20"/>
        </w:rPr>
        <w:t xml:space="preserve"> </w:t>
      </w:r>
      <w:r w:rsidR="0088512B">
        <w:rPr>
          <w:szCs w:val="20"/>
        </w:rPr>
        <w:t xml:space="preserve">that the </w:t>
      </w:r>
      <w:r w:rsidR="00FF5AD4">
        <w:rPr>
          <w:szCs w:val="20"/>
        </w:rPr>
        <w:t>reallocation of the funds was approved by the UNECA</w:t>
      </w:r>
      <w:r w:rsidR="000A3C67">
        <w:rPr>
          <w:szCs w:val="20"/>
        </w:rPr>
        <w:t xml:space="preserve"> B</w:t>
      </w:r>
      <w:r w:rsidR="00FF5AD4">
        <w:rPr>
          <w:szCs w:val="20"/>
        </w:rPr>
        <w:t xml:space="preserve">udget </w:t>
      </w:r>
      <w:r w:rsidR="000A3C67">
        <w:rPr>
          <w:szCs w:val="20"/>
        </w:rPr>
        <w:t>O</w:t>
      </w:r>
      <w:r w:rsidR="00FF5AD4">
        <w:rPr>
          <w:szCs w:val="20"/>
        </w:rPr>
        <w:t xml:space="preserve">ffice and </w:t>
      </w:r>
      <w:r w:rsidR="00821C7C">
        <w:rPr>
          <w:szCs w:val="20"/>
        </w:rPr>
        <w:t xml:space="preserve">the funding was </w:t>
      </w:r>
      <w:r w:rsidR="00FF5AD4">
        <w:rPr>
          <w:szCs w:val="20"/>
        </w:rPr>
        <w:t>replenished in 2024.</w:t>
      </w:r>
      <w:r w:rsidR="00D50C50">
        <w:rPr>
          <w:rStyle w:val="FootnoteReference"/>
          <w:szCs w:val="20"/>
        </w:rPr>
        <w:footnoteReference w:id="197"/>
      </w:r>
      <w:r w:rsidR="000B3E73">
        <w:rPr>
          <w:szCs w:val="20"/>
        </w:rPr>
        <w:t xml:space="preserve"> </w:t>
      </w:r>
      <w:r w:rsidR="00AE59C2">
        <w:rPr>
          <w:szCs w:val="20"/>
        </w:rPr>
        <w:t xml:space="preserve">The issue </w:t>
      </w:r>
      <w:r w:rsidR="0050586C">
        <w:rPr>
          <w:szCs w:val="20"/>
        </w:rPr>
        <w:t>for consideration</w:t>
      </w:r>
      <w:r w:rsidR="00590437">
        <w:rPr>
          <w:szCs w:val="20"/>
        </w:rPr>
        <w:t xml:space="preserve">, here, </w:t>
      </w:r>
      <w:r w:rsidR="00DF0C71">
        <w:rPr>
          <w:szCs w:val="20"/>
        </w:rPr>
        <w:t>is the decentralised approach to project management</w:t>
      </w:r>
      <w:r w:rsidR="0050586C">
        <w:rPr>
          <w:szCs w:val="20"/>
        </w:rPr>
        <w:t xml:space="preserve">, including the management of </w:t>
      </w:r>
      <w:r w:rsidR="002C2B37">
        <w:rPr>
          <w:szCs w:val="20"/>
        </w:rPr>
        <w:t>the budget allotment</w:t>
      </w:r>
      <w:r w:rsidR="00DF0C71">
        <w:rPr>
          <w:szCs w:val="20"/>
        </w:rPr>
        <w:t xml:space="preserve">. </w:t>
      </w:r>
      <w:r w:rsidR="0050586C">
        <w:rPr>
          <w:szCs w:val="20"/>
        </w:rPr>
        <w:t xml:space="preserve">There has been </w:t>
      </w:r>
      <w:r w:rsidR="00A36E95">
        <w:rPr>
          <w:szCs w:val="20"/>
        </w:rPr>
        <w:t xml:space="preserve">some measure of </w:t>
      </w:r>
      <w:r w:rsidR="00D12633">
        <w:rPr>
          <w:szCs w:val="20"/>
        </w:rPr>
        <w:t xml:space="preserve">flexibility </w:t>
      </w:r>
      <w:r w:rsidR="00590437">
        <w:rPr>
          <w:szCs w:val="20"/>
        </w:rPr>
        <w:t xml:space="preserve">for </w:t>
      </w:r>
      <w:r w:rsidR="00A36E95">
        <w:rPr>
          <w:szCs w:val="20"/>
        </w:rPr>
        <w:t xml:space="preserve">the Tier 2 entities </w:t>
      </w:r>
      <w:r w:rsidR="00265115">
        <w:rPr>
          <w:szCs w:val="20"/>
        </w:rPr>
        <w:t>to de</w:t>
      </w:r>
      <w:r w:rsidR="007732F3">
        <w:rPr>
          <w:szCs w:val="20"/>
        </w:rPr>
        <w:t xml:space="preserve">velop and implement project activities that align with the </w:t>
      </w:r>
      <w:r w:rsidR="00B0131F">
        <w:rPr>
          <w:szCs w:val="20"/>
        </w:rPr>
        <w:t xml:space="preserve">project </w:t>
      </w:r>
      <w:r w:rsidR="007732F3">
        <w:rPr>
          <w:szCs w:val="20"/>
        </w:rPr>
        <w:t xml:space="preserve">results framework. </w:t>
      </w:r>
      <w:r w:rsidR="0045723F">
        <w:rPr>
          <w:szCs w:val="20"/>
        </w:rPr>
        <w:t xml:space="preserve">While </w:t>
      </w:r>
      <w:r w:rsidR="007F23FB">
        <w:rPr>
          <w:szCs w:val="20"/>
        </w:rPr>
        <w:t>a</w:t>
      </w:r>
      <w:r w:rsidR="0045723F">
        <w:rPr>
          <w:szCs w:val="20"/>
        </w:rPr>
        <w:t xml:space="preserve"> decentralised approach to budget management supports </w:t>
      </w:r>
      <w:r w:rsidR="00FB0FA3">
        <w:rPr>
          <w:szCs w:val="20"/>
        </w:rPr>
        <w:t>th</w:t>
      </w:r>
      <w:r w:rsidR="0045723F">
        <w:rPr>
          <w:szCs w:val="20"/>
        </w:rPr>
        <w:t>is process,</w:t>
      </w:r>
      <w:r w:rsidR="00A435FF">
        <w:rPr>
          <w:szCs w:val="20"/>
        </w:rPr>
        <w:t xml:space="preserve"> </w:t>
      </w:r>
      <w:r w:rsidR="001759DC">
        <w:rPr>
          <w:szCs w:val="20"/>
        </w:rPr>
        <w:t xml:space="preserve">there </w:t>
      </w:r>
      <w:r w:rsidR="008F0647">
        <w:rPr>
          <w:szCs w:val="20"/>
        </w:rPr>
        <w:t xml:space="preserve">are questions around efficiency of process given </w:t>
      </w:r>
      <w:r w:rsidR="00B63BA0">
        <w:rPr>
          <w:szCs w:val="20"/>
        </w:rPr>
        <w:t xml:space="preserve">the implications of flexible budget management on </w:t>
      </w:r>
      <w:r w:rsidR="007A261A">
        <w:rPr>
          <w:szCs w:val="20"/>
        </w:rPr>
        <w:t xml:space="preserve">the implementation </w:t>
      </w:r>
      <w:r w:rsidR="002133F6">
        <w:rPr>
          <w:szCs w:val="20"/>
        </w:rPr>
        <w:t xml:space="preserve">of </w:t>
      </w:r>
      <w:r w:rsidR="002133F6">
        <w:rPr>
          <w:szCs w:val="20"/>
        </w:rPr>
        <w:lastRenderedPageBreak/>
        <w:t>sche</w:t>
      </w:r>
      <w:r w:rsidR="00207F0A">
        <w:rPr>
          <w:szCs w:val="20"/>
        </w:rPr>
        <w:t xml:space="preserve">duled </w:t>
      </w:r>
      <w:r w:rsidR="00C338D3">
        <w:rPr>
          <w:szCs w:val="20"/>
        </w:rPr>
        <w:t>project activities</w:t>
      </w:r>
      <w:r w:rsidR="00A435FF">
        <w:rPr>
          <w:szCs w:val="20"/>
        </w:rPr>
        <w:t xml:space="preserve"> (e.g. activity cancellation because of budget re-routing)</w:t>
      </w:r>
      <w:r w:rsidR="00C338D3">
        <w:rPr>
          <w:szCs w:val="20"/>
        </w:rPr>
        <w:t>.</w:t>
      </w:r>
    </w:p>
    <w:p w14:paraId="0EF8D6E8" w14:textId="0E3AC84B" w:rsidR="00CE55D6" w:rsidRDefault="000C2F6D" w:rsidP="005D16A9">
      <w:pPr>
        <w:pStyle w:val="BodyText"/>
      </w:pPr>
      <w:r w:rsidRPr="0058278D">
        <w:rPr>
          <w:b/>
          <w:bCs/>
        </w:rPr>
        <w:t xml:space="preserve">Finding </w:t>
      </w:r>
      <w:r w:rsidR="00600626">
        <w:rPr>
          <w:b/>
          <w:bCs/>
        </w:rPr>
        <w:t>10</w:t>
      </w:r>
      <w:r w:rsidRPr="0058278D">
        <w:rPr>
          <w:b/>
          <w:bCs/>
        </w:rPr>
        <w:t>:</w:t>
      </w:r>
      <w:r w:rsidR="00E51168">
        <w:rPr>
          <w:b/>
          <w:bCs/>
        </w:rPr>
        <w:t xml:space="preserve"> </w:t>
      </w:r>
      <w:r w:rsidR="00435E3A" w:rsidRPr="00CE55D6">
        <w:t>While the</w:t>
      </w:r>
      <w:r w:rsidR="00435E3A">
        <w:rPr>
          <w:b/>
          <w:bCs/>
        </w:rPr>
        <w:t xml:space="preserve"> </w:t>
      </w:r>
      <w:r w:rsidR="00C13DAF" w:rsidRPr="000D4A0C">
        <w:t>Project Coordination Team</w:t>
      </w:r>
      <w:r w:rsidR="00C13DAF">
        <w:t xml:space="preserve"> had </w:t>
      </w:r>
      <w:r w:rsidR="00B64BF8">
        <w:t xml:space="preserve">a </w:t>
      </w:r>
      <w:r w:rsidR="00C13DAF">
        <w:t>designated r</w:t>
      </w:r>
      <w:r w:rsidR="00297009">
        <w:t xml:space="preserve">esponsibility to </w:t>
      </w:r>
      <w:r w:rsidR="00B64BF8">
        <w:t xml:space="preserve">monitor </w:t>
      </w:r>
      <w:r w:rsidR="00BD3D86">
        <w:t xml:space="preserve">the progress of </w:t>
      </w:r>
      <w:r w:rsidR="00F94080">
        <w:t>project implementation</w:t>
      </w:r>
      <w:r w:rsidR="00090AA8">
        <w:t xml:space="preserve">, </w:t>
      </w:r>
      <w:r w:rsidR="00435E3A">
        <w:t>th</w:t>
      </w:r>
      <w:r w:rsidR="00CE55D6">
        <w:t>e</w:t>
      </w:r>
      <w:r w:rsidR="00435E3A">
        <w:t xml:space="preserve"> </w:t>
      </w:r>
      <w:r w:rsidR="007E35C5">
        <w:t xml:space="preserve">complementary and leading </w:t>
      </w:r>
      <w:r w:rsidR="000D4714">
        <w:t>role</w:t>
      </w:r>
      <w:r w:rsidR="00CE55D6">
        <w:t xml:space="preserve"> of UNDESA in managing </w:t>
      </w:r>
      <w:r w:rsidR="00240962">
        <w:t xml:space="preserve">project </w:t>
      </w:r>
      <w:r w:rsidR="00CE55D6">
        <w:t>implementation was not</w:t>
      </w:r>
      <w:r w:rsidR="002B0A28">
        <w:t xml:space="preserve"> </w:t>
      </w:r>
      <w:r w:rsidR="004B174B">
        <w:t>immediately identifiable</w:t>
      </w:r>
      <w:r w:rsidR="00AF2BD9">
        <w:t>.</w:t>
      </w:r>
    </w:p>
    <w:p w14:paraId="1F501884" w14:textId="3F4E2510" w:rsidR="00360D58" w:rsidRDefault="009D69FA" w:rsidP="005D16A9">
      <w:pPr>
        <w:pStyle w:val="BodyText"/>
      </w:pPr>
      <w:r>
        <w:t xml:space="preserve">Project </w:t>
      </w:r>
      <w:r w:rsidR="003F4F01">
        <w:t xml:space="preserve">management </w:t>
      </w:r>
      <w:r w:rsidR="00065FE2">
        <w:t>was the responsib</w:t>
      </w:r>
      <w:r w:rsidR="006D5A6B">
        <w:t>ility of a small team within UNDESA-FSDO</w:t>
      </w:r>
      <w:r w:rsidR="00E91C74">
        <w:t>, compri</w:t>
      </w:r>
      <w:r w:rsidR="004A435B">
        <w:t>sing</w:t>
      </w:r>
      <w:r w:rsidR="006D5A6B">
        <w:t xml:space="preserve"> a project coordinator and a project management assistant. </w:t>
      </w:r>
      <w:r w:rsidR="00505382">
        <w:t xml:space="preserve">The project coordinator was responsible for the successful implementation of the </w:t>
      </w:r>
      <w:r w:rsidR="004C4E7E">
        <w:t>project at the global level</w:t>
      </w:r>
      <w:r w:rsidR="004A435B">
        <w:t xml:space="preserve">. </w:t>
      </w:r>
      <w:r w:rsidR="00F878AD">
        <w:t xml:space="preserve">To fulfil this </w:t>
      </w:r>
      <w:r w:rsidR="000D1656">
        <w:t xml:space="preserve">function, the project </w:t>
      </w:r>
      <w:r w:rsidR="004C4E7E">
        <w:t xml:space="preserve">coordinator </w:t>
      </w:r>
      <w:r w:rsidR="000D1656">
        <w:t xml:space="preserve">worked in coordination with </w:t>
      </w:r>
      <w:r w:rsidR="004C4E7E">
        <w:t>the focal point at each</w:t>
      </w:r>
      <w:r w:rsidR="000D1656">
        <w:t xml:space="preserve"> </w:t>
      </w:r>
      <w:r w:rsidR="00CB34C3">
        <w:t xml:space="preserve">executing </w:t>
      </w:r>
      <w:r w:rsidR="004C4E7E">
        <w:t>entity.</w:t>
      </w:r>
      <w:r w:rsidR="00A40B4F">
        <w:t xml:space="preserve"> </w:t>
      </w:r>
      <w:r w:rsidR="0092411E">
        <w:t xml:space="preserve">The project management assistant </w:t>
      </w:r>
      <w:r w:rsidR="00C26117">
        <w:t xml:space="preserve">was responsible for administrative duties </w:t>
      </w:r>
      <w:r w:rsidR="000D5184">
        <w:t>that</w:t>
      </w:r>
      <w:r w:rsidR="00D81F51">
        <w:t xml:space="preserve"> </w:t>
      </w:r>
      <w:r w:rsidR="00D824DE">
        <w:t>support</w:t>
      </w:r>
      <w:r w:rsidR="000D5184">
        <w:t>ed</w:t>
      </w:r>
      <w:r w:rsidR="00D824DE">
        <w:t xml:space="preserve"> efficient project management and coordination. </w:t>
      </w:r>
    </w:p>
    <w:p w14:paraId="0AAC2ABC" w14:textId="088EEDA1" w:rsidR="00574F9B" w:rsidRDefault="000837A6" w:rsidP="005D16A9">
      <w:pPr>
        <w:pStyle w:val="BodyText"/>
      </w:pPr>
      <w:r>
        <w:t>While</w:t>
      </w:r>
      <w:r w:rsidR="00564660">
        <w:t xml:space="preserve"> </w:t>
      </w:r>
      <w:r w:rsidR="009B0B9E">
        <w:t>t</w:t>
      </w:r>
      <w:r w:rsidR="000912E2">
        <w:t xml:space="preserve">he </w:t>
      </w:r>
      <w:r w:rsidR="00101260">
        <w:t xml:space="preserve">project </w:t>
      </w:r>
      <w:r w:rsidR="000912E2">
        <w:t>coordinator and the</w:t>
      </w:r>
      <w:r w:rsidR="009B0B9E">
        <w:t xml:space="preserve"> project</w:t>
      </w:r>
      <w:r w:rsidR="00AD3E8E">
        <w:t xml:space="preserve"> </w:t>
      </w:r>
      <w:r w:rsidR="000912E2">
        <w:t xml:space="preserve">focal points </w:t>
      </w:r>
      <w:r w:rsidR="00473498">
        <w:t>ha</w:t>
      </w:r>
      <w:r w:rsidR="00101260">
        <w:t xml:space="preserve">d </w:t>
      </w:r>
      <w:r w:rsidR="00473498">
        <w:t xml:space="preserve">joint responsibility </w:t>
      </w:r>
      <w:r w:rsidR="0031133C">
        <w:t xml:space="preserve">for implementing global </w:t>
      </w:r>
      <w:r w:rsidR="002117F3">
        <w:t>project activities</w:t>
      </w:r>
      <w:r w:rsidR="00900306">
        <w:t xml:space="preserve">, </w:t>
      </w:r>
      <w:r w:rsidR="00D23B30">
        <w:t xml:space="preserve">project implementation </w:t>
      </w:r>
      <w:r w:rsidR="00900306">
        <w:t xml:space="preserve">at the </w:t>
      </w:r>
      <w:r w:rsidR="00CC6675">
        <w:t>regional a</w:t>
      </w:r>
      <w:r w:rsidR="00493C80">
        <w:t>n</w:t>
      </w:r>
      <w:r w:rsidR="00CC6675">
        <w:t xml:space="preserve">d country-specific levels </w:t>
      </w:r>
      <w:r w:rsidR="00D23B30">
        <w:t xml:space="preserve">was decentralised to the </w:t>
      </w:r>
      <w:r w:rsidR="00C64A3C">
        <w:t>executing entities.</w:t>
      </w:r>
      <w:r w:rsidR="00F94FB0">
        <w:t xml:space="preserve"> </w:t>
      </w:r>
      <w:r w:rsidR="00574F9B">
        <w:t xml:space="preserve">Included among the responsibilities of the project coordinator, however, was the </w:t>
      </w:r>
      <w:r w:rsidR="00180712">
        <w:t>formulation of project activities in coordination with the project focal points</w:t>
      </w:r>
      <w:r w:rsidR="00891295">
        <w:t xml:space="preserve"> of the executing entities.</w:t>
      </w:r>
      <w:r w:rsidR="00891295">
        <w:rPr>
          <w:rStyle w:val="FootnoteReference"/>
        </w:rPr>
        <w:footnoteReference w:id="198"/>
      </w:r>
    </w:p>
    <w:p w14:paraId="313C4C43" w14:textId="4D43C948" w:rsidR="00E33366" w:rsidRDefault="004F2787" w:rsidP="005D16A9">
      <w:pPr>
        <w:pStyle w:val="BodyText"/>
      </w:pPr>
      <w:r>
        <w:t xml:space="preserve">A Project Coordination Team </w:t>
      </w:r>
      <w:r w:rsidR="00E33366">
        <w:t xml:space="preserve">(PCT) </w:t>
      </w:r>
      <w:r>
        <w:t>was established t</w:t>
      </w:r>
      <w:r w:rsidR="00CA4911">
        <w:t xml:space="preserve">o </w:t>
      </w:r>
      <w:r w:rsidR="00B93B14">
        <w:t xml:space="preserve">support the </w:t>
      </w:r>
      <w:r w:rsidR="00834E3B">
        <w:t xml:space="preserve">monitoring of project implementation, including </w:t>
      </w:r>
      <w:r w:rsidR="0000209E">
        <w:t>activity</w:t>
      </w:r>
      <w:r w:rsidR="00B3384C">
        <w:t xml:space="preserve"> facilitation</w:t>
      </w:r>
      <w:r w:rsidR="0000209E">
        <w:t xml:space="preserve">; </w:t>
      </w:r>
      <w:r w:rsidR="00B66FBE">
        <w:t xml:space="preserve">the achievement of expected results; and </w:t>
      </w:r>
      <w:r w:rsidR="0000209E">
        <w:t>results monitoring</w:t>
      </w:r>
      <w:r w:rsidR="00B66FBE">
        <w:t xml:space="preserve"> </w:t>
      </w:r>
      <w:r w:rsidR="0000209E">
        <w:t xml:space="preserve">and </w:t>
      </w:r>
      <w:r w:rsidR="00795C50">
        <w:t>re</w:t>
      </w:r>
      <w:r w:rsidR="00B66FBE">
        <w:t>porting</w:t>
      </w:r>
      <w:r w:rsidR="00E33366">
        <w:t>. In addition to the project coordinator, the PCT comprised the project focal points</w:t>
      </w:r>
      <w:r w:rsidR="00285C8A">
        <w:t xml:space="preserve">; </w:t>
      </w:r>
      <w:r w:rsidR="00BC33A4">
        <w:t xml:space="preserve">and </w:t>
      </w:r>
      <w:r w:rsidR="00285C8A">
        <w:t xml:space="preserve">representatives from </w:t>
      </w:r>
      <w:r w:rsidR="00BC1B84">
        <w:t xml:space="preserve">UN </w:t>
      </w:r>
      <w:r w:rsidR="00285C8A">
        <w:t>RCOs and UNDP in the target countries</w:t>
      </w:r>
      <w:r w:rsidR="00056D23">
        <w:t xml:space="preserve">. </w:t>
      </w:r>
      <w:r w:rsidR="00403164">
        <w:t xml:space="preserve">The </w:t>
      </w:r>
      <w:r w:rsidR="000843B3">
        <w:t>UNDESA Capacity Development Programme Management Office (CDPMO)</w:t>
      </w:r>
      <w:r w:rsidR="00056D23">
        <w:t xml:space="preserve"> </w:t>
      </w:r>
      <w:r w:rsidR="00A7482F">
        <w:t xml:space="preserve">also </w:t>
      </w:r>
      <w:r w:rsidR="00056D23">
        <w:t>provided programme support and oversight during project implementation.</w:t>
      </w:r>
      <w:r w:rsidR="009F4BFA">
        <w:rPr>
          <w:rStyle w:val="FootnoteReference"/>
        </w:rPr>
        <w:footnoteReference w:id="199"/>
      </w:r>
    </w:p>
    <w:p w14:paraId="6E0C29E8" w14:textId="5350B4A6" w:rsidR="00347675" w:rsidRDefault="00B0116B" w:rsidP="005D16A9">
      <w:pPr>
        <w:pStyle w:val="BodyText"/>
      </w:pPr>
      <w:r>
        <w:t xml:space="preserve">The </w:t>
      </w:r>
      <w:r w:rsidR="000C6B14">
        <w:t xml:space="preserve">small size of the project team at </w:t>
      </w:r>
      <w:r w:rsidR="00E86DDC">
        <w:t>UNDESA-FSDO</w:t>
      </w:r>
      <w:r w:rsidR="00943931">
        <w:t xml:space="preserve"> </w:t>
      </w:r>
      <w:r w:rsidR="006E70DD">
        <w:t xml:space="preserve">was a </w:t>
      </w:r>
      <w:r w:rsidR="00943931">
        <w:t xml:space="preserve">challenge </w:t>
      </w:r>
      <w:r w:rsidR="003D1300">
        <w:t xml:space="preserve">to </w:t>
      </w:r>
      <w:r w:rsidR="0059307F">
        <w:t>the management of global project activities.</w:t>
      </w:r>
      <w:r w:rsidR="009A3244">
        <w:t xml:space="preserve"> </w:t>
      </w:r>
      <w:r w:rsidR="00567D98">
        <w:t>At the time of project implementation, t</w:t>
      </w:r>
      <w:r w:rsidR="00434136">
        <w:t xml:space="preserve">he project coordinator </w:t>
      </w:r>
      <w:r w:rsidR="00567D98">
        <w:t>h</w:t>
      </w:r>
      <w:r w:rsidR="00976E66">
        <w:t>ad t</w:t>
      </w:r>
      <w:r w:rsidR="00434136">
        <w:t xml:space="preserve">echnical </w:t>
      </w:r>
      <w:r w:rsidR="00976E66">
        <w:t xml:space="preserve">responsibilities </w:t>
      </w:r>
      <w:r w:rsidR="00434136">
        <w:t xml:space="preserve">as an inter-regional adviser, and the project management </w:t>
      </w:r>
      <w:r w:rsidR="00434136">
        <w:t>assistant work</w:t>
      </w:r>
      <w:r w:rsidR="00976E66">
        <w:t>ed</w:t>
      </w:r>
      <w:r w:rsidR="00434136">
        <w:t xml:space="preserve"> on multiple projects and tasks. </w:t>
      </w:r>
      <w:r w:rsidR="00976E66">
        <w:t xml:space="preserve">As </w:t>
      </w:r>
      <w:r w:rsidR="00B143C6">
        <w:t xml:space="preserve">activity </w:t>
      </w:r>
      <w:r w:rsidR="00976E66">
        <w:t xml:space="preserve">implementation was </w:t>
      </w:r>
      <w:r w:rsidR="009A3244">
        <w:t>decentrali</w:t>
      </w:r>
      <w:r w:rsidR="00AF15B4">
        <w:t>s</w:t>
      </w:r>
      <w:r w:rsidR="00976E66">
        <w:t>e</w:t>
      </w:r>
      <w:r w:rsidR="0052174B">
        <w:t>d,</w:t>
      </w:r>
      <w:r w:rsidR="00AF15B4">
        <w:t xml:space="preserve"> the </w:t>
      </w:r>
      <w:r w:rsidR="008A615E">
        <w:t xml:space="preserve">project </w:t>
      </w:r>
      <w:r w:rsidR="00AF15B4">
        <w:t xml:space="preserve">team </w:t>
      </w:r>
      <w:r w:rsidR="00976E66">
        <w:t>was</w:t>
      </w:r>
      <w:r w:rsidR="00AF15B4">
        <w:t xml:space="preserve"> largely responsible for </w:t>
      </w:r>
      <w:r w:rsidR="0078611D">
        <w:t>project coordination</w:t>
      </w:r>
      <w:r w:rsidR="00C85821">
        <w:t xml:space="preserve"> (e.g. organis</w:t>
      </w:r>
      <w:r w:rsidR="00434136">
        <w:t xml:space="preserve">ing </w:t>
      </w:r>
      <w:r w:rsidR="00C85821">
        <w:t xml:space="preserve">regional events; </w:t>
      </w:r>
      <w:r w:rsidR="006B795A">
        <w:t xml:space="preserve">collating annual progress reports; facilitating </w:t>
      </w:r>
      <w:r w:rsidR="00BB2A7A">
        <w:t xml:space="preserve">quarterly </w:t>
      </w:r>
      <w:r w:rsidR="00347675">
        <w:t xml:space="preserve">PCT meetings; etc.). </w:t>
      </w:r>
      <w:r w:rsidR="00BA4DD0">
        <w:t>A</w:t>
      </w:r>
      <w:r w:rsidR="00976E66">
        <w:t>lthough a</w:t>
      </w:r>
      <w:r w:rsidR="00BA4DD0">
        <w:t>d</w:t>
      </w:r>
      <w:r w:rsidR="000152EC">
        <w:t xml:space="preserve">ditional </w:t>
      </w:r>
      <w:r w:rsidR="00F84C03">
        <w:t xml:space="preserve">administrative </w:t>
      </w:r>
      <w:r w:rsidR="000152EC">
        <w:t xml:space="preserve">support </w:t>
      </w:r>
      <w:r w:rsidR="00F84C03">
        <w:t>was</w:t>
      </w:r>
      <w:r w:rsidR="000152EC">
        <w:t xml:space="preserve"> available to the team </w:t>
      </w:r>
      <w:r w:rsidR="00F84C03" w:rsidRPr="000D4A0C">
        <w:t xml:space="preserve">from the </w:t>
      </w:r>
      <w:r w:rsidR="00976E66">
        <w:t>UNDESA</w:t>
      </w:r>
      <w:r w:rsidR="006A0C5B">
        <w:t>-FSDO</w:t>
      </w:r>
      <w:r w:rsidR="00976E66">
        <w:t xml:space="preserve"> </w:t>
      </w:r>
      <w:r w:rsidR="00F84C03" w:rsidRPr="000D4A0C">
        <w:t>General Administrative Desk</w:t>
      </w:r>
      <w:r w:rsidR="00976E66">
        <w:t xml:space="preserve">, </w:t>
      </w:r>
      <w:r w:rsidR="0052174B">
        <w:t xml:space="preserve">this </w:t>
      </w:r>
      <w:r w:rsidR="00F762D4">
        <w:t>facilit</w:t>
      </w:r>
      <w:r w:rsidR="00976E66">
        <w:t>y</w:t>
      </w:r>
      <w:r w:rsidR="0052174B">
        <w:t xml:space="preserve"> was </w:t>
      </w:r>
      <w:r w:rsidR="00D16B01">
        <w:t>not project specific</w:t>
      </w:r>
      <w:r w:rsidR="0074314E">
        <w:t xml:space="preserve"> (i.e</w:t>
      </w:r>
      <w:r w:rsidR="00976E66">
        <w:t>.</w:t>
      </w:r>
      <w:r w:rsidR="0074314E">
        <w:t xml:space="preserve"> </w:t>
      </w:r>
      <w:r w:rsidR="006A0C5B">
        <w:t xml:space="preserve">it </w:t>
      </w:r>
      <w:r w:rsidR="00955D99">
        <w:t xml:space="preserve">provides </w:t>
      </w:r>
      <w:r w:rsidR="006A0C5B">
        <w:t xml:space="preserve">administrative </w:t>
      </w:r>
      <w:r w:rsidR="00955D99">
        <w:t xml:space="preserve">support to the </w:t>
      </w:r>
      <w:r w:rsidR="0074314E">
        <w:t>entire office).</w:t>
      </w:r>
      <w:r w:rsidR="00F762D4">
        <w:t xml:space="preserve"> </w:t>
      </w:r>
    </w:p>
    <w:p w14:paraId="69FF6450" w14:textId="249EB61C" w:rsidR="002A4E07" w:rsidRDefault="000568A2" w:rsidP="005D16A9">
      <w:pPr>
        <w:pStyle w:val="BodyText"/>
      </w:pPr>
      <w:r>
        <w:t xml:space="preserve">At the level of the </w:t>
      </w:r>
      <w:r w:rsidR="00C933EE">
        <w:t xml:space="preserve">PCT, the </w:t>
      </w:r>
      <w:r w:rsidR="00850B35">
        <w:t>REC f</w:t>
      </w:r>
      <w:r w:rsidR="00C933EE">
        <w:t xml:space="preserve">ocal points </w:t>
      </w:r>
      <w:r w:rsidR="00E07924">
        <w:t xml:space="preserve">were also responsible for: i) participating in </w:t>
      </w:r>
      <w:r w:rsidR="00D436EE">
        <w:t>project coordination activities; ii) sharing information a</w:t>
      </w:r>
      <w:r w:rsidR="00415DF9">
        <w:t>n</w:t>
      </w:r>
      <w:r w:rsidR="00D436EE">
        <w:t xml:space="preserve">d providing timely updates to </w:t>
      </w:r>
      <w:r w:rsidR="00C03F4C">
        <w:t xml:space="preserve">UN </w:t>
      </w:r>
      <w:r w:rsidR="00543F50">
        <w:t xml:space="preserve">RCOs and UNDP; </w:t>
      </w:r>
      <w:r w:rsidR="00694B7D">
        <w:t xml:space="preserve">and </w:t>
      </w:r>
      <w:r w:rsidR="00543F50">
        <w:t xml:space="preserve">iii) </w:t>
      </w:r>
      <w:r w:rsidR="00697D96">
        <w:t>facilita</w:t>
      </w:r>
      <w:r w:rsidR="00227272">
        <w:t>t</w:t>
      </w:r>
      <w:r w:rsidR="00697D96">
        <w:t xml:space="preserve">ing synergies by </w:t>
      </w:r>
      <w:r w:rsidR="00543F50">
        <w:t>ensuring complementarity betwe</w:t>
      </w:r>
      <w:r w:rsidR="00697D96">
        <w:t xml:space="preserve">en project activities and </w:t>
      </w:r>
      <w:r w:rsidR="00227272">
        <w:t xml:space="preserve">related activities at the </w:t>
      </w:r>
      <w:r w:rsidR="00697D96">
        <w:t>country-specific</w:t>
      </w:r>
      <w:r w:rsidR="00227272">
        <w:t xml:space="preserve"> and </w:t>
      </w:r>
      <w:r w:rsidR="00697D96">
        <w:t xml:space="preserve">regional </w:t>
      </w:r>
      <w:r w:rsidR="00227272">
        <w:t>level</w:t>
      </w:r>
      <w:r w:rsidR="00694B7D">
        <w:t>s</w:t>
      </w:r>
      <w:r w:rsidR="00227272">
        <w:t>.</w:t>
      </w:r>
      <w:r w:rsidR="00227272">
        <w:rPr>
          <w:rStyle w:val="FootnoteReference"/>
        </w:rPr>
        <w:footnoteReference w:id="200"/>
      </w:r>
      <w:r w:rsidR="00227272">
        <w:t xml:space="preserve"> </w:t>
      </w:r>
      <w:r w:rsidR="00694B7D">
        <w:t>The</w:t>
      </w:r>
      <w:r w:rsidR="00653F38">
        <w:t xml:space="preserve"> contribution of the PCT </w:t>
      </w:r>
      <w:r w:rsidR="000B09BB">
        <w:t xml:space="preserve">to results monitoring and reporting </w:t>
      </w:r>
      <w:r w:rsidR="00653F38">
        <w:t>was</w:t>
      </w:r>
      <w:r w:rsidR="00694B7D">
        <w:t xml:space="preserve"> </w:t>
      </w:r>
      <w:r w:rsidR="00067755">
        <w:t xml:space="preserve">also </w:t>
      </w:r>
      <w:r w:rsidR="00EA76B8">
        <w:t xml:space="preserve">reflected in the </w:t>
      </w:r>
      <w:r w:rsidR="00067755">
        <w:t xml:space="preserve">availability of </w:t>
      </w:r>
      <w:r w:rsidR="00EA76B8">
        <w:t xml:space="preserve">annual progress reports </w:t>
      </w:r>
      <w:r w:rsidR="003416F5">
        <w:t xml:space="preserve">on project implementation. </w:t>
      </w:r>
    </w:p>
    <w:p w14:paraId="6A612C95" w14:textId="0A35868A" w:rsidR="002166F0" w:rsidRDefault="003416F5" w:rsidP="005D16A9">
      <w:pPr>
        <w:pStyle w:val="BodyText"/>
      </w:pPr>
      <w:r>
        <w:t xml:space="preserve">There was less evidence of the </w:t>
      </w:r>
      <w:r w:rsidR="00AA5B49">
        <w:t xml:space="preserve">contribution of </w:t>
      </w:r>
      <w:r w:rsidR="00E967B9">
        <w:t xml:space="preserve">UNDESA-FSDO </w:t>
      </w:r>
      <w:r w:rsidR="003A3006">
        <w:t xml:space="preserve">to project management, as opposed to project coordination. </w:t>
      </w:r>
      <w:r w:rsidR="002166F0">
        <w:t xml:space="preserve">Specifically, </w:t>
      </w:r>
      <w:r w:rsidR="005F15A8">
        <w:t xml:space="preserve">project activities were not harmonised across the executing entities. </w:t>
      </w:r>
      <w:r w:rsidR="002166F0">
        <w:t xml:space="preserve">Each entity </w:t>
      </w:r>
      <w:r w:rsidR="00C20114">
        <w:t xml:space="preserve">facilitated project activities that were linked to their </w:t>
      </w:r>
      <w:r w:rsidR="00B42246">
        <w:t>area of specialisation</w:t>
      </w:r>
      <w:r w:rsidR="00B93D34">
        <w:t xml:space="preserve">. </w:t>
      </w:r>
      <w:r w:rsidR="009857B3">
        <w:t>While t</w:t>
      </w:r>
      <w:r w:rsidR="00A1777B">
        <w:t xml:space="preserve">here was a </w:t>
      </w:r>
      <w:r w:rsidR="00B93D34">
        <w:t>focus on elements of development financing that were pertinent to the INFF methodology</w:t>
      </w:r>
      <w:r w:rsidR="009857B3">
        <w:t xml:space="preserve">, </w:t>
      </w:r>
      <w:r w:rsidR="00B26B1F">
        <w:t xml:space="preserve">management </w:t>
      </w:r>
      <w:r w:rsidR="009857B3">
        <w:t>o</w:t>
      </w:r>
      <w:r w:rsidR="00B2138E">
        <w:t>versight by UNDESA-FSDO to inform</w:t>
      </w:r>
      <w:r w:rsidR="00AD66DA">
        <w:t xml:space="preserve"> a harmonised</w:t>
      </w:r>
      <w:r w:rsidR="009857B3">
        <w:t xml:space="preserve"> and quality-assured</w:t>
      </w:r>
      <w:r w:rsidR="00AD66DA">
        <w:t xml:space="preserve"> approach</w:t>
      </w:r>
      <w:r w:rsidR="009857B3">
        <w:t xml:space="preserve"> </w:t>
      </w:r>
      <w:r w:rsidR="00AD66DA">
        <w:t xml:space="preserve">(e.g. </w:t>
      </w:r>
      <w:r w:rsidR="00750B1A">
        <w:t>th</w:t>
      </w:r>
      <w:r w:rsidR="006C3268">
        <w:t>e</w:t>
      </w:r>
      <w:r w:rsidR="00750B1A">
        <w:t xml:space="preserve"> approach to facilitation; the areas of </w:t>
      </w:r>
      <w:r w:rsidR="00E80AE1">
        <w:t xml:space="preserve">activity </w:t>
      </w:r>
      <w:r w:rsidR="00750B1A">
        <w:t xml:space="preserve">focus; the establishment of a link to the INFF </w:t>
      </w:r>
      <w:r w:rsidR="00F05FBC">
        <w:t>building blocks</w:t>
      </w:r>
      <w:r w:rsidR="00750B1A">
        <w:t>; etc.)</w:t>
      </w:r>
      <w:r w:rsidR="00A80EBC">
        <w:t xml:space="preserve"> was lacking. </w:t>
      </w:r>
    </w:p>
    <w:p w14:paraId="407C58FD" w14:textId="641211B3" w:rsidR="004579DE" w:rsidRDefault="00805F92" w:rsidP="005D16A9">
      <w:pPr>
        <w:pStyle w:val="BodyText"/>
      </w:pPr>
      <w:r>
        <w:t xml:space="preserve">Limited </w:t>
      </w:r>
      <w:r w:rsidR="00B95703">
        <w:t>management oversight by UNDESA-FSDO can be attributed</w:t>
      </w:r>
      <w:r w:rsidR="005469C6">
        <w:t xml:space="preserve">, in part, </w:t>
      </w:r>
      <w:r w:rsidR="00B95703">
        <w:t xml:space="preserve">to the decentralised </w:t>
      </w:r>
      <w:r w:rsidR="00B1760F">
        <w:t xml:space="preserve">approach to </w:t>
      </w:r>
      <w:r w:rsidR="00B95703">
        <w:t xml:space="preserve">project implementation. </w:t>
      </w:r>
      <w:r w:rsidR="00D16248">
        <w:t xml:space="preserve">Decentralisation </w:t>
      </w:r>
      <w:r w:rsidR="008D2B3E">
        <w:t xml:space="preserve">had the advantage of </w:t>
      </w:r>
      <w:r w:rsidR="00E35C7D">
        <w:t>p</w:t>
      </w:r>
      <w:r w:rsidR="001F488E">
        <w:t>rovid</w:t>
      </w:r>
      <w:r w:rsidR="008D2B3E">
        <w:t>ing</w:t>
      </w:r>
      <w:r w:rsidR="001F488E">
        <w:t xml:space="preserve"> each executing entity with the flexibility to develop</w:t>
      </w:r>
      <w:r w:rsidR="006C275E">
        <w:t xml:space="preserve"> </w:t>
      </w:r>
      <w:r w:rsidR="00D16248">
        <w:t xml:space="preserve">and facilitate </w:t>
      </w:r>
      <w:r w:rsidR="00E35C7D">
        <w:t>project activities based on</w:t>
      </w:r>
      <w:r w:rsidR="004F029B">
        <w:t xml:space="preserve"> its own</w:t>
      </w:r>
      <w:r w:rsidR="00E35C7D">
        <w:t xml:space="preserve"> in</w:t>
      </w:r>
      <w:r w:rsidR="004F029B">
        <w:t>stitutional</w:t>
      </w:r>
      <w:r w:rsidR="00E35C7D">
        <w:t xml:space="preserve"> approaches</w:t>
      </w:r>
      <w:r w:rsidR="00872D8C">
        <w:t>/</w:t>
      </w:r>
      <w:r w:rsidR="00B9038D">
        <w:t xml:space="preserve"> specialities</w:t>
      </w:r>
      <w:r w:rsidR="00232F54">
        <w:t>, as a contribution towards</w:t>
      </w:r>
      <w:r w:rsidR="00B9038D">
        <w:t xml:space="preserve"> </w:t>
      </w:r>
      <w:r w:rsidR="001B1F6E">
        <w:t xml:space="preserve">INFF </w:t>
      </w:r>
      <w:r w:rsidR="004D645E">
        <w:t>development</w:t>
      </w:r>
      <w:r w:rsidR="001B1F6E">
        <w:t>.</w:t>
      </w:r>
      <w:r w:rsidR="00DC6137">
        <w:t xml:space="preserve"> </w:t>
      </w:r>
      <w:r w:rsidR="00D0382D">
        <w:t xml:space="preserve">Conversely, </w:t>
      </w:r>
      <w:r w:rsidR="0053323C">
        <w:t xml:space="preserve">limited </w:t>
      </w:r>
      <w:r w:rsidR="005A7FA3">
        <w:t xml:space="preserve">management oversight </w:t>
      </w:r>
      <w:r w:rsidR="007D42B1">
        <w:t xml:space="preserve">contributed towards the </w:t>
      </w:r>
      <w:r w:rsidR="004F029B" w:rsidRPr="000D4A0C">
        <w:t xml:space="preserve">delayed </w:t>
      </w:r>
      <w:r w:rsidR="00BF3ACD">
        <w:t xml:space="preserve">finalisation </w:t>
      </w:r>
      <w:r w:rsidR="004F029B" w:rsidRPr="000D4A0C">
        <w:t>of the INFF guidance document</w:t>
      </w:r>
      <w:r w:rsidR="00BF3ACD">
        <w:t>s</w:t>
      </w:r>
      <w:r w:rsidR="007D42B1">
        <w:t>.</w:t>
      </w:r>
      <w:r w:rsidR="008A34BC">
        <w:t xml:space="preserve"> As a result, there </w:t>
      </w:r>
      <w:r w:rsidR="008A34BC">
        <w:lastRenderedPageBreak/>
        <w:t xml:space="preserve">were </w:t>
      </w:r>
      <w:r w:rsidR="004F029B" w:rsidRPr="000D4A0C">
        <w:t xml:space="preserve">differences in the </w:t>
      </w:r>
      <w:r w:rsidR="004F029B" w:rsidRPr="00FC3C71">
        <w:t xml:space="preserve">pace </w:t>
      </w:r>
      <w:r w:rsidR="0057227C">
        <w:t>of</w:t>
      </w:r>
      <w:r w:rsidR="004F029B" w:rsidRPr="000D4A0C">
        <w:t xml:space="preserve"> </w:t>
      </w:r>
      <w:r w:rsidR="001548CA">
        <w:t xml:space="preserve">project </w:t>
      </w:r>
      <w:r w:rsidR="004F029B" w:rsidRPr="000D4A0C">
        <w:t>implementation</w:t>
      </w:r>
      <w:r w:rsidR="0057227C">
        <w:t xml:space="preserve">, as </w:t>
      </w:r>
      <w:r w:rsidR="0057227C" w:rsidRPr="00C47B6B">
        <w:t xml:space="preserve">well as the </w:t>
      </w:r>
      <w:r w:rsidR="00F92523" w:rsidRPr="00C47B6B">
        <w:t>thematic focus of project activities</w:t>
      </w:r>
      <w:r w:rsidR="00074D61" w:rsidRPr="00C47B6B">
        <w:t>,</w:t>
      </w:r>
      <w:r w:rsidR="004F029B" w:rsidRPr="00C47B6B">
        <w:t xml:space="preserve"> across</w:t>
      </w:r>
      <w:r w:rsidR="004F029B" w:rsidRPr="000D4A0C">
        <w:t xml:space="preserve"> </w:t>
      </w:r>
      <w:r w:rsidR="00C47B6B">
        <w:t xml:space="preserve">the </w:t>
      </w:r>
      <w:r w:rsidR="001548CA">
        <w:t xml:space="preserve">executing </w:t>
      </w:r>
      <w:r w:rsidR="004F029B" w:rsidRPr="000D4A0C">
        <w:t>entities</w:t>
      </w:r>
      <w:r w:rsidR="001548CA">
        <w:t>.</w:t>
      </w:r>
      <w:r w:rsidR="00DF68E6">
        <w:t xml:space="preserve"> </w:t>
      </w:r>
      <w:r w:rsidR="007B3528">
        <w:t>Stakeholders at the level of the target countries</w:t>
      </w:r>
      <w:r w:rsidR="002C1480">
        <w:t xml:space="preserve"> (i.e. representatives of </w:t>
      </w:r>
      <w:r w:rsidR="0087612C">
        <w:t>the institutions that were engaged as target project beneficiaries)</w:t>
      </w:r>
      <w:r w:rsidR="007B3528">
        <w:t xml:space="preserve"> further indicated that the guidance documents </w:t>
      </w:r>
      <w:r w:rsidR="003709B9">
        <w:t xml:space="preserve">did not </w:t>
      </w:r>
      <w:r w:rsidR="00D107D2">
        <w:t xml:space="preserve">easily allow for </w:t>
      </w:r>
      <w:r w:rsidR="00BE1617">
        <w:t>contextual application at the country-leve</w:t>
      </w:r>
      <w:r w:rsidR="00E6037B">
        <w:t xml:space="preserve">l. The guidance material did not </w:t>
      </w:r>
      <w:r w:rsidR="003709B9">
        <w:t xml:space="preserve">provide the level of </w:t>
      </w:r>
      <w:r w:rsidR="00A2390C">
        <w:t>contextual</w:t>
      </w:r>
      <w:r w:rsidR="000041B0">
        <w:t xml:space="preserve"> </w:t>
      </w:r>
      <w:r w:rsidR="003709B9">
        <w:t xml:space="preserve">detail that was required to </w:t>
      </w:r>
      <w:r w:rsidR="003709B9" w:rsidRPr="00EE394E">
        <w:rPr>
          <w:szCs w:val="20"/>
        </w:rPr>
        <w:t xml:space="preserve">inform </w:t>
      </w:r>
      <w:r w:rsidR="00E6037B">
        <w:rPr>
          <w:szCs w:val="20"/>
        </w:rPr>
        <w:t xml:space="preserve">the </w:t>
      </w:r>
      <w:r w:rsidR="003709B9" w:rsidRPr="00EE394E">
        <w:rPr>
          <w:szCs w:val="20"/>
        </w:rPr>
        <w:t xml:space="preserve">country-level implementation of the INFF </w:t>
      </w:r>
      <w:r w:rsidR="00F05FBC">
        <w:rPr>
          <w:szCs w:val="20"/>
        </w:rPr>
        <w:t>building blocks</w:t>
      </w:r>
      <w:r w:rsidR="003709B9">
        <w:rPr>
          <w:szCs w:val="20"/>
        </w:rPr>
        <w:t>.</w:t>
      </w:r>
      <w:r w:rsidR="004A0182">
        <w:rPr>
          <w:rStyle w:val="FootnoteReference"/>
          <w:szCs w:val="20"/>
        </w:rPr>
        <w:footnoteReference w:id="201"/>
      </w:r>
    </w:p>
    <w:p w14:paraId="0402CCCF" w14:textId="4476BCD6" w:rsidR="009364F6" w:rsidRDefault="00B1760F" w:rsidP="005D16A9">
      <w:pPr>
        <w:pStyle w:val="BodyText"/>
        <w:rPr>
          <w:rFonts w:cstheme="minorHAnsi"/>
          <w:szCs w:val="20"/>
        </w:rPr>
      </w:pPr>
      <w:r>
        <w:t>S</w:t>
      </w:r>
      <w:r w:rsidR="00136361">
        <w:t>ignificantly, the</w:t>
      </w:r>
      <w:r w:rsidR="00F41166">
        <w:t xml:space="preserve">re was no indication of a designated project management function for UNDESA-FSDO within the </w:t>
      </w:r>
      <w:r w:rsidR="00F974EB">
        <w:t>project document</w:t>
      </w:r>
      <w:r w:rsidR="003F67F7">
        <w:t xml:space="preserve">. There </w:t>
      </w:r>
      <w:r w:rsidR="00920276">
        <w:t>were guidelines for</w:t>
      </w:r>
      <w:r w:rsidR="001649F3">
        <w:t xml:space="preserve"> </w:t>
      </w:r>
      <w:r w:rsidR="009953D1">
        <w:t xml:space="preserve">the </w:t>
      </w:r>
      <w:r w:rsidR="009346B1">
        <w:t xml:space="preserve">lead executing </w:t>
      </w:r>
      <w:r w:rsidR="009953D1">
        <w:t>entity t</w:t>
      </w:r>
      <w:r w:rsidR="001649F3">
        <w:t>o a</w:t>
      </w:r>
      <w:r w:rsidR="00920276">
        <w:t>ssum</w:t>
      </w:r>
      <w:r w:rsidR="001649F3">
        <w:t>e</w:t>
      </w:r>
      <w:r w:rsidR="00920276">
        <w:t xml:space="preserve"> a coordinating function</w:t>
      </w:r>
      <w:r w:rsidR="001649F3">
        <w:t xml:space="preserve"> </w:t>
      </w:r>
      <w:r w:rsidR="008B5CDE">
        <w:t xml:space="preserve">during </w:t>
      </w:r>
      <w:r w:rsidR="001649F3">
        <w:t>project implementation</w:t>
      </w:r>
      <w:r w:rsidR="00920276">
        <w:t>.</w:t>
      </w:r>
      <w:r w:rsidR="003F6826">
        <w:t xml:space="preserve"> The issue to be addressed, therefore, </w:t>
      </w:r>
      <w:r w:rsidR="00072DC6">
        <w:t xml:space="preserve">relates to </w:t>
      </w:r>
      <w:r w:rsidR="003F6826">
        <w:t>the project design</w:t>
      </w:r>
      <w:r w:rsidR="00B40B7F">
        <w:t>, including</w:t>
      </w:r>
      <w:r w:rsidR="00C90C45">
        <w:t xml:space="preserve"> </w:t>
      </w:r>
      <w:r w:rsidR="00DE014F">
        <w:t>whether there was need for</w:t>
      </w:r>
      <w:r w:rsidR="00752C7F">
        <w:t xml:space="preserve"> (as well as </w:t>
      </w:r>
      <w:r w:rsidR="00082BF9">
        <w:t>value in</w:t>
      </w:r>
      <w:r w:rsidR="00752C7F">
        <w:t>)</w:t>
      </w:r>
      <w:r w:rsidR="00082BF9">
        <w:t xml:space="preserve"> harmonised</w:t>
      </w:r>
      <w:r w:rsidR="00017AC5">
        <w:t xml:space="preserve"> implementation</w:t>
      </w:r>
      <w:r w:rsidR="00457AAF">
        <w:t xml:space="preserve">, as opposed to </w:t>
      </w:r>
      <w:r w:rsidR="00017AC5">
        <w:t xml:space="preserve">a </w:t>
      </w:r>
      <w:r w:rsidR="00457AAF" w:rsidRPr="00FB0C39">
        <w:t>decentralised,</w:t>
      </w:r>
      <w:r w:rsidR="00082BF9" w:rsidRPr="00FB0C39">
        <w:t xml:space="preserve"> </w:t>
      </w:r>
      <w:r w:rsidR="00017AC5" w:rsidRPr="00FB0C39">
        <w:t>approach</w:t>
      </w:r>
      <w:r w:rsidR="00906261" w:rsidRPr="00FB0C39">
        <w:t xml:space="preserve">. </w:t>
      </w:r>
      <w:r w:rsidR="00D0425D" w:rsidRPr="00FB0C39">
        <w:t xml:space="preserve">Indeed, the project </w:t>
      </w:r>
      <w:r w:rsidR="00515537" w:rsidRPr="00FB0C39">
        <w:t xml:space="preserve">document specified a </w:t>
      </w:r>
      <w:r w:rsidR="00E03F16" w:rsidRPr="00FB0C39">
        <w:rPr>
          <w:rFonts w:cstheme="minorHAnsi"/>
          <w:szCs w:val="20"/>
        </w:rPr>
        <w:t>need for contextual synergies at</w:t>
      </w:r>
      <w:r w:rsidR="00E03F16">
        <w:rPr>
          <w:rFonts w:cstheme="minorHAnsi"/>
          <w:szCs w:val="20"/>
        </w:rPr>
        <w:t xml:space="preserve"> the country-specific and regional levels, to support coordinated implementation</w:t>
      </w:r>
      <w:r w:rsidR="004665DB">
        <w:rPr>
          <w:rFonts w:cstheme="minorHAnsi"/>
          <w:szCs w:val="20"/>
        </w:rPr>
        <w:t xml:space="preserve"> by the executing entities.</w:t>
      </w:r>
      <w:r w:rsidR="00D856E8">
        <w:rPr>
          <w:rFonts w:cstheme="minorHAnsi"/>
          <w:szCs w:val="20"/>
        </w:rPr>
        <w:t xml:space="preserve"> </w:t>
      </w:r>
      <w:r w:rsidR="008E4040">
        <w:rPr>
          <w:rFonts w:cstheme="minorHAnsi"/>
          <w:szCs w:val="20"/>
        </w:rPr>
        <w:t>F</w:t>
      </w:r>
      <w:r w:rsidR="00364639">
        <w:rPr>
          <w:rFonts w:cstheme="minorHAnsi"/>
          <w:szCs w:val="20"/>
        </w:rPr>
        <w:t xml:space="preserve">ocal points were required to </w:t>
      </w:r>
      <w:r w:rsidR="00F87EA2">
        <w:rPr>
          <w:rFonts w:cstheme="minorHAnsi"/>
          <w:szCs w:val="20"/>
        </w:rPr>
        <w:t>coordinate ‘complementary country and regional activities and make use of synergies</w:t>
      </w:r>
      <w:r w:rsidR="00D856E8">
        <w:rPr>
          <w:rFonts w:cstheme="minorHAnsi"/>
          <w:szCs w:val="20"/>
        </w:rPr>
        <w:t xml:space="preserve"> where possible</w:t>
      </w:r>
      <w:r w:rsidR="00835301">
        <w:rPr>
          <w:rFonts w:cstheme="minorHAnsi"/>
          <w:szCs w:val="20"/>
        </w:rPr>
        <w:t>.</w:t>
      </w:r>
      <w:r w:rsidR="00D856E8">
        <w:rPr>
          <w:rFonts w:cstheme="minorHAnsi"/>
          <w:szCs w:val="20"/>
        </w:rPr>
        <w:t>’</w:t>
      </w:r>
      <w:r w:rsidR="00D856E8">
        <w:rPr>
          <w:rStyle w:val="FootnoteReference"/>
          <w:rFonts w:cstheme="minorHAnsi"/>
          <w:szCs w:val="20"/>
        </w:rPr>
        <w:footnoteReference w:id="202"/>
      </w:r>
      <w:r w:rsidR="00835301">
        <w:rPr>
          <w:rFonts w:cstheme="minorHAnsi"/>
          <w:szCs w:val="20"/>
        </w:rPr>
        <w:t xml:space="preserve"> </w:t>
      </w:r>
      <w:r w:rsidR="005E4449">
        <w:rPr>
          <w:rFonts w:cstheme="minorHAnsi"/>
          <w:szCs w:val="20"/>
        </w:rPr>
        <w:t>T</w:t>
      </w:r>
      <w:r w:rsidR="00AF1345">
        <w:rPr>
          <w:rFonts w:cstheme="minorHAnsi"/>
          <w:szCs w:val="20"/>
        </w:rPr>
        <w:t>h</w:t>
      </w:r>
      <w:r w:rsidR="008236E9">
        <w:rPr>
          <w:rFonts w:cstheme="minorHAnsi"/>
          <w:szCs w:val="20"/>
        </w:rPr>
        <w:t>ree</w:t>
      </w:r>
      <w:r w:rsidR="007428E5">
        <w:rPr>
          <w:rFonts w:cstheme="minorHAnsi"/>
          <w:szCs w:val="20"/>
        </w:rPr>
        <w:t xml:space="preserve"> </w:t>
      </w:r>
      <w:r w:rsidR="005E4449">
        <w:rPr>
          <w:rFonts w:cstheme="minorHAnsi"/>
          <w:szCs w:val="20"/>
        </w:rPr>
        <w:t xml:space="preserve">points are worth noting. </w:t>
      </w:r>
    </w:p>
    <w:p w14:paraId="53E48913" w14:textId="0E3F38CC" w:rsidR="001752CF" w:rsidRDefault="005E4449" w:rsidP="005D16A9">
      <w:pPr>
        <w:pStyle w:val="BodyText"/>
        <w:rPr>
          <w:rFonts w:cstheme="minorHAnsi"/>
          <w:szCs w:val="20"/>
        </w:rPr>
      </w:pPr>
      <w:r>
        <w:rPr>
          <w:rFonts w:cstheme="minorHAnsi"/>
          <w:szCs w:val="20"/>
        </w:rPr>
        <w:t xml:space="preserve">First, </w:t>
      </w:r>
      <w:r w:rsidR="00CD0677">
        <w:rPr>
          <w:rFonts w:cstheme="minorHAnsi"/>
          <w:szCs w:val="20"/>
        </w:rPr>
        <w:t xml:space="preserve">the </w:t>
      </w:r>
      <w:r w:rsidR="00DE6CEB">
        <w:rPr>
          <w:rFonts w:cstheme="minorHAnsi"/>
          <w:szCs w:val="20"/>
        </w:rPr>
        <w:t xml:space="preserve">establishment of </w:t>
      </w:r>
      <w:r w:rsidR="00564EB9">
        <w:rPr>
          <w:rFonts w:cstheme="minorHAnsi"/>
          <w:szCs w:val="20"/>
        </w:rPr>
        <w:t xml:space="preserve">contextual synergies aligned with the INFF methodology, which </w:t>
      </w:r>
      <w:r w:rsidR="008E3651">
        <w:rPr>
          <w:rFonts w:cstheme="minorHAnsi"/>
          <w:szCs w:val="20"/>
        </w:rPr>
        <w:t xml:space="preserve">builds on </w:t>
      </w:r>
      <w:r w:rsidR="00006695">
        <w:rPr>
          <w:rFonts w:cstheme="minorHAnsi"/>
          <w:szCs w:val="20"/>
        </w:rPr>
        <w:t>exist</w:t>
      </w:r>
      <w:r w:rsidR="007E76BE">
        <w:rPr>
          <w:rFonts w:cstheme="minorHAnsi"/>
          <w:szCs w:val="20"/>
        </w:rPr>
        <w:t>ing</w:t>
      </w:r>
      <w:r w:rsidR="00006695">
        <w:rPr>
          <w:rFonts w:cstheme="minorHAnsi"/>
          <w:szCs w:val="20"/>
        </w:rPr>
        <w:t xml:space="preserve"> </w:t>
      </w:r>
      <w:r w:rsidR="00F22E1C">
        <w:rPr>
          <w:rFonts w:cstheme="minorHAnsi"/>
          <w:szCs w:val="20"/>
        </w:rPr>
        <w:t xml:space="preserve">infrastructure </w:t>
      </w:r>
      <w:r w:rsidR="007E76BE">
        <w:rPr>
          <w:rFonts w:cstheme="minorHAnsi"/>
          <w:szCs w:val="20"/>
        </w:rPr>
        <w:t xml:space="preserve">within target countries </w:t>
      </w:r>
      <w:r w:rsidR="00864339">
        <w:rPr>
          <w:rFonts w:cstheme="minorHAnsi"/>
          <w:szCs w:val="20"/>
        </w:rPr>
        <w:t xml:space="preserve">(e.g. </w:t>
      </w:r>
      <w:r w:rsidR="004A36A8">
        <w:rPr>
          <w:rFonts w:cstheme="minorHAnsi"/>
          <w:szCs w:val="20"/>
        </w:rPr>
        <w:t>strategic priorities</w:t>
      </w:r>
      <w:r w:rsidR="00864339">
        <w:rPr>
          <w:rFonts w:cstheme="minorHAnsi"/>
          <w:szCs w:val="20"/>
        </w:rPr>
        <w:t>;</w:t>
      </w:r>
      <w:r w:rsidR="004A36A8">
        <w:rPr>
          <w:rFonts w:cstheme="minorHAnsi"/>
          <w:szCs w:val="20"/>
        </w:rPr>
        <w:t xml:space="preserve"> </w:t>
      </w:r>
      <w:r w:rsidR="005A40BF">
        <w:rPr>
          <w:rFonts w:cstheme="minorHAnsi"/>
          <w:szCs w:val="20"/>
        </w:rPr>
        <w:t>national policies</w:t>
      </w:r>
      <w:r w:rsidR="00F22E1C">
        <w:rPr>
          <w:rFonts w:cstheme="minorHAnsi"/>
          <w:szCs w:val="20"/>
        </w:rPr>
        <w:t>; capaci</w:t>
      </w:r>
      <w:r w:rsidR="00CA63EF">
        <w:rPr>
          <w:rFonts w:cstheme="minorHAnsi"/>
          <w:szCs w:val="20"/>
        </w:rPr>
        <w:t>ties</w:t>
      </w:r>
      <w:r w:rsidR="004E498E">
        <w:rPr>
          <w:rFonts w:cstheme="minorHAnsi"/>
          <w:szCs w:val="20"/>
        </w:rPr>
        <w:t>; etc.)</w:t>
      </w:r>
      <w:r w:rsidR="005C0CE5">
        <w:rPr>
          <w:rFonts w:cstheme="minorHAnsi"/>
          <w:szCs w:val="20"/>
        </w:rPr>
        <w:t>,</w:t>
      </w:r>
      <w:r w:rsidR="004A36A8">
        <w:rPr>
          <w:rFonts w:cstheme="minorHAnsi"/>
          <w:szCs w:val="20"/>
        </w:rPr>
        <w:t xml:space="preserve"> </w:t>
      </w:r>
      <w:r w:rsidR="00FA68FF">
        <w:rPr>
          <w:rFonts w:cstheme="minorHAnsi"/>
          <w:szCs w:val="20"/>
        </w:rPr>
        <w:t xml:space="preserve">to </w:t>
      </w:r>
      <w:r w:rsidR="005D5A44">
        <w:rPr>
          <w:rFonts w:cstheme="minorHAnsi"/>
          <w:szCs w:val="20"/>
        </w:rPr>
        <w:t xml:space="preserve">support the </w:t>
      </w:r>
      <w:r w:rsidR="00FA68FF">
        <w:rPr>
          <w:rFonts w:cstheme="minorHAnsi"/>
          <w:szCs w:val="20"/>
        </w:rPr>
        <w:t>identif</w:t>
      </w:r>
      <w:r w:rsidR="005D5A44">
        <w:rPr>
          <w:rFonts w:cstheme="minorHAnsi"/>
          <w:szCs w:val="20"/>
        </w:rPr>
        <w:t>ication</w:t>
      </w:r>
      <w:r w:rsidR="00FA68FF">
        <w:rPr>
          <w:rFonts w:cstheme="minorHAnsi"/>
          <w:szCs w:val="20"/>
        </w:rPr>
        <w:t xml:space="preserve"> and operationalis</w:t>
      </w:r>
      <w:r w:rsidR="00990121">
        <w:rPr>
          <w:rFonts w:cstheme="minorHAnsi"/>
          <w:szCs w:val="20"/>
        </w:rPr>
        <w:t xml:space="preserve">ation of </w:t>
      </w:r>
      <w:r w:rsidR="00FA68FF" w:rsidRPr="00D56AFE">
        <w:rPr>
          <w:rFonts w:cstheme="minorHAnsi"/>
          <w:szCs w:val="20"/>
        </w:rPr>
        <w:t>f</w:t>
      </w:r>
      <w:r w:rsidR="00911094" w:rsidRPr="00D56AFE">
        <w:rPr>
          <w:rFonts w:cstheme="minorHAnsi"/>
          <w:szCs w:val="20"/>
        </w:rPr>
        <w:t xml:space="preserve">inancial </w:t>
      </w:r>
      <w:r w:rsidR="00A400AA" w:rsidRPr="00D56AFE">
        <w:rPr>
          <w:rFonts w:cstheme="minorHAnsi"/>
          <w:szCs w:val="20"/>
        </w:rPr>
        <w:t>solutions for sustainable development</w:t>
      </w:r>
      <w:r w:rsidR="00A400AA">
        <w:rPr>
          <w:rFonts w:cstheme="minorHAnsi"/>
          <w:szCs w:val="20"/>
        </w:rPr>
        <w:t>.</w:t>
      </w:r>
      <w:r w:rsidR="007E76BE">
        <w:rPr>
          <w:rStyle w:val="FootnoteReference"/>
          <w:rFonts w:cstheme="minorHAnsi"/>
          <w:szCs w:val="20"/>
        </w:rPr>
        <w:footnoteReference w:id="203"/>
      </w:r>
      <w:r w:rsidR="00DD0E16">
        <w:rPr>
          <w:rFonts w:cstheme="minorHAnsi"/>
          <w:szCs w:val="20"/>
        </w:rPr>
        <w:t xml:space="preserve"> Second, </w:t>
      </w:r>
      <w:r w:rsidR="005527BD">
        <w:rPr>
          <w:rFonts w:cstheme="minorHAnsi"/>
          <w:szCs w:val="20"/>
        </w:rPr>
        <w:t>the</w:t>
      </w:r>
      <w:r w:rsidR="003A4FDA">
        <w:rPr>
          <w:rFonts w:cstheme="minorHAnsi"/>
          <w:szCs w:val="20"/>
        </w:rPr>
        <w:t xml:space="preserve"> </w:t>
      </w:r>
      <w:r w:rsidR="005527BD">
        <w:rPr>
          <w:rFonts w:cstheme="minorHAnsi"/>
          <w:szCs w:val="20"/>
        </w:rPr>
        <w:t xml:space="preserve">INFF methodology </w:t>
      </w:r>
      <w:r w:rsidR="003A4FDA">
        <w:rPr>
          <w:rFonts w:cstheme="minorHAnsi"/>
          <w:szCs w:val="20"/>
        </w:rPr>
        <w:t xml:space="preserve">is </w:t>
      </w:r>
      <w:r w:rsidR="00672D08">
        <w:rPr>
          <w:rFonts w:cstheme="minorHAnsi"/>
          <w:szCs w:val="20"/>
        </w:rPr>
        <w:t xml:space="preserve">designed for </w:t>
      </w:r>
      <w:r w:rsidR="003A4FDA">
        <w:rPr>
          <w:rFonts w:cstheme="minorHAnsi"/>
          <w:szCs w:val="20"/>
        </w:rPr>
        <w:t>country</w:t>
      </w:r>
      <w:r w:rsidR="0021630F">
        <w:rPr>
          <w:rFonts w:cstheme="minorHAnsi"/>
          <w:szCs w:val="20"/>
        </w:rPr>
        <w:t>-specific application</w:t>
      </w:r>
      <w:r w:rsidR="00AD163F">
        <w:rPr>
          <w:rFonts w:cstheme="minorHAnsi"/>
          <w:szCs w:val="20"/>
        </w:rPr>
        <w:t>,</w:t>
      </w:r>
      <w:r w:rsidR="0021630F">
        <w:rPr>
          <w:rFonts w:cstheme="minorHAnsi"/>
          <w:szCs w:val="20"/>
        </w:rPr>
        <w:t xml:space="preserve"> to </w:t>
      </w:r>
      <w:r w:rsidR="00FA3C26">
        <w:rPr>
          <w:rFonts w:cstheme="minorHAnsi"/>
          <w:szCs w:val="20"/>
        </w:rPr>
        <w:t xml:space="preserve">encourage </w:t>
      </w:r>
      <w:r w:rsidR="0021630F">
        <w:rPr>
          <w:rFonts w:cstheme="minorHAnsi"/>
          <w:szCs w:val="20"/>
        </w:rPr>
        <w:t xml:space="preserve">national </w:t>
      </w:r>
      <w:r w:rsidR="00AD163F">
        <w:rPr>
          <w:rFonts w:cstheme="minorHAnsi"/>
          <w:szCs w:val="20"/>
        </w:rPr>
        <w:t>ownership</w:t>
      </w:r>
      <w:r w:rsidR="00752996">
        <w:rPr>
          <w:rFonts w:cstheme="minorHAnsi"/>
          <w:szCs w:val="20"/>
        </w:rPr>
        <w:t>, as</w:t>
      </w:r>
      <w:r w:rsidR="004C26FF">
        <w:rPr>
          <w:rFonts w:cstheme="minorHAnsi"/>
          <w:szCs w:val="20"/>
        </w:rPr>
        <w:t xml:space="preserve"> </w:t>
      </w:r>
      <w:r w:rsidR="007C71B7">
        <w:rPr>
          <w:rFonts w:cstheme="minorHAnsi"/>
          <w:szCs w:val="20"/>
        </w:rPr>
        <w:t xml:space="preserve">there </w:t>
      </w:r>
      <w:r w:rsidR="004C26FF">
        <w:rPr>
          <w:rFonts w:cstheme="minorHAnsi"/>
          <w:szCs w:val="20"/>
        </w:rPr>
        <w:t>is</w:t>
      </w:r>
      <w:r w:rsidR="00484BA7">
        <w:rPr>
          <w:rFonts w:cstheme="minorHAnsi"/>
          <w:szCs w:val="20"/>
        </w:rPr>
        <w:t xml:space="preserve"> no </w:t>
      </w:r>
      <w:r w:rsidR="007C71B7">
        <w:rPr>
          <w:rFonts w:cstheme="minorHAnsi"/>
          <w:szCs w:val="20"/>
        </w:rPr>
        <w:t xml:space="preserve">one-size-fits-all approach </w:t>
      </w:r>
      <w:r w:rsidR="001901C8">
        <w:rPr>
          <w:rFonts w:cstheme="minorHAnsi"/>
          <w:szCs w:val="20"/>
        </w:rPr>
        <w:t xml:space="preserve">to INFF </w:t>
      </w:r>
      <w:r w:rsidR="00484BA7">
        <w:rPr>
          <w:rFonts w:cstheme="minorHAnsi"/>
          <w:szCs w:val="20"/>
        </w:rPr>
        <w:t>facilitation</w:t>
      </w:r>
      <w:r w:rsidR="00752996">
        <w:rPr>
          <w:rFonts w:cstheme="minorHAnsi"/>
          <w:szCs w:val="20"/>
        </w:rPr>
        <w:t>.</w:t>
      </w:r>
      <w:r w:rsidR="001B1592" w:rsidRPr="001B1592">
        <w:rPr>
          <w:rStyle w:val="FootnoteReference"/>
          <w:rFonts w:cstheme="minorHAnsi"/>
          <w:szCs w:val="20"/>
        </w:rPr>
        <w:t xml:space="preserve"> </w:t>
      </w:r>
      <w:r w:rsidR="001B1592">
        <w:rPr>
          <w:rStyle w:val="FootnoteReference"/>
          <w:rFonts w:cstheme="minorHAnsi"/>
          <w:szCs w:val="20"/>
        </w:rPr>
        <w:footnoteReference w:id="204"/>
      </w:r>
      <w:r w:rsidR="002A5846">
        <w:rPr>
          <w:rFonts w:cstheme="minorHAnsi"/>
          <w:szCs w:val="20"/>
        </w:rPr>
        <w:t xml:space="preserve"> </w:t>
      </w:r>
      <w:r w:rsidR="00922AC6">
        <w:rPr>
          <w:rFonts w:cstheme="minorHAnsi"/>
          <w:szCs w:val="20"/>
        </w:rPr>
        <w:t>R</w:t>
      </w:r>
      <w:r w:rsidR="002A5846">
        <w:rPr>
          <w:rFonts w:cstheme="minorHAnsi"/>
          <w:szCs w:val="20"/>
        </w:rPr>
        <w:t>egional</w:t>
      </w:r>
      <w:r w:rsidR="00473337">
        <w:rPr>
          <w:rFonts w:cstheme="minorHAnsi"/>
          <w:szCs w:val="20"/>
        </w:rPr>
        <w:t xml:space="preserve"> opportunities</w:t>
      </w:r>
      <w:r w:rsidR="002860DE">
        <w:rPr>
          <w:rFonts w:cstheme="minorHAnsi"/>
          <w:szCs w:val="20"/>
        </w:rPr>
        <w:t xml:space="preserve"> for </w:t>
      </w:r>
      <w:r w:rsidR="001321A7">
        <w:rPr>
          <w:rFonts w:cstheme="minorHAnsi"/>
          <w:szCs w:val="20"/>
        </w:rPr>
        <w:t>built</w:t>
      </w:r>
      <w:r w:rsidR="009455A0">
        <w:rPr>
          <w:rFonts w:cstheme="minorHAnsi"/>
          <w:szCs w:val="20"/>
        </w:rPr>
        <w:t xml:space="preserve"> </w:t>
      </w:r>
      <w:r w:rsidR="001321A7">
        <w:rPr>
          <w:rFonts w:cstheme="minorHAnsi"/>
          <w:szCs w:val="20"/>
        </w:rPr>
        <w:t>n</w:t>
      </w:r>
      <w:r w:rsidR="002860DE">
        <w:rPr>
          <w:rFonts w:cstheme="minorHAnsi"/>
          <w:szCs w:val="20"/>
        </w:rPr>
        <w:t>ational capacities in INFF facilitatio</w:t>
      </w:r>
      <w:r w:rsidR="00E1311E">
        <w:rPr>
          <w:rFonts w:cstheme="minorHAnsi"/>
          <w:szCs w:val="20"/>
        </w:rPr>
        <w:t>n (workshops; trainin</w:t>
      </w:r>
      <w:r w:rsidR="003D5FF9">
        <w:rPr>
          <w:rFonts w:cstheme="minorHAnsi"/>
          <w:szCs w:val="20"/>
        </w:rPr>
        <w:t>gs; etc.)</w:t>
      </w:r>
      <w:r w:rsidR="00981A21">
        <w:rPr>
          <w:rFonts w:cstheme="minorHAnsi"/>
          <w:szCs w:val="20"/>
        </w:rPr>
        <w:t xml:space="preserve"> </w:t>
      </w:r>
      <w:r w:rsidR="00C7764B">
        <w:rPr>
          <w:rFonts w:cstheme="minorHAnsi"/>
          <w:szCs w:val="20"/>
        </w:rPr>
        <w:t xml:space="preserve">have the potential to </w:t>
      </w:r>
      <w:r w:rsidR="00955DB5">
        <w:rPr>
          <w:rFonts w:cstheme="minorHAnsi"/>
          <w:szCs w:val="20"/>
        </w:rPr>
        <w:t xml:space="preserve">create synergies </w:t>
      </w:r>
      <w:r w:rsidR="00471379">
        <w:rPr>
          <w:rFonts w:cstheme="minorHAnsi"/>
          <w:szCs w:val="20"/>
        </w:rPr>
        <w:t>in the form of momentum</w:t>
      </w:r>
      <w:r w:rsidR="00441CFF">
        <w:rPr>
          <w:rFonts w:cstheme="minorHAnsi"/>
          <w:szCs w:val="20"/>
        </w:rPr>
        <w:t>/ interest</w:t>
      </w:r>
      <w:r w:rsidR="00471379">
        <w:rPr>
          <w:rFonts w:cstheme="minorHAnsi"/>
          <w:szCs w:val="20"/>
        </w:rPr>
        <w:t xml:space="preserve"> across participating countries</w:t>
      </w:r>
      <w:r w:rsidR="00441CFF">
        <w:rPr>
          <w:rFonts w:cstheme="minorHAnsi"/>
          <w:szCs w:val="20"/>
        </w:rPr>
        <w:t>,</w:t>
      </w:r>
      <w:r w:rsidR="00471379">
        <w:rPr>
          <w:rFonts w:cstheme="minorHAnsi"/>
          <w:szCs w:val="20"/>
        </w:rPr>
        <w:t xml:space="preserve"> to support </w:t>
      </w:r>
      <w:r w:rsidR="0009400C">
        <w:rPr>
          <w:rFonts w:cstheme="minorHAnsi"/>
          <w:szCs w:val="20"/>
        </w:rPr>
        <w:t>country</w:t>
      </w:r>
      <w:r w:rsidR="007D20F0">
        <w:rPr>
          <w:rFonts w:cstheme="minorHAnsi"/>
          <w:szCs w:val="20"/>
        </w:rPr>
        <w:t>-level uptake</w:t>
      </w:r>
      <w:r w:rsidR="00B970F0">
        <w:rPr>
          <w:rFonts w:cstheme="minorHAnsi"/>
          <w:szCs w:val="20"/>
        </w:rPr>
        <w:t xml:space="preserve"> </w:t>
      </w:r>
      <w:r w:rsidR="005C49B2">
        <w:rPr>
          <w:rFonts w:cstheme="minorHAnsi"/>
          <w:szCs w:val="20"/>
        </w:rPr>
        <w:t xml:space="preserve">of learnings </w:t>
      </w:r>
      <w:r w:rsidR="00C678EB">
        <w:rPr>
          <w:rFonts w:cstheme="minorHAnsi"/>
          <w:szCs w:val="20"/>
        </w:rPr>
        <w:t xml:space="preserve">across </w:t>
      </w:r>
      <w:r w:rsidR="007075FA">
        <w:rPr>
          <w:rFonts w:cstheme="minorHAnsi"/>
          <w:szCs w:val="20"/>
        </w:rPr>
        <w:t>the target regions.</w:t>
      </w:r>
      <w:r w:rsidR="008236E9">
        <w:rPr>
          <w:rFonts w:cstheme="minorHAnsi"/>
          <w:szCs w:val="20"/>
        </w:rPr>
        <w:t xml:space="preserve"> Third,</w:t>
      </w:r>
      <w:r w:rsidR="009F082E">
        <w:rPr>
          <w:rFonts w:cstheme="minorHAnsi"/>
          <w:szCs w:val="20"/>
        </w:rPr>
        <w:t xml:space="preserve"> while the </w:t>
      </w:r>
      <w:r w:rsidR="00472FEA">
        <w:rPr>
          <w:rFonts w:cstheme="minorHAnsi"/>
          <w:szCs w:val="20"/>
        </w:rPr>
        <w:t xml:space="preserve">aim of the project was </w:t>
      </w:r>
      <w:r w:rsidR="00472FEA">
        <w:rPr>
          <w:rFonts w:cstheme="minorHAnsi"/>
          <w:szCs w:val="20"/>
        </w:rPr>
        <w:t>to support the mobilisation and alignment of deve</w:t>
      </w:r>
      <w:r w:rsidR="00C078D0">
        <w:rPr>
          <w:rFonts w:cstheme="minorHAnsi"/>
          <w:szCs w:val="20"/>
        </w:rPr>
        <w:t>lopment financing with national development priorities,</w:t>
      </w:r>
      <w:r w:rsidR="002C65C9">
        <w:rPr>
          <w:rStyle w:val="FootnoteReference"/>
          <w:rFonts w:cstheme="minorHAnsi"/>
          <w:szCs w:val="20"/>
        </w:rPr>
        <w:footnoteReference w:id="205"/>
      </w:r>
      <w:r w:rsidR="00C078D0">
        <w:rPr>
          <w:rFonts w:cstheme="minorHAnsi"/>
          <w:szCs w:val="20"/>
        </w:rPr>
        <w:t xml:space="preserve"> </w:t>
      </w:r>
      <w:r w:rsidR="006F76E0">
        <w:rPr>
          <w:rFonts w:cstheme="minorHAnsi"/>
          <w:szCs w:val="20"/>
        </w:rPr>
        <w:t xml:space="preserve">by design, </w:t>
      </w:r>
      <w:r w:rsidR="00A63BF0">
        <w:rPr>
          <w:rFonts w:cstheme="minorHAnsi"/>
          <w:szCs w:val="20"/>
        </w:rPr>
        <w:t xml:space="preserve">project </w:t>
      </w:r>
      <w:r w:rsidR="00AF4DAD">
        <w:rPr>
          <w:rFonts w:cstheme="minorHAnsi"/>
          <w:szCs w:val="20"/>
        </w:rPr>
        <w:t xml:space="preserve">implementation </w:t>
      </w:r>
      <w:r w:rsidR="00DC6729">
        <w:rPr>
          <w:rFonts w:cstheme="minorHAnsi"/>
          <w:szCs w:val="20"/>
        </w:rPr>
        <w:t xml:space="preserve">was structured around </w:t>
      </w:r>
      <w:r w:rsidR="00C27836">
        <w:rPr>
          <w:rFonts w:cstheme="minorHAnsi"/>
          <w:szCs w:val="20"/>
        </w:rPr>
        <w:t>‘</w:t>
      </w:r>
      <w:r w:rsidR="00A63BF0">
        <w:rPr>
          <w:rFonts w:cstheme="minorHAnsi"/>
          <w:szCs w:val="20"/>
        </w:rPr>
        <w:t>the design and implementation of INFFs</w:t>
      </w:r>
      <w:r w:rsidR="00AF4DAD">
        <w:rPr>
          <w:rFonts w:cstheme="minorHAnsi"/>
          <w:szCs w:val="20"/>
        </w:rPr>
        <w:t>,</w:t>
      </w:r>
      <w:r w:rsidR="00C27836">
        <w:rPr>
          <w:rFonts w:cstheme="minorHAnsi"/>
          <w:szCs w:val="20"/>
        </w:rPr>
        <w:t>’</w:t>
      </w:r>
      <w:r w:rsidR="00AF4DAD" w:rsidRPr="00AF4DAD">
        <w:rPr>
          <w:rFonts w:cstheme="minorHAnsi"/>
          <w:szCs w:val="20"/>
        </w:rPr>
        <w:t xml:space="preserve"> </w:t>
      </w:r>
      <w:r w:rsidR="00AF4DAD">
        <w:rPr>
          <w:rFonts w:cstheme="minorHAnsi"/>
          <w:szCs w:val="20"/>
        </w:rPr>
        <w:t>inter alia</w:t>
      </w:r>
      <w:r w:rsidR="006F76E0">
        <w:rPr>
          <w:rFonts w:cstheme="minorHAnsi"/>
          <w:szCs w:val="20"/>
        </w:rPr>
        <w:t>.</w:t>
      </w:r>
      <w:r w:rsidR="00AF4DAD">
        <w:rPr>
          <w:rFonts w:cstheme="minorHAnsi"/>
          <w:szCs w:val="20"/>
        </w:rPr>
        <w:t xml:space="preserve"> </w:t>
      </w:r>
      <w:r w:rsidR="00C27836">
        <w:rPr>
          <w:rStyle w:val="FootnoteReference"/>
          <w:rFonts w:cstheme="minorHAnsi"/>
          <w:szCs w:val="20"/>
        </w:rPr>
        <w:footnoteReference w:id="206"/>
      </w:r>
      <w:r w:rsidR="008F7978">
        <w:rPr>
          <w:rFonts w:cstheme="minorHAnsi"/>
          <w:szCs w:val="20"/>
        </w:rPr>
        <w:t xml:space="preserve"> </w:t>
      </w:r>
      <w:r w:rsidR="001752CF">
        <w:rPr>
          <w:rFonts w:cstheme="minorHAnsi"/>
          <w:szCs w:val="20"/>
        </w:rPr>
        <w:t xml:space="preserve">During </w:t>
      </w:r>
      <w:r w:rsidR="002072A5">
        <w:rPr>
          <w:rFonts w:cstheme="minorHAnsi"/>
          <w:szCs w:val="20"/>
        </w:rPr>
        <w:t xml:space="preserve">actual </w:t>
      </w:r>
      <w:r w:rsidR="001752CF">
        <w:rPr>
          <w:rFonts w:cstheme="minorHAnsi"/>
          <w:szCs w:val="20"/>
        </w:rPr>
        <w:t xml:space="preserve">project implementation, however, there was a significant focus on </w:t>
      </w:r>
      <w:r w:rsidR="004974A7">
        <w:rPr>
          <w:rFonts w:cstheme="minorHAnsi"/>
          <w:szCs w:val="20"/>
        </w:rPr>
        <w:t>the mobilisation of development financing.</w:t>
      </w:r>
    </w:p>
    <w:p w14:paraId="6BB287BC" w14:textId="77777777" w:rsidR="00B34727" w:rsidRDefault="00EE1905" w:rsidP="005D16A9">
      <w:pPr>
        <w:pStyle w:val="BodyText"/>
        <w:rPr>
          <w:rFonts w:cstheme="minorHAnsi"/>
          <w:szCs w:val="20"/>
        </w:rPr>
      </w:pPr>
      <w:r>
        <w:rPr>
          <w:rFonts w:cstheme="minorHAnsi"/>
          <w:szCs w:val="20"/>
        </w:rPr>
        <w:t>In light of these three observation</w:t>
      </w:r>
      <w:r w:rsidR="00AA4FA2">
        <w:rPr>
          <w:rFonts w:cstheme="minorHAnsi"/>
          <w:szCs w:val="20"/>
        </w:rPr>
        <w:t xml:space="preserve">s, a harmonised approach </w:t>
      </w:r>
      <w:r w:rsidR="00BF5F91">
        <w:rPr>
          <w:rFonts w:cstheme="minorHAnsi"/>
          <w:szCs w:val="20"/>
        </w:rPr>
        <w:t xml:space="preserve">to implementation </w:t>
      </w:r>
      <w:r w:rsidR="002C1533">
        <w:rPr>
          <w:rFonts w:cstheme="minorHAnsi"/>
          <w:szCs w:val="20"/>
        </w:rPr>
        <w:t xml:space="preserve">would have allowed for greater </w:t>
      </w:r>
      <w:r w:rsidR="00B72584">
        <w:rPr>
          <w:rFonts w:cstheme="minorHAnsi"/>
          <w:szCs w:val="20"/>
        </w:rPr>
        <w:t>control by the lead implementing agency over</w:t>
      </w:r>
      <w:r w:rsidR="00D26A9A">
        <w:rPr>
          <w:rFonts w:cstheme="minorHAnsi"/>
          <w:szCs w:val="20"/>
        </w:rPr>
        <w:t>: i)</w:t>
      </w:r>
      <w:r w:rsidR="00B72584">
        <w:rPr>
          <w:rFonts w:cstheme="minorHAnsi"/>
          <w:szCs w:val="20"/>
        </w:rPr>
        <w:t xml:space="preserve"> the </w:t>
      </w:r>
      <w:r w:rsidR="000A5516">
        <w:rPr>
          <w:rFonts w:cstheme="minorHAnsi"/>
          <w:szCs w:val="20"/>
        </w:rPr>
        <w:t>pace of the project</w:t>
      </w:r>
      <w:r w:rsidR="00D26A9A">
        <w:rPr>
          <w:rFonts w:cstheme="minorHAnsi"/>
          <w:szCs w:val="20"/>
        </w:rPr>
        <w:t xml:space="preserve">; and ii) </w:t>
      </w:r>
      <w:r w:rsidR="0029407F">
        <w:rPr>
          <w:rFonts w:cstheme="minorHAnsi"/>
          <w:szCs w:val="20"/>
        </w:rPr>
        <w:t>a</w:t>
      </w:r>
      <w:r w:rsidR="00D26A9A">
        <w:rPr>
          <w:rFonts w:cstheme="minorHAnsi"/>
          <w:szCs w:val="20"/>
        </w:rPr>
        <w:t xml:space="preserve"> </w:t>
      </w:r>
      <w:r w:rsidR="0058138F">
        <w:rPr>
          <w:rFonts w:cstheme="minorHAnsi"/>
          <w:szCs w:val="20"/>
        </w:rPr>
        <w:t>uniform understanding of the INFF methodol</w:t>
      </w:r>
      <w:r w:rsidR="0029407F">
        <w:rPr>
          <w:rFonts w:cstheme="minorHAnsi"/>
          <w:szCs w:val="20"/>
        </w:rPr>
        <w:t>o</w:t>
      </w:r>
      <w:r w:rsidR="00412DBE">
        <w:rPr>
          <w:rFonts w:cstheme="minorHAnsi"/>
          <w:szCs w:val="20"/>
        </w:rPr>
        <w:t>gy</w:t>
      </w:r>
      <w:r w:rsidR="00B1009C">
        <w:rPr>
          <w:rFonts w:cstheme="minorHAnsi"/>
          <w:szCs w:val="20"/>
        </w:rPr>
        <w:t>.</w:t>
      </w:r>
      <w:r w:rsidR="0088056D">
        <w:rPr>
          <w:rFonts w:cstheme="minorHAnsi"/>
          <w:szCs w:val="20"/>
        </w:rPr>
        <w:t xml:space="preserve"> </w:t>
      </w:r>
      <w:r w:rsidR="00FE09F5">
        <w:rPr>
          <w:rFonts w:cstheme="minorHAnsi"/>
          <w:szCs w:val="20"/>
        </w:rPr>
        <w:t xml:space="preserve">As </w:t>
      </w:r>
      <w:r w:rsidR="00C105D6">
        <w:rPr>
          <w:rFonts w:cstheme="minorHAnsi"/>
          <w:szCs w:val="20"/>
        </w:rPr>
        <w:t xml:space="preserve">a </w:t>
      </w:r>
      <w:r w:rsidR="00FE09F5">
        <w:rPr>
          <w:rFonts w:cstheme="minorHAnsi"/>
          <w:szCs w:val="20"/>
        </w:rPr>
        <w:t xml:space="preserve">result of the </w:t>
      </w:r>
      <w:r w:rsidR="00F8033A">
        <w:rPr>
          <w:rFonts w:cstheme="minorHAnsi"/>
          <w:szCs w:val="20"/>
        </w:rPr>
        <w:t xml:space="preserve">delayed dissemination of the </w:t>
      </w:r>
      <w:r w:rsidR="00FE09F5">
        <w:rPr>
          <w:rFonts w:cstheme="minorHAnsi"/>
          <w:szCs w:val="20"/>
        </w:rPr>
        <w:t xml:space="preserve">INFF </w:t>
      </w:r>
      <w:r w:rsidR="00F8033A">
        <w:rPr>
          <w:rFonts w:cstheme="minorHAnsi"/>
          <w:szCs w:val="20"/>
        </w:rPr>
        <w:t>guidance material</w:t>
      </w:r>
      <w:r w:rsidR="00FE09F5">
        <w:rPr>
          <w:rFonts w:cstheme="minorHAnsi"/>
          <w:szCs w:val="20"/>
        </w:rPr>
        <w:t xml:space="preserve">, </w:t>
      </w:r>
      <w:r w:rsidR="00106890">
        <w:rPr>
          <w:rFonts w:cstheme="minorHAnsi"/>
          <w:szCs w:val="20"/>
        </w:rPr>
        <w:t xml:space="preserve">project implementation </w:t>
      </w:r>
      <w:r w:rsidR="00B35E8D">
        <w:rPr>
          <w:rFonts w:cstheme="minorHAnsi"/>
          <w:szCs w:val="20"/>
        </w:rPr>
        <w:t xml:space="preserve">did not </w:t>
      </w:r>
      <w:r w:rsidR="00106890">
        <w:rPr>
          <w:rFonts w:cstheme="minorHAnsi"/>
          <w:szCs w:val="20"/>
        </w:rPr>
        <w:t>commence</w:t>
      </w:r>
      <w:r w:rsidR="00B35E8D">
        <w:rPr>
          <w:rFonts w:cstheme="minorHAnsi"/>
          <w:szCs w:val="20"/>
        </w:rPr>
        <w:t xml:space="preserve"> with a shared overview of the </w:t>
      </w:r>
      <w:r w:rsidR="00153EFB">
        <w:rPr>
          <w:rFonts w:cstheme="minorHAnsi"/>
          <w:szCs w:val="20"/>
        </w:rPr>
        <w:t xml:space="preserve">guidelines that should have informed </w:t>
      </w:r>
      <w:r w:rsidR="00B42FF5">
        <w:rPr>
          <w:rFonts w:cstheme="minorHAnsi"/>
          <w:szCs w:val="20"/>
        </w:rPr>
        <w:t xml:space="preserve">project activities at the regional level and </w:t>
      </w:r>
      <w:r w:rsidR="00551822">
        <w:rPr>
          <w:rFonts w:cstheme="minorHAnsi"/>
          <w:szCs w:val="20"/>
        </w:rPr>
        <w:t>INFF facilitation at the</w:t>
      </w:r>
      <w:r w:rsidR="00B42FF5">
        <w:rPr>
          <w:rFonts w:cstheme="minorHAnsi"/>
          <w:szCs w:val="20"/>
        </w:rPr>
        <w:t xml:space="preserve"> country level. The evaluation acknowledges that </w:t>
      </w:r>
      <w:r w:rsidR="0010717B">
        <w:rPr>
          <w:rFonts w:cstheme="minorHAnsi"/>
          <w:szCs w:val="20"/>
        </w:rPr>
        <w:t xml:space="preserve">as the guidance material was generalised and not context-specific, </w:t>
      </w:r>
      <w:r w:rsidR="00B41E01">
        <w:rPr>
          <w:rFonts w:cstheme="minorHAnsi"/>
          <w:szCs w:val="20"/>
        </w:rPr>
        <w:t xml:space="preserve">there was still need for contextualisation to </w:t>
      </w:r>
      <w:r w:rsidR="009C1632">
        <w:rPr>
          <w:rFonts w:cstheme="minorHAnsi"/>
          <w:szCs w:val="20"/>
        </w:rPr>
        <w:t xml:space="preserve">facilitate effective uptake by the target countries. </w:t>
      </w:r>
      <w:r w:rsidR="00720E83">
        <w:rPr>
          <w:rFonts w:cstheme="minorHAnsi"/>
          <w:szCs w:val="20"/>
        </w:rPr>
        <w:t xml:space="preserve">There </w:t>
      </w:r>
      <w:r w:rsidR="005E1F10">
        <w:rPr>
          <w:rFonts w:cstheme="minorHAnsi"/>
          <w:szCs w:val="20"/>
        </w:rPr>
        <w:t xml:space="preserve">was </w:t>
      </w:r>
      <w:r w:rsidR="00720E83">
        <w:rPr>
          <w:rFonts w:cstheme="minorHAnsi"/>
          <w:szCs w:val="20"/>
        </w:rPr>
        <w:t xml:space="preserve">also </w:t>
      </w:r>
      <w:r w:rsidR="005E1F10">
        <w:rPr>
          <w:rFonts w:cstheme="minorHAnsi"/>
          <w:szCs w:val="20"/>
        </w:rPr>
        <w:t xml:space="preserve">variation in </w:t>
      </w:r>
      <w:r w:rsidR="0077575A">
        <w:rPr>
          <w:rFonts w:cstheme="minorHAnsi"/>
          <w:szCs w:val="20"/>
        </w:rPr>
        <w:t xml:space="preserve">the familiarity of the executing entities with the INFF methodology, including </w:t>
      </w:r>
      <w:r w:rsidR="005E1F10">
        <w:rPr>
          <w:rFonts w:cstheme="minorHAnsi"/>
          <w:szCs w:val="20"/>
        </w:rPr>
        <w:t xml:space="preserve">experience </w:t>
      </w:r>
      <w:r w:rsidR="00720E83">
        <w:rPr>
          <w:rFonts w:cstheme="minorHAnsi"/>
          <w:szCs w:val="20"/>
        </w:rPr>
        <w:t xml:space="preserve">in supporting </w:t>
      </w:r>
      <w:r w:rsidR="00A2376C">
        <w:rPr>
          <w:rFonts w:cstheme="minorHAnsi"/>
          <w:szCs w:val="20"/>
        </w:rPr>
        <w:t xml:space="preserve">country-level </w:t>
      </w:r>
      <w:r w:rsidR="00E837DF">
        <w:rPr>
          <w:rFonts w:cstheme="minorHAnsi"/>
          <w:szCs w:val="20"/>
        </w:rPr>
        <w:t xml:space="preserve">implementation. </w:t>
      </w:r>
      <w:r w:rsidR="00AD1FEB">
        <w:rPr>
          <w:rFonts w:cstheme="minorHAnsi"/>
          <w:szCs w:val="20"/>
        </w:rPr>
        <w:t xml:space="preserve">A </w:t>
      </w:r>
      <w:r w:rsidR="00E837DF">
        <w:rPr>
          <w:rFonts w:cstheme="minorHAnsi"/>
          <w:szCs w:val="20"/>
        </w:rPr>
        <w:t xml:space="preserve">harmonised approach to project implementation would </w:t>
      </w:r>
      <w:r w:rsidR="00AD1FEB">
        <w:rPr>
          <w:rFonts w:cstheme="minorHAnsi"/>
          <w:szCs w:val="20"/>
        </w:rPr>
        <w:t xml:space="preserve">have </w:t>
      </w:r>
      <w:r w:rsidR="00A2376C">
        <w:rPr>
          <w:rFonts w:cstheme="minorHAnsi"/>
          <w:szCs w:val="20"/>
        </w:rPr>
        <w:t xml:space="preserve">contributed towards </w:t>
      </w:r>
      <w:r w:rsidR="00AD1FEB">
        <w:rPr>
          <w:rFonts w:cstheme="minorHAnsi"/>
          <w:szCs w:val="20"/>
        </w:rPr>
        <w:t xml:space="preserve">increased efficiencies at the level of </w:t>
      </w:r>
      <w:r w:rsidR="00831B31">
        <w:rPr>
          <w:rFonts w:cstheme="minorHAnsi"/>
          <w:szCs w:val="20"/>
        </w:rPr>
        <w:t xml:space="preserve">coordination, without </w:t>
      </w:r>
      <w:r w:rsidR="00A2376C">
        <w:rPr>
          <w:rFonts w:cstheme="minorHAnsi"/>
          <w:szCs w:val="20"/>
        </w:rPr>
        <w:t xml:space="preserve">eschewing the need for </w:t>
      </w:r>
      <w:r w:rsidR="00954F4B">
        <w:rPr>
          <w:rFonts w:cstheme="minorHAnsi"/>
          <w:szCs w:val="20"/>
        </w:rPr>
        <w:t xml:space="preserve">the </w:t>
      </w:r>
      <w:r w:rsidR="00A2376C">
        <w:rPr>
          <w:rFonts w:cstheme="minorHAnsi"/>
          <w:szCs w:val="20"/>
        </w:rPr>
        <w:t xml:space="preserve">contextual facilitation of the INFF process </w:t>
      </w:r>
      <w:r w:rsidR="00954F4B">
        <w:rPr>
          <w:rFonts w:cstheme="minorHAnsi"/>
          <w:szCs w:val="20"/>
        </w:rPr>
        <w:t>at the level of</w:t>
      </w:r>
      <w:r w:rsidR="002D6793">
        <w:rPr>
          <w:rFonts w:cstheme="minorHAnsi"/>
          <w:szCs w:val="20"/>
        </w:rPr>
        <w:t xml:space="preserve"> the target countries</w:t>
      </w:r>
      <w:r w:rsidR="00A2376C">
        <w:rPr>
          <w:rFonts w:cstheme="minorHAnsi"/>
          <w:szCs w:val="20"/>
        </w:rPr>
        <w:t xml:space="preserve">. </w:t>
      </w:r>
      <w:r w:rsidR="003F3F3B">
        <w:rPr>
          <w:rFonts w:cstheme="minorHAnsi"/>
          <w:szCs w:val="20"/>
        </w:rPr>
        <w:t xml:space="preserve">There would have been greater uniformity in </w:t>
      </w:r>
      <w:r w:rsidR="00182A5A">
        <w:rPr>
          <w:rFonts w:cstheme="minorHAnsi"/>
          <w:szCs w:val="20"/>
        </w:rPr>
        <w:t xml:space="preserve">the approach to implementation (e.g. </w:t>
      </w:r>
      <w:r w:rsidR="00253118">
        <w:rPr>
          <w:rFonts w:cstheme="minorHAnsi"/>
          <w:szCs w:val="20"/>
        </w:rPr>
        <w:t xml:space="preserve">a focus on </w:t>
      </w:r>
      <w:r w:rsidR="006D0763">
        <w:rPr>
          <w:rFonts w:cstheme="minorHAnsi"/>
          <w:szCs w:val="20"/>
        </w:rPr>
        <w:t xml:space="preserve">tailored support </w:t>
      </w:r>
      <w:r w:rsidR="00D72F9B">
        <w:rPr>
          <w:rFonts w:cstheme="minorHAnsi"/>
          <w:szCs w:val="20"/>
        </w:rPr>
        <w:t xml:space="preserve">for implementing </w:t>
      </w:r>
      <w:r w:rsidR="00253118">
        <w:rPr>
          <w:rFonts w:cstheme="minorHAnsi"/>
          <w:szCs w:val="20"/>
        </w:rPr>
        <w:t>the INFF building blocks)</w:t>
      </w:r>
      <w:r w:rsidR="00436DC7">
        <w:rPr>
          <w:rFonts w:cstheme="minorHAnsi"/>
          <w:szCs w:val="20"/>
        </w:rPr>
        <w:t xml:space="preserve">, </w:t>
      </w:r>
      <w:r w:rsidR="007B165F">
        <w:rPr>
          <w:rFonts w:cstheme="minorHAnsi"/>
          <w:szCs w:val="20"/>
        </w:rPr>
        <w:t xml:space="preserve">and </w:t>
      </w:r>
      <w:r w:rsidR="00BB3C3E">
        <w:rPr>
          <w:rFonts w:cstheme="minorHAnsi"/>
          <w:szCs w:val="20"/>
        </w:rPr>
        <w:t xml:space="preserve">a more streamlined approach to </w:t>
      </w:r>
      <w:r w:rsidR="00B34727">
        <w:rPr>
          <w:rFonts w:cstheme="minorHAnsi"/>
          <w:szCs w:val="20"/>
        </w:rPr>
        <w:t>the use and management of resources.</w:t>
      </w:r>
    </w:p>
    <w:p w14:paraId="5D9F4432" w14:textId="1B207D61" w:rsidR="00B86E7C" w:rsidRDefault="00B86E7C" w:rsidP="00B86E7C">
      <w:pPr>
        <w:pStyle w:val="BodyText"/>
        <w:rPr>
          <w:b/>
          <w:bCs/>
        </w:rPr>
      </w:pPr>
      <w:r w:rsidRPr="00313466">
        <w:rPr>
          <w:b/>
          <w:bCs/>
        </w:rPr>
        <w:t xml:space="preserve">Finding </w:t>
      </w:r>
      <w:r w:rsidR="00A4526D">
        <w:rPr>
          <w:b/>
          <w:bCs/>
        </w:rPr>
        <w:t>1</w:t>
      </w:r>
      <w:r w:rsidR="00600626">
        <w:rPr>
          <w:b/>
          <w:bCs/>
        </w:rPr>
        <w:t>1</w:t>
      </w:r>
      <w:r w:rsidRPr="00313466">
        <w:rPr>
          <w:b/>
          <w:bCs/>
        </w:rPr>
        <w:t>:</w:t>
      </w:r>
      <w:r w:rsidR="003B15BB">
        <w:rPr>
          <w:b/>
          <w:bCs/>
        </w:rPr>
        <w:t xml:space="preserve"> </w:t>
      </w:r>
      <w:r w:rsidR="005D2661" w:rsidRPr="00BA5B10">
        <w:t>The</w:t>
      </w:r>
      <w:r w:rsidR="00EA7AF5" w:rsidRPr="00BA5B10">
        <w:t xml:space="preserve"> interface between executing entities during project implementation </w:t>
      </w:r>
      <w:r w:rsidR="003F64AA" w:rsidRPr="00BA5B10">
        <w:t xml:space="preserve">led to effective collaboration for the coordinated development and </w:t>
      </w:r>
      <w:r w:rsidR="00C70F2D" w:rsidRPr="00BA5B10">
        <w:t>facilitation of joint project activities.</w:t>
      </w:r>
      <w:r w:rsidR="00AA0D95">
        <w:rPr>
          <w:b/>
          <w:bCs/>
        </w:rPr>
        <w:t xml:space="preserve"> </w:t>
      </w:r>
    </w:p>
    <w:p w14:paraId="54EBC84C" w14:textId="476A7DDB" w:rsidR="000E4339" w:rsidRDefault="00BA5B10" w:rsidP="00B86E7C">
      <w:pPr>
        <w:pStyle w:val="BodyText"/>
      </w:pPr>
      <w:r>
        <w:t xml:space="preserve">Although </w:t>
      </w:r>
      <w:r w:rsidR="0047668F">
        <w:t>project activities were largely implemented based on a decentralised approach</w:t>
      </w:r>
      <w:r w:rsidR="00877DB4">
        <w:t xml:space="preserve">, there was evidence of effective collaboration between </w:t>
      </w:r>
      <w:r w:rsidR="00F3379D">
        <w:t>executing entities to jointly facilitate identified project activities.</w:t>
      </w:r>
      <w:r w:rsidR="00111113">
        <w:rPr>
          <w:rStyle w:val="FootnoteReference"/>
        </w:rPr>
        <w:footnoteReference w:id="207"/>
      </w:r>
      <w:r w:rsidR="00F3379D">
        <w:t xml:space="preserve"> </w:t>
      </w:r>
      <w:r w:rsidR="00F6002B">
        <w:t xml:space="preserve">In addition to creating a platform for </w:t>
      </w:r>
      <w:r w:rsidR="006321A6">
        <w:lastRenderedPageBreak/>
        <w:t>knowledge-exchange</w:t>
      </w:r>
      <w:r w:rsidR="00F6002B">
        <w:t xml:space="preserve"> and </w:t>
      </w:r>
      <w:r w:rsidR="006321A6">
        <w:t>peer-learning</w:t>
      </w:r>
      <w:r w:rsidR="00F6002B">
        <w:t xml:space="preserve"> at the level of the target beneficiaries, the project established an interface for collaboration betwee</w:t>
      </w:r>
      <w:r w:rsidR="00F03E05">
        <w:t xml:space="preserve">n the executing entities. </w:t>
      </w:r>
    </w:p>
    <w:p w14:paraId="66C6325A" w14:textId="5AE6ACB8" w:rsidR="00685796" w:rsidRDefault="00BF18C1" w:rsidP="00B86E7C">
      <w:pPr>
        <w:pStyle w:val="BodyText"/>
      </w:pPr>
      <w:r>
        <w:t xml:space="preserve">As an example, </w:t>
      </w:r>
      <w:r w:rsidR="00F869DD">
        <w:t xml:space="preserve">the collaboration between </w:t>
      </w:r>
      <w:r w:rsidR="00E7464F">
        <w:t xml:space="preserve">UNESCWA </w:t>
      </w:r>
      <w:r w:rsidR="00F869DD">
        <w:t>and UNDESA resulted in the integration of</w:t>
      </w:r>
      <w:r w:rsidR="00624683">
        <w:t xml:space="preserve"> innovative financing tools from the Arab F</w:t>
      </w:r>
      <w:r w:rsidR="002B6A05">
        <w:t xml:space="preserve">fD Gateway into </w:t>
      </w:r>
      <w:r w:rsidR="00EA3585">
        <w:t>g</w:t>
      </w:r>
      <w:r w:rsidR="002B6A05">
        <w:t xml:space="preserve">lobal INFF </w:t>
      </w:r>
      <w:r w:rsidR="00EA3585">
        <w:t>g</w:t>
      </w:r>
      <w:r w:rsidR="002B6A05">
        <w:t>uidance</w:t>
      </w:r>
      <w:r w:rsidR="009E0B41">
        <w:t xml:space="preserve">, which </w:t>
      </w:r>
      <w:r w:rsidR="008F09E6">
        <w:t>is</w:t>
      </w:r>
      <w:r w:rsidR="00CA43DC">
        <w:t xml:space="preserve"> accessible through the </w:t>
      </w:r>
      <w:hyperlink r:id="rId71" w:history="1">
        <w:r w:rsidR="00CA43DC" w:rsidRPr="00A35991">
          <w:rPr>
            <w:rStyle w:val="Hyperlink"/>
          </w:rPr>
          <w:t>INFF Knowledge Platfor</w:t>
        </w:r>
        <w:r w:rsidR="00A35991" w:rsidRPr="00A35991">
          <w:rPr>
            <w:rStyle w:val="Hyperlink"/>
          </w:rPr>
          <w:t>m</w:t>
        </w:r>
      </w:hyperlink>
      <w:r w:rsidR="003B5D6A">
        <w:t xml:space="preserve">. In combination with the UNESCWA </w:t>
      </w:r>
      <w:r w:rsidR="001005F5" w:rsidRPr="00556F51">
        <w:t>iBIT machine-learning tool</w:t>
      </w:r>
      <w:r w:rsidR="001005F5">
        <w:t>, t</w:t>
      </w:r>
      <w:r w:rsidR="003B5D6A">
        <w:t>he</w:t>
      </w:r>
      <w:r w:rsidR="0039674E">
        <w:t xml:space="preserve"> financing to</w:t>
      </w:r>
      <w:r w:rsidR="003B5D6A">
        <w:t xml:space="preserve">ols </w:t>
      </w:r>
      <w:r w:rsidR="0039674E">
        <w:t xml:space="preserve">were </w:t>
      </w:r>
      <w:r w:rsidR="003B5D6A">
        <w:t xml:space="preserve">recognised in the </w:t>
      </w:r>
      <w:hyperlink r:id="rId72" w:history="1">
        <w:r w:rsidR="0067570D" w:rsidRPr="0067570D">
          <w:rPr>
            <w:rStyle w:val="Hyperlink"/>
          </w:rPr>
          <w:t>2023 Financing for Sustainable Development Report</w:t>
        </w:r>
      </w:hyperlink>
      <w:r w:rsidR="0067570D">
        <w:t>.</w:t>
      </w:r>
      <w:r w:rsidR="004214B4">
        <w:t xml:space="preserve"> </w:t>
      </w:r>
      <w:r w:rsidR="003A6F4E">
        <w:t>They are used to enhance budget credibility and advance SDG-aligned budg</w:t>
      </w:r>
      <w:r w:rsidR="002D318C">
        <w:t>eting and programming.</w:t>
      </w:r>
    </w:p>
    <w:p w14:paraId="299B199A" w14:textId="5C2639A6" w:rsidR="0024446A" w:rsidRDefault="00925091" w:rsidP="00B86E7C">
      <w:pPr>
        <w:pStyle w:val="BodyText"/>
      </w:pPr>
      <w:r>
        <w:t>During November 2022 – February 2023, UN</w:t>
      </w:r>
      <w:r w:rsidR="00712DB9">
        <w:t xml:space="preserve">ECA and UNCTAD </w:t>
      </w:r>
      <w:r w:rsidR="00AE525D">
        <w:t xml:space="preserve">jointly </w:t>
      </w:r>
      <w:r w:rsidR="00712DB9">
        <w:t xml:space="preserve">delivered hybrid workshops in </w:t>
      </w:r>
      <w:r w:rsidR="00750365">
        <w:t>Burkina Faso</w:t>
      </w:r>
      <w:r w:rsidR="00DB1228">
        <w:t xml:space="preserve">. </w:t>
      </w:r>
      <w:r w:rsidR="00A27430">
        <w:t>The</w:t>
      </w:r>
      <w:r w:rsidR="00E364CA">
        <w:t xml:space="preserve">y were structured around </w:t>
      </w:r>
      <w:r w:rsidR="00E3486A">
        <w:t>measuring IFFs in the extractive secto</w:t>
      </w:r>
      <w:r w:rsidR="00E364CA">
        <w:t>r</w:t>
      </w:r>
      <w:r w:rsidR="00E3486A">
        <w:t xml:space="preserve"> to mitigate terrorism </w:t>
      </w:r>
      <w:r w:rsidR="00A27D81">
        <w:t>financing risks. The workshops contributed towards a technical report</w:t>
      </w:r>
      <w:r w:rsidR="00750365">
        <w:t xml:space="preserve">, </w:t>
      </w:r>
      <w:hyperlink r:id="rId73" w:history="1">
        <w:r w:rsidR="0063732E" w:rsidRPr="00E630B3">
          <w:rPr>
            <w:rStyle w:val="Hyperlink"/>
          </w:rPr>
          <w:t xml:space="preserve">Study on Illicit Financial Flows in the </w:t>
        </w:r>
        <w:r w:rsidR="00E630B3" w:rsidRPr="00E630B3">
          <w:rPr>
            <w:rStyle w:val="Hyperlink"/>
          </w:rPr>
          <w:t xml:space="preserve">Extractive </w:t>
        </w:r>
        <w:r w:rsidR="00AC724C" w:rsidRPr="00E630B3">
          <w:rPr>
            <w:rStyle w:val="Hyperlink"/>
          </w:rPr>
          <w:t>Sector in Burkina Faso</w:t>
        </w:r>
      </w:hyperlink>
      <w:r w:rsidR="00AC724C">
        <w:t xml:space="preserve">, </w:t>
      </w:r>
      <w:r w:rsidR="00750365">
        <w:t xml:space="preserve">the development of which was led by the </w:t>
      </w:r>
      <w:r w:rsidR="00420442">
        <w:t>Burkina Faso Extractive Industries Transparency Initiative Department.</w:t>
      </w:r>
    </w:p>
    <w:p w14:paraId="5E33C7D6" w14:textId="7F12D553" w:rsidR="00B82E9F" w:rsidRDefault="006414DC" w:rsidP="00B86E7C">
      <w:pPr>
        <w:pStyle w:val="BodyText"/>
      </w:pPr>
      <w:r>
        <w:t xml:space="preserve">While there were reports of </w:t>
      </w:r>
      <w:r w:rsidR="0022272A">
        <w:t>coordination challenges between entities,</w:t>
      </w:r>
      <w:r w:rsidR="00F519B6">
        <w:t xml:space="preserve"> the</w:t>
      </w:r>
      <w:r w:rsidR="004332DD">
        <w:t xml:space="preserve">se challenges were </w:t>
      </w:r>
      <w:r w:rsidR="00E50DF4">
        <w:t>usually</w:t>
      </w:r>
      <w:r w:rsidR="004332DD">
        <w:t xml:space="preserve"> between </w:t>
      </w:r>
      <w:r w:rsidR="00E07684">
        <w:t xml:space="preserve">executing entities and </w:t>
      </w:r>
      <w:r w:rsidR="003012E9">
        <w:t xml:space="preserve">other collaborating UN entities. </w:t>
      </w:r>
      <w:r w:rsidR="00E52C47">
        <w:t>As an exampl</w:t>
      </w:r>
      <w:r w:rsidR="00A46A0C">
        <w:t xml:space="preserve">e, </w:t>
      </w:r>
      <w:r w:rsidR="00EA56FA">
        <w:t xml:space="preserve">UNESCAP experienced </w:t>
      </w:r>
      <w:r w:rsidR="009B0B92">
        <w:t xml:space="preserve">communication challenges </w:t>
      </w:r>
      <w:r w:rsidR="001A311F">
        <w:t xml:space="preserve">during </w:t>
      </w:r>
      <w:r w:rsidR="00EA56FA">
        <w:t xml:space="preserve">its efforts to engage UNCTS in Indonesia. </w:t>
      </w:r>
      <w:r w:rsidR="00470B95">
        <w:t>As the challenges contributed towards a delay in project start-up</w:t>
      </w:r>
      <w:r w:rsidR="003002FD">
        <w:t>, Indonesia was replaced by Samoa as a target project country.</w:t>
      </w:r>
      <w:r w:rsidR="00601917">
        <w:rPr>
          <w:rStyle w:val="FootnoteReference"/>
        </w:rPr>
        <w:footnoteReference w:id="208"/>
      </w:r>
    </w:p>
    <w:p w14:paraId="4786F9C9" w14:textId="18FDD0ED" w:rsidR="008F1FA1" w:rsidRPr="0030591A" w:rsidRDefault="008F1FA1" w:rsidP="00254572">
      <w:pPr>
        <w:pStyle w:val="Heading2"/>
      </w:pPr>
      <w:bookmarkStart w:id="45" w:name="_Toc210730326"/>
      <w:r w:rsidRPr="0030591A">
        <w:t>Impact</w:t>
      </w:r>
      <w:bookmarkEnd w:id="45"/>
    </w:p>
    <w:p w14:paraId="1F0BF72F" w14:textId="034BE754" w:rsidR="00B30FDF" w:rsidRDefault="00B30FDF" w:rsidP="00485047">
      <w:pPr>
        <w:pStyle w:val="BodyText"/>
        <w:rPr>
          <w:b/>
          <w:bCs/>
        </w:rPr>
      </w:pPr>
      <w:r>
        <w:t xml:space="preserve">The assessment of project impact </w:t>
      </w:r>
      <w:r w:rsidR="001A512B">
        <w:t xml:space="preserve">measured the extent to which the INFF project </w:t>
      </w:r>
      <w:r w:rsidR="004A5F26">
        <w:t xml:space="preserve">generated higher-level effects, whether positive; negative; expected or unintended. </w:t>
      </w:r>
      <w:r w:rsidR="000B6FB8">
        <w:t>As distinct from the measure</w:t>
      </w:r>
      <w:r w:rsidR="0023601B">
        <w:t>ment</w:t>
      </w:r>
      <w:r w:rsidR="000B6FB8">
        <w:t xml:space="preserve"> of project effectiveness, </w:t>
      </w:r>
      <w:r w:rsidR="00251A22">
        <w:t>the assessment</w:t>
      </w:r>
      <w:r w:rsidR="00141740">
        <w:t xml:space="preserve"> of project</w:t>
      </w:r>
      <w:r w:rsidR="00251A22">
        <w:t xml:space="preserve"> </w:t>
      </w:r>
      <w:r w:rsidR="00A97065">
        <w:t xml:space="preserve">impact </w:t>
      </w:r>
      <w:r w:rsidR="00251A22">
        <w:t xml:space="preserve">extended </w:t>
      </w:r>
      <w:r w:rsidR="00CB3F67">
        <w:t xml:space="preserve">beyond the </w:t>
      </w:r>
      <w:r w:rsidR="000E5423">
        <w:t>implementation timeframe</w:t>
      </w:r>
      <w:r w:rsidR="00FE775B">
        <w:t xml:space="preserve"> to broaden the scope of analysis</w:t>
      </w:r>
      <w:r w:rsidR="00732B4A">
        <w:t xml:space="preserve"> (i.e. </w:t>
      </w:r>
      <w:r w:rsidR="00146DBF">
        <w:t>the focus</w:t>
      </w:r>
      <w:r w:rsidR="009A540C">
        <w:t xml:space="preserve"> of analysis </w:t>
      </w:r>
      <w:r w:rsidR="00146DBF">
        <w:t xml:space="preserve">was the extended reach of the </w:t>
      </w:r>
      <w:r w:rsidR="00A97065">
        <w:t xml:space="preserve">INFF </w:t>
      </w:r>
      <w:r w:rsidR="00146DBF">
        <w:t>project</w:t>
      </w:r>
      <w:r w:rsidR="004D5CD0">
        <w:t>,</w:t>
      </w:r>
      <w:r w:rsidR="00146DBF">
        <w:t xml:space="preserve"> in </w:t>
      </w:r>
      <w:r w:rsidR="009251FA">
        <w:t xml:space="preserve">terms of </w:t>
      </w:r>
      <w:r w:rsidR="00A97065">
        <w:t xml:space="preserve">its </w:t>
      </w:r>
      <w:r w:rsidR="00865072">
        <w:t>transformative effect</w:t>
      </w:r>
      <w:r w:rsidR="006D00EB">
        <w:t xml:space="preserve"> (e.g. </w:t>
      </w:r>
      <w:r w:rsidR="0019795B">
        <w:t>changes to norms and/ or systems</w:t>
      </w:r>
      <w:r w:rsidR="003A47C0">
        <w:t>)</w:t>
      </w:r>
      <w:r w:rsidR="00C04FCF">
        <w:t>.</w:t>
      </w:r>
      <w:r w:rsidR="00D511A1">
        <w:t xml:space="preserve"> </w:t>
      </w:r>
      <w:r w:rsidR="00D019D2" w:rsidRPr="00B970C4">
        <w:t>The</w:t>
      </w:r>
      <w:r w:rsidR="001A69BD" w:rsidRPr="00B970C4">
        <w:t xml:space="preserve"> </w:t>
      </w:r>
      <w:r w:rsidR="00F35BB1" w:rsidRPr="00B970C4">
        <w:t xml:space="preserve">results of the </w:t>
      </w:r>
      <w:r w:rsidR="001A69BD" w:rsidRPr="00B970C4">
        <w:t>evaluation ha</w:t>
      </w:r>
      <w:r w:rsidR="00F35BB1" w:rsidRPr="00B970C4">
        <w:t>ve shown that</w:t>
      </w:r>
      <w:r w:rsidR="00F35BB1" w:rsidRPr="00A6402E">
        <w:rPr>
          <w:b/>
          <w:bCs/>
        </w:rPr>
        <w:t xml:space="preserve"> </w:t>
      </w:r>
      <w:r w:rsidR="008D5E8B" w:rsidRPr="00A6402E">
        <w:rPr>
          <w:b/>
          <w:bCs/>
        </w:rPr>
        <w:t xml:space="preserve">project results at the level of expected impact have </w:t>
      </w:r>
      <w:r w:rsidR="006E7852">
        <w:rPr>
          <w:b/>
          <w:bCs/>
        </w:rPr>
        <w:t xml:space="preserve">shown that the reach of the project extended beyond the target countries to several non-project countries within the target regions. There was </w:t>
      </w:r>
      <w:r w:rsidR="006E7852" w:rsidRPr="00A6402E">
        <w:rPr>
          <w:b/>
          <w:bCs/>
        </w:rPr>
        <w:t>significant interest by MDAs in non-project countries in the contextual application of the INFF methodology.</w:t>
      </w:r>
      <w:r w:rsidR="006E7852">
        <w:rPr>
          <w:b/>
          <w:bCs/>
        </w:rPr>
        <w:t xml:space="preserve"> </w:t>
      </w:r>
      <w:r w:rsidR="00BA333C" w:rsidRPr="00A6402E">
        <w:rPr>
          <w:b/>
          <w:bCs/>
        </w:rPr>
        <w:t>UN entities, including</w:t>
      </w:r>
      <w:r w:rsidR="0073712A" w:rsidRPr="00A6402E">
        <w:rPr>
          <w:b/>
          <w:bCs/>
        </w:rPr>
        <w:t xml:space="preserve"> </w:t>
      </w:r>
      <w:r w:rsidR="006E7852">
        <w:rPr>
          <w:b/>
          <w:bCs/>
        </w:rPr>
        <w:t xml:space="preserve">the </w:t>
      </w:r>
      <w:r w:rsidR="0073712A" w:rsidRPr="00A6402E">
        <w:rPr>
          <w:b/>
          <w:bCs/>
        </w:rPr>
        <w:t>RECs; UNCTAD;</w:t>
      </w:r>
      <w:r w:rsidR="005F507A">
        <w:rPr>
          <w:b/>
          <w:bCs/>
        </w:rPr>
        <w:t xml:space="preserve"> UN</w:t>
      </w:r>
      <w:r w:rsidR="00BA333C" w:rsidRPr="00A6402E">
        <w:rPr>
          <w:b/>
          <w:bCs/>
        </w:rPr>
        <w:t xml:space="preserve"> </w:t>
      </w:r>
      <w:r w:rsidR="0073712A" w:rsidRPr="00A6402E">
        <w:rPr>
          <w:b/>
          <w:bCs/>
        </w:rPr>
        <w:t xml:space="preserve">RCOs; and UNCTs, </w:t>
      </w:r>
      <w:r w:rsidR="006E7852">
        <w:rPr>
          <w:b/>
          <w:bCs/>
        </w:rPr>
        <w:t xml:space="preserve">were </w:t>
      </w:r>
      <w:r w:rsidR="00300D9C" w:rsidRPr="00A6402E">
        <w:rPr>
          <w:b/>
          <w:bCs/>
        </w:rPr>
        <w:t>responsive to the requests of individual countries and</w:t>
      </w:r>
      <w:r w:rsidR="006E7852">
        <w:rPr>
          <w:b/>
          <w:bCs/>
        </w:rPr>
        <w:t>,</w:t>
      </w:r>
      <w:r w:rsidR="00300D9C" w:rsidRPr="00A6402E">
        <w:rPr>
          <w:b/>
          <w:bCs/>
        </w:rPr>
        <w:t xml:space="preserve"> </w:t>
      </w:r>
      <w:r w:rsidR="006E7852">
        <w:rPr>
          <w:b/>
          <w:bCs/>
        </w:rPr>
        <w:t xml:space="preserve">and </w:t>
      </w:r>
      <w:r w:rsidR="00FB6845" w:rsidRPr="00A6402E">
        <w:rPr>
          <w:b/>
          <w:bCs/>
        </w:rPr>
        <w:t xml:space="preserve">built on the momentum </w:t>
      </w:r>
      <w:r w:rsidR="00742A15">
        <w:rPr>
          <w:b/>
          <w:bCs/>
        </w:rPr>
        <w:t xml:space="preserve">of the inception </w:t>
      </w:r>
      <w:r w:rsidR="00FB6845" w:rsidRPr="00A6402E">
        <w:rPr>
          <w:b/>
          <w:bCs/>
        </w:rPr>
        <w:t>workshops</w:t>
      </w:r>
      <w:r w:rsidR="007F4BC6" w:rsidRPr="00A6402E">
        <w:rPr>
          <w:b/>
          <w:bCs/>
        </w:rPr>
        <w:t xml:space="preserve">. </w:t>
      </w:r>
      <w:r w:rsidR="006E7852">
        <w:rPr>
          <w:b/>
          <w:bCs/>
        </w:rPr>
        <w:t>Relatedly, a</w:t>
      </w:r>
      <w:r w:rsidR="0055404E" w:rsidRPr="00A6402E">
        <w:rPr>
          <w:b/>
          <w:bCs/>
        </w:rPr>
        <w:t xml:space="preserve">lthough the 2025 Sevilla Commitment </w:t>
      </w:r>
      <w:r w:rsidR="00D15F1E" w:rsidRPr="00A6402E">
        <w:rPr>
          <w:b/>
          <w:bCs/>
        </w:rPr>
        <w:t xml:space="preserve">emerged after the project ended, </w:t>
      </w:r>
      <w:r w:rsidR="006E7852">
        <w:rPr>
          <w:b/>
          <w:bCs/>
        </w:rPr>
        <w:t xml:space="preserve">emergent </w:t>
      </w:r>
      <w:r w:rsidR="00973A3B" w:rsidRPr="00A6402E">
        <w:rPr>
          <w:b/>
          <w:bCs/>
        </w:rPr>
        <w:t xml:space="preserve">results at the level of project impact </w:t>
      </w:r>
      <w:r w:rsidR="004258CA" w:rsidRPr="00A6402E">
        <w:rPr>
          <w:b/>
          <w:bCs/>
        </w:rPr>
        <w:t xml:space="preserve">aligned with </w:t>
      </w:r>
      <w:r w:rsidR="00A6402E" w:rsidRPr="00A6402E">
        <w:rPr>
          <w:b/>
          <w:bCs/>
        </w:rPr>
        <w:t>its resolutions,</w:t>
      </w:r>
      <w:r w:rsidR="00EB5B1B">
        <w:rPr>
          <w:b/>
          <w:bCs/>
        </w:rPr>
        <w:t xml:space="preserve"> thereby c</w:t>
      </w:r>
      <w:r w:rsidR="00A6402E" w:rsidRPr="00A6402E">
        <w:rPr>
          <w:b/>
          <w:bCs/>
        </w:rPr>
        <w:t>ontributi</w:t>
      </w:r>
      <w:r w:rsidR="00EB5B1B">
        <w:rPr>
          <w:b/>
          <w:bCs/>
        </w:rPr>
        <w:t>ng</w:t>
      </w:r>
      <w:r w:rsidR="00A6402E" w:rsidRPr="00A6402E">
        <w:rPr>
          <w:b/>
          <w:bCs/>
        </w:rPr>
        <w:t xml:space="preserve"> towards the international development agenda.</w:t>
      </w:r>
    </w:p>
    <w:p w14:paraId="0B9ACFBD" w14:textId="321706C2" w:rsidR="00E91E3A" w:rsidRDefault="0066776B" w:rsidP="001260AC">
      <w:pPr>
        <w:pStyle w:val="BodyText"/>
        <w:rPr>
          <w:b/>
          <w:bCs/>
        </w:rPr>
      </w:pPr>
      <w:r w:rsidRPr="008B6805">
        <w:rPr>
          <w:b/>
          <w:bCs/>
        </w:rPr>
        <w:t>Finding 1</w:t>
      </w:r>
      <w:r w:rsidR="0062743B">
        <w:rPr>
          <w:b/>
          <w:bCs/>
        </w:rPr>
        <w:t>2</w:t>
      </w:r>
      <w:r w:rsidRPr="008B6805">
        <w:rPr>
          <w:b/>
          <w:bCs/>
        </w:rPr>
        <w:t xml:space="preserve">: </w:t>
      </w:r>
      <w:r w:rsidR="00E91E3A" w:rsidRPr="00E91E3A">
        <w:t xml:space="preserve">By facilitating </w:t>
      </w:r>
      <w:r w:rsidR="004A6E99">
        <w:t xml:space="preserve">access </w:t>
      </w:r>
      <w:r w:rsidR="00C06438">
        <w:t xml:space="preserve">by </w:t>
      </w:r>
      <w:r w:rsidR="00E91E3A" w:rsidRPr="00E91E3A">
        <w:t>target and non-project countr</w:t>
      </w:r>
      <w:r w:rsidR="00C06438">
        <w:t xml:space="preserve">ies </w:t>
      </w:r>
      <w:r w:rsidR="00E91E3A" w:rsidRPr="00E91E3A">
        <w:t>to</w:t>
      </w:r>
      <w:r w:rsidR="00E91E3A">
        <w:rPr>
          <w:b/>
          <w:bCs/>
        </w:rPr>
        <w:t xml:space="preserve"> </w:t>
      </w:r>
      <w:r w:rsidR="00E91E3A" w:rsidRPr="000D4A0C">
        <w:t xml:space="preserve">opportunities for strengthened </w:t>
      </w:r>
      <w:r w:rsidR="00C06438">
        <w:t xml:space="preserve">capacities in </w:t>
      </w:r>
      <w:r w:rsidR="00E91E3A" w:rsidRPr="000D4A0C">
        <w:t>development financing</w:t>
      </w:r>
      <w:r w:rsidR="00E91E3A">
        <w:t xml:space="preserve">, the project </w:t>
      </w:r>
      <w:r w:rsidR="00837DC9">
        <w:t xml:space="preserve">has contributed </w:t>
      </w:r>
      <w:r w:rsidR="00837DC9" w:rsidRPr="00DA4F6B">
        <w:t xml:space="preserve">towards the international development agenda, </w:t>
      </w:r>
      <w:r w:rsidR="001F30E7" w:rsidRPr="00DA4F6B">
        <w:t>including</w:t>
      </w:r>
      <w:r w:rsidR="00C46C8B" w:rsidRPr="00DA4F6B">
        <w:t xml:space="preserve"> </w:t>
      </w:r>
      <w:r w:rsidR="00E91E3A" w:rsidRPr="00DA4F6B">
        <w:t>the 2025 Sevilla Commitment.</w:t>
      </w:r>
    </w:p>
    <w:p w14:paraId="4EED9FA1" w14:textId="0F01F960" w:rsidR="00B70D0B" w:rsidRDefault="00650658" w:rsidP="002232A4">
      <w:pPr>
        <w:pStyle w:val="BodyText"/>
      </w:pPr>
      <w:r>
        <w:t xml:space="preserve">The </w:t>
      </w:r>
      <w:r w:rsidR="00C600F2">
        <w:t>expected impact</w:t>
      </w:r>
      <w:r w:rsidR="00367C79">
        <w:t xml:space="preserve"> of </w:t>
      </w:r>
      <w:r w:rsidR="00C63EE3">
        <w:t xml:space="preserve">the </w:t>
      </w:r>
      <w:r w:rsidR="00C600F2">
        <w:t xml:space="preserve">INFF project </w:t>
      </w:r>
      <w:r w:rsidR="00367C79">
        <w:t xml:space="preserve">was </w:t>
      </w:r>
      <w:r w:rsidR="0086673C">
        <w:t>strengthen</w:t>
      </w:r>
      <w:r w:rsidR="0057105F">
        <w:t>ed</w:t>
      </w:r>
      <w:r w:rsidR="00C63EE3">
        <w:t xml:space="preserve"> </w:t>
      </w:r>
      <w:r w:rsidR="00C37BF5">
        <w:t xml:space="preserve">capacities </w:t>
      </w:r>
      <w:r w:rsidR="008D40FC">
        <w:t xml:space="preserve">within </w:t>
      </w:r>
      <w:r w:rsidR="00683B5E">
        <w:t xml:space="preserve">selected countries </w:t>
      </w:r>
      <w:r w:rsidR="00C37BF5">
        <w:t>to mobilise and align financing with sustainable development priorities.</w:t>
      </w:r>
      <w:r w:rsidR="00C37BF5">
        <w:rPr>
          <w:rStyle w:val="FootnoteReference"/>
        </w:rPr>
        <w:footnoteReference w:id="209"/>
      </w:r>
      <w:r w:rsidR="00C37BF5">
        <w:t xml:space="preserve"> </w:t>
      </w:r>
      <w:r w:rsidR="00965B19">
        <w:t xml:space="preserve">In line with the </w:t>
      </w:r>
      <w:r w:rsidR="00605876">
        <w:t xml:space="preserve">project results framework, the </w:t>
      </w:r>
      <w:r w:rsidR="00925F54">
        <w:t xml:space="preserve">focus on </w:t>
      </w:r>
      <w:r w:rsidR="00605876">
        <w:t xml:space="preserve">selected countries </w:t>
      </w:r>
      <w:r w:rsidR="002C76EF">
        <w:t xml:space="preserve">referred </w:t>
      </w:r>
      <w:r w:rsidR="00261B13">
        <w:t xml:space="preserve">to </w:t>
      </w:r>
      <w:r w:rsidR="00EC07E9">
        <w:t xml:space="preserve">both </w:t>
      </w:r>
      <w:r w:rsidR="0055756D">
        <w:t>target</w:t>
      </w:r>
      <w:r w:rsidR="003849DF">
        <w:t xml:space="preserve"> </w:t>
      </w:r>
      <w:r w:rsidR="00EC07E9">
        <w:t>and</w:t>
      </w:r>
      <w:r w:rsidR="003849DF">
        <w:t xml:space="preserve"> </w:t>
      </w:r>
      <w:r w:rsidR="0055756D">
        <w:t>non-project co</w:t>
      </w:r>
      <w:r w:rsidR="00587235">
        <w:t>u</w:t>
      </w:r>
      <w:r w:rsidR="0055756D">
        <w:t>ntries.</w:t>
      </w:r>
      <w:r w:rsidR="00402EEC">
        <w:t xml:space="preserve"> </w:t>
      </w:r>
    </w:p>
    <w:p w14:paraId="7938E75D" w14:textId="60896F15" w:rsidR="002232A4" w:rsidRDefault="00C94A78" w:rsidP="002232A4">
      <w:pPr>
        <w:pStyle w:val="BodyText"/>
      </w:pPr>
      <w:r>
        <w:t xml:space="preserve">As </w:t>
      </w:r>
      <w:r w:rsidR="002232A4">
        <w:t xml:space="preserve">project impact extends beyond </w:t>
      </w:r>
      <w:r w:rsidR="00AF60EE">
        <w:t xml:space="preserve">capacity </w:t>
      </w:r>
      <w:r w:rsidR="002232A4">
        <w:t>strengthen</w:t>
      </w:r>
      <w:r w:rsidR="00AF60EE">
        <w:t>ing</w:t>
      </w:r>
      <w:r>
        <w:t xml:space="preserve">, it </w:t>
      </w:r>
      <w:r w:rsidR="001257DF">
        <w:t>add</w:t>
      </w:r>
      <w:r>
        <w:t>re</w:t>
      </w:r>
      <w:r w:rsidR="0080389A">
        <w:t xml:space="preserve">sses the question of whether transformative change has occurred (i.e. whether the intervention </w:t>
      </w:r>
      <w:r w:rsidR="00CA4363">
        <w:t>has contributed to change that matters to the target beneficiaries</w:t>
      </w:r>
      <w:r w:rsidR="00423F23">
        <w:t>)</w:t>
      </w:r>
      <w:r w:rsidR="002232A4">
        <w:t>.</w:t>
      </w:r>
      <w:r w:rsidR="00423F23">
        <w:rPr>
          <w:rStyle w:val="FootnoteReference"/>
        </w:rPr>
        <w:footnoteReference w:id="210"/>
      </w:r>
      <w:r w:rsidR="002232A4">
        <w:t xml:space="preserve"> </w:t>
      </w:r>
      <w:r w:rsidR="00653D23">
        <w:t>This includes the potential for the scal</w:t>
      </w:r>
      <w:r w:rsidR="00DA1DD9">
        <w:t>ability and/ or replicability of achieved results.</w:t>
      </w:r>
      <w:r w:rsidR="00DA1DD9">
        <w:rPr>
          <w:rStyle w:val="FootnoteReference"/>
        </w:rPr>
        <w:footnoteReference w:id="211"/>
      </w:r>
      <w:r w:rsidR="00DA1DD9">
        <w:t xml:space="preserve"> </w:t>
      </w:r>
      <w:r w:rsidR="003A7288">
        <w:t xml:space="preserve">The </w:t>
      </w:r>
      <w:r w:rsidR="00157944">
        <w:t>analysis has found</w:t>
      </w:r>
      <w:r w:rsidR="007E6326">
        <w:t>, however,</w:t>
      </w:r>
      <w:r w:rsidR="00157944">
        <w:t xml:space="preserve"> that </w:t>
      </w:r>
      <w:r w:rsidR="002232A4">
        <w:t>the results target</w:t>
      </w:r>
      <w:r w:rsidR="003E268E">
        <w:t xml:space="preserve"> </w:t>
      </w:r>
      <w:r w:rsidR="00E20AF1">
        <w:t>for</w:t>
      </w:r>
      <w:r w:rsidR="00E20AF1" w:rsidRPr="00E20AF1">
        <w:t xml:space="preserve"> </w:t>
      </w:r>
      <w:r w:rsidR="00E20AF1">
        <w:t>Outcome 2</w:t>
      </w:r>
      <w:r w:rsidR="002232A4">
        <w:t xml:space="preserve">, including </w:t>
      </w:r>
      <w:r w:rsidR="00DD7C32">
        <w:t xml:space="preserve">the </w:t>
      </w:r>
      <w:r w:rsidR="002232A4">
        <w:t>performance indicators for INFF implementation (IA 2.2/ 2.4)</w:t>
      </w:r>
      <w:r w:rsidR="009E0264">
        <w:t xml:space="preserve">, </w:t>
      </w:r>
      <w:r w:rsidR="00157944">
        <w:t xml:space="preserve">would have been more appropriately </w:t>
      </w:r>
      <w:r w:rsidR="00B60C99">
        <w:t xml:space="preserve">placed as </w:t>
      </w:r>
      <w:r w:rsidR="00785C50" w:rsidRPr="00B60C99">
        <w:t>the expected</w:t>
      </w:r>
      <w:r w:rsidR="004650BF" w:rsidRPr="00B60C99">
        <w:t xml:space="preserve"> target</w:t>
      </w:r>
      <w:r w:rsidR="004650BF">
        <w:t xml:space="preserve"> at the</w:t>
      </w:r>
      <w:r w:rsidR="00785C50">
        <w:t xml:space="preserve"> level of project</w:t>
      </w:r>
      <w:r w:rsidR="004650BF">
        <w:t xml:space="preserve"> impact.</w:t>
      </w:r>
      <w:r w:rsidR="006D1B38">
        <w:rPr>
          <w:rStyle w:val="FootnoteReference"/>
        </w:rPr>
        <w:footnoteReference w:id="212"/>
      </w:r>
      <w:r w:rsidR="004650BF">
        <w:t xml:space="preserve"> </w:t>
      </w:r>
      <w:r w:rsidR="00444306">
        <w:t>Based on</w:t>
      </w:r>
      <w:r w:rsidR="00AE23CA">
        <w:t xml:space="preserve"> this context</w:t>
      </w:r>
      <w:r w:rsidR="00FF4108">
        <w:t xml:space="preserve"> </w:t>
      </w:r>
      <w:r w:rsidR="002232A4">
        <w:t xml:space="preserve">and the observation that the target countries are at different stages of INFF implementation, a proxy for </w:t>
      </w:r>
      <w:r w:rsidR="005033C0">
        <w:t xml:space="preserve">determining </w:t>
      </w:r>
      <w:r w:rsidR="002232A4">
        <w:t>project</w:t>
      </w:r>
      <w:r w:rsidR="00FF4108">
        <w:t xml:space="preserve"> impact</w:t>
      </w:r>
      <w:r w:rsidR="002232A4">
        <w:t xml:space="preserve"> </w:t>
      </w:r>
      <w:r w:rsidR="00C422E3">
        <w:t xml:space="preserve">has been </w:t>
      </w:r>
      <w:r w:rsidR="002232A4">
        <w:t>evidence of</w:t>
      </w:r>
      <w:r w:rsidR="00E02FFF">
        <w:t xml:space="preserve">: </w:t>
      </w:r>
      <w:r w:rsidR="00A72203">
        <w:t>i</w:t>
      </w:r>
      <w:r w:rsidR="00E02FFF">
        <w:t>)</w:t>
      </w:r>
      <w:r w:rsidR="002232A4">
        <w:t xml:space="preserve"> follow-on activities </w:t>
      </w:r>
      <w:r w:rsidR="00D30A48">
        <w:t>by</w:t>
      </w:r>
      <w:r w:rsidR="002232A4">
        <w:t xml:space="preserve"> </w:t>
      </w:r>
      <w:r w:rsidR="002232A4">
        <w:lastRenderedPageBreak/>
        <w:t>non-project countries</w:t>
      </w:r>
      <w:r w:rsidR="00D30A48">
        <w:t>,</w:t>
      </w:r>
      <w:r w:rsidR="002232A4">
        <w:t xml:space="preserve"> further to their </w:t>
      </w:r>
      <w:r w:rsidR="001A7D85">
        <w:t xml:space="preserve">introduction to </w:t>
      </w:r>
      <w:r w:rsidR="00C80834">
        <w:t>the INFF methodology during regional events</w:t>
      </w:r>
      <w:r w:rsidR="00F7538E">
        <w:t xml:space="preserve">; and </w:t>
      </w:r>
      <w:r w:rsidR="00A72203">
        <w:t>ii</w:t>
      </w:r>
      <w:r w:rsidR="00F7538E">
        <w:t xml:space="preserve">) the potential for </w:t>
      </w:r>
      <w:r w:rsidR="00E22D1E">
        <w:t>non-</w:t>
      </w:r>
      <w:r w:rsidR="0033082A">
        <w:t xml:space="preserve">project </w:t>
      </w:r>
      <w:r w:rsidR="00A9551A">
        <w:t>countries to facilitate the</w:t>
      </w:r>
      <w:r w:rsidR="009267C6">
        <w:t xml:space="preserve"> action areas of the 2025</w:t>
      </w:r>
      <w:r w:rsidR="00A9551A">
        <w:t xml:space="preserve"> Sevilla</w:t>
      </w:r>
      <w:r w:rsidR="009267C6">
        <w:t xml:space="preserve"> </w:t>
      </w:r>
      <w:r w:rsidR="00E91E3A">
        <w:t>C</w:t>
      </w:r>
      <w:r w:rsidR="009267C6">
        <w:t>ommitment</w:t>
      </w:r>
      <w:r w:rsidR="00E22D1E">
        <w:t xml:space="preserve">, the main outcome document of </w:t>
      </w:r>
      <w:r w:rsidR="00272644">
        <w:t xml:space="preserve">FFD4, as a contribution towards </w:t>
      </w:r>
      <w:r w:rsidR="00E22D1E">
        <w:t>the</w:t>
      </w:r>
      <w:r w:rsidR="00864174">
        <w:t xml:space="preserve"> international development agenda</w:t>
      </w:r>
      <w:r w:rsidR="002232A4">
        <w:t>.</w:t>
      </w:r>
      <w:r w:rsidR="003E31FA">
        <w:rPr>
          <w:rStyle w:val="FootnoteReference"/>
        </w:rPr>
        <w:footnoteReference w:id="213"/>
      </w:r>
      <w:r w:rsidR="002232A4">
        <w:t xml:space="preserve"> </w:t>
      </w:r>
    </w:p>
    <w:p w14:paraId="70BA5796" w14:textId="59FAD77D" w:rsidR="003F0866" w:rsidRDefault="00076815" w:rsidP="00583BC6">
      <w:pPr>
        <w:pStyle w:val="BodyText"/>
      </w:pPr>
      <w:r>
        <w:t xml:space="preserve">INFF project activities </w:t>
      </w:r>
      <w:r w:rsidR="00181891">
        <w:t xml:space="preserve">facilitated access by target and non-project countries to </w:t>
      </w:r>
      <w:r w:rsidR="00825009">
        <w:t>capacity-building</w:t>
      </w:r>
      <w:r w:rsidR="00DB1DD7">
        <w:t xml:space="preserve">; </w:t>
      </w:r>
      <w:r w:rsidR="00892097">
        <w:t>resources</w:t>
      </w:r>
      <w:r w:rsidR="009848A1">
        <w:t xml:space="preserve"> </w:t>
      </w:r>
      <w:r w:rsidR="00C62F8C">
        <w:t>and tools</w:t>
      </w:r>
      <w:r w:rsidR="0034342E">
        <w:t xml:space="preserve">; and opportunities for </w:t>
      </w:r>
      <w:r w:rsidR="006321A6">
        <w:t>knowledge-exchange</w:t>
      </w:r>
      <w:r w:rsidR="0034342E">
        <w:t xml:space="preserve"> and </w:t>
      </w:r>
      <w:r w:rsidR="006321A6">
        <w:t>peer-learning</w:t>
      </w:r>
      <w:r w:rsidR="00583BC6">
        <w:t xml:space="preserve">, </w:t>
      </w:r>
      <w:r w:rsidR="001A6711">
        <w:t xml:space="preserve">to support </w:t>
      </w:r>
      <w:r w:rsidR="00583BC6">
        <w:t xml:space="preserve">enhanced development financing </w:t>
      </w:r>
      <w:r w:rsidR="00EE3147">
        <w:t>at the country level</w:t>
      </w:r>
      <w:r w:rsidR="0034342E">
        <w:t>.</w:t>
      </w:r>
      <w:r w:rsidR="00407AA8">
        <w:rPr>
          <w:rStyle w:val="FootnoteReference"/>
        </w:rPr>
        <w:footnoteReference w:id="214"/>
      </w:r>
      <w:r w:rsidR="00497282">
        <w:t xml:space="preserve"> </w:t>
      </w:r>
      <w:r w:rsidR="00EE68A6">
        <w:t>T</w:t>
      </w:r>
      <w:r w:rsidR="00B71661">
        <w:t xml:space="preserve">he </w:t>
      </w:r>
      <w:r w:rsidR="004474A3">
        <w:t xml:space="preserve">formal </w:t>
      </w:r>
      <w:r w:rsidR="00B71661">
        <w:t>introduction to the project</w:t>
      </w:r>
      <w:r w:rsidR="00B57B9F">
        <w:t xml:space="preserve">, including </w:t>
      </w:r>
      <w:r w:rsidR="004474A3">
        <w:t>the INFF methodology</w:t>
      </w:r>
      <w:r w:rsidR="00B57B9F">
        <w:t>,</w:t>
      </w:r>
      <w:r w:rsidR="004474A3">
        <w:t xml:space="preserve"> was during a regional event that </w:t>
      </w:r>
      <w:r w:rsidR="004534EB">
        <w:t xml:space="preserve">was </w:t>
      </w:r>
      <w:r w:rsidR="00B57B9F">
        <w:t xml:space="preserve">delivered </w:t>
      </w:r>
      <w:r w:rsidR="004534EB">
        <w:t xml:space="preserve">by at least one Tier 2 entity. </w:t>
      </w:r>
      <w:r w:rsidR="00EE68A6">
        <w:t xml:space="preserve">All regional events </w:t>
      </w:r>
      <w:r w:rsidR="00F23717">
        <w:t xml:space="preserve">were open to target and non-project countries. </w:t>
      </w:r>
      <w:r w:rsidR="00E958DE">
        <w:t xml:space="preserve">By the end of the project timeframe, 30 non-project countries had </w:t>
      </w:r>
      <w:r w:rsidR="00494728">
        <w:t xml:space="preserve">engaged in project </w:t>
      </w:r>
      <w:r w:rsidR="009C4E67">
        <w:t xml:space="preserve">events. As these events took place at </w:t>
      </w:r>
      <w:r w:rsidR="0090360A">
        <w:t>t</w:t>
      </w:r>
      <w:r w:rsidR="009C4E67">
        <w:t xml:space="preserve">he regional level, they were usually open to participation by interested </w:t>
      </w:r>
      <w:r w:rsidR="003E4C7E">
        <w:t xml:space="preserve">stakeholder entities irrespective of country of origin. </w:t>
      </w:r>
      <w:r w:rsidR="008C2A80">
        <w:t>Notably, s</w:t>
      </w:r>
      <w:r w:rsidR="00455117">
        <w:t xml:space="preserve">ome </w:t>
      </w:r>
      <w:r w:rsidR="000F3CDB">
        <w:t xml:space="preserve">regional project activities </w:t>
      </w:r>
      <w:r w:rsidR="008C2A80">
        <w:t xml:space="preserve">were facilitated as side </w:t>
      </w:r>
      <w:r w:rsidR="00EB6494">
        <w:t>activities at non-project reg</w:t>
      </w:r>
      <w:r w:rsidR="00B21D4D">
        <w:t>ional events</w:t>
      </w:r>
      <w:r w:rsidR="00C7448F">
        <w:t xml:space="preserve">. </w:t>
      </w:r>
      <w:r w:rsidR="00DE1757">
        <w:t xml:space="preserve">The dissemination of information </w:t>
      </w:r>
      <w:r w:rsidR="00C7448F">
        <w:t xml:space="preserve">on </w:t>
      </w:r>
      <w:r w:rsidR="00B8251B">
        <w:t xml:space="preserve">the INFF project </w:t>
      </w:r>
      <w:r w:rsidR="00C7448F">
        <w:t>during these events</w:t>
      </w:r>
      <w:r w:rsidR="00DE1757">
        <w:t xml:space="preserve"> extended o</w:t>
      </w:r>
      <w:r w:rsidR="002519E5">
        <w:t>utreach of the project</w:t>
      </w:r>
      <w:r w:rsidR="00C7448F">
        <w:t>,</w:t>
      </w:r>
      <w:r w:rsidR="002519E5">
        <w:t xml:space="preserve"> and thereby </w:t>
      </w:r>
      <w:r w:rsidR="00F2400A">
        <w:t>contributed</w:t>
      </w:r>
      <w:r w:rsidR="002519E5">
        <w:t xml:space="preserve"> </w:t>
      </w:r>
      <w:r w:rsidR="00F2400A">
        <w:t>towards increased participation by non-target countries</w:t>
      </w:r>
      <w:r w:rsidR="00B8251B">
        <w:t>.</w:t>
      </w:r>
      <w:r w:rsidR="00050160">
        <w:t xml:space="preserve"> The following events </w:t>
      </w:r>
      <w:r w:rsidR="00257CB2">
        <w:t>are examples of projec</w:t>
      </w:r>
      <w:r w:rsidR="00144E59">
        <w:t>t</w:t>
      </w:r>
      <w:r w:rsidR="00257CB2">
        <w:t xml:space="preserve"> outreach</w:t>
      </w:r>
      <w:r w:rsidR="00144E59">
        <w:t xml:space="preserve"> that </w:t>
      </w:r>
      <w:r w:rsidR="003F0866">
        <w:t>contributed</w:t>
      </w:r>
      <w:r w:rsidR="00144E59">
        <w:t xml:space="preserve"> towards increased </w:t>
      </w:r>
      <w:r w:rsidR="003F0866">
        <w:t>participation</w:t>
      </w:r>
      <w:r w:rsidR="00144E59">
        <w:t xml:space="preserve"> </w:t>
      </w:r>
      <w:r w:rsidR="003F0866">
        <w:t>by non-project countries:</w:t>
      </w:r>
    </w:p>
    <w:p w14:paraId="33772A25" w14:textId="7E41B922" w:rsidR="00657019" w:rsidRDefault="00657019" w:rsidP="003B672F">
      <w:pPr>
        <w:pStyle w:val="BodyText"/>
        <w:numPr>
          <w:ilvl w:val="0"/>
          <w:numId w:val="108"/>
        </w:numPr>
      </w:pPr>
      <w:r>
        <w:t>Three-day online training workshop by UNESCAP , organised as a side event at the Asia Pacific Forum on Sustainable Development</w:t>
      </w:r>
      <w:r w:rsidR="007D7F74">
        <w:t xml:space="preserve"> (</w:t>
      </w:r>
      <w:r w:rsidR="005D6D91">
        <w:t>March 2021</w:t>
      </w:r>
      <w:r w:rsidR="007D7F74">
        <w:t>);</w:t>
      </w:r>
    </w:p>
    <w:p w14:paraId="0E3F1A46" w14:textId="3A6846D0" w:rsidR="00657019" w:rsidRDefault="00657019" w:rsidP="003B672F">
      <w:pPr>
        <w:pStyle w:val="BodyText"/>
        <w:numPr>
          <w:ilvl w:val="0"/>
          <w:numId w:val="108"/>
        </w:numPr>
      </w:pPr>
      <w:r>
        <w:t>Arab Regional Workshop, organised by UNESCWA back-to-back with the Inter-governmental Committee on Financing for Development in the Arab region</w:t>
      </w:r>
      <w:r w:rsidR="007D7F74">
        <w:t xml:space="preserve"> (</w:t>
      </w:r>
      <w:r>
        <w:t>December 2021</w:t>
      </w:r>
      <w:r w:rsidR="007D7F74">
        <w:t>);</w:t>
      </w:r>
    </w:p>
    <w:p w14:paraId="16252D14" w14:textId="60115B41" w:rsidR="00335507" w:rsidRDefault="00C15DA9" w:rsidP="003B672F">
      <w:pPr>
        <w:pStyle w:val="BodyText"/>
        <w:numPr>
          <w:ilvl w:val="0"/>
          <w:numId w:val="108"/>
        </w:numPr>
      </w:pPr>
      <w:r>
        <w:t xml:space="preserve">Region-wide webinar by UNESCAP for </w:t>
      </w:r>
      <w:r w:rsidR="00F52CFB">
        <w:t xml:space="preserve">UN </w:t>
      </w:r>
      <w:r>
        <w:t>RCOs and UNCTs</w:t>
      </w:r>
      <w:r w:rsidR="007D7F74">
        <w:t xml:space="preserve"> (</w:t>
      </w:r>
      <w:r w:rsidR="00F52CFB">
        <w:t>April 2022</w:t>
      </w:r>
      <w:r w:rsidR="007D7F74">
        <w:t>)</w:t>
      </w:r>
      <w:r w:rsidR="00405A15">
        <w:t>;</w:t>
      </w:r>
    </w:p>
    <w:p w14:paraId="21A214D5" w14:textId="0C814342" w:rsidR="00450724" w:rsidRDefault="00972B08" w:rsidP="003B672F">
      <w:pPr>
        <w:pStyle w:val="BodyText"/>
        <w:numPr>
          <w:ilvl w:val="0"/>
          <w:numId w:val="108"/>
        </w:numPr>
      </w:pPr>
      <w:r>
        <w:t xml:space="preserve">High-level Plenary for Ministers of Planning and Finance </w:t>
      </w:r>
      <w:r w:rsidR="00AB7D5C">
        <w:t xml:space="preserve">during the Arab Forum on </w:t>
      </w:r>
      <w:r w:rsidR="00AB7D5C">
        <w:t>Sustainable Development</w:t>
      </w:r>
      <w:r w:rsidR="007D7F74">
        <w:t xml:space="preserve"> (</w:t>
      </w:r>
      <w:r w:rsidR="00F52CFB">
        <w:t>March 2022/ 2023</w:t>
      </w:r>
      <w:r w:rsidR="007D7F74">
        <w:t>); and</w:t>
      </w:r>
      <w:r w:rsidR="00762BB8">
        <w:t xml:space="preserve"> </w:t>
      </w:r>
    </w:p>
    <w:p w14:paraId="36B2E4C2" w14:textId="7DBA5B1D" w:rsidR="000B693F" w:rsidRDefault="000B693F" w:rsidP="003B672F">
      <w:pPr>
        <w:pStyle w:val="BodyText"/>
        <w:numPr>
          <w:ilvl w:val="0"/>
          <w:numId w:val="108"/>
        </w:numPr>
      </w:pPr>
      <w:r>
        <w:t>INFF Side Event</w:t>
      </w:r>
      <w:r w:rsidR="00D75DE6">
        <w:t xml:space="preserve"> organised by UNECA</w:t>
      </w:r>
      <w:r>
        <w:t xml:space="preserve"> at the Africa Regional Consultation on Financing for Developmen</w:t>
      </w:r>
      <w:r w:rsidR="00B14299">
        <w:t>t</w:t>
      </w:r>
      <w:r w:rsidR="00762BB8">
        <w:t xml:space="preserve"> (</w:t>
      </w:r>
      <w:r w:rsidR="00F52CFB">
        <w:t>November 2024</w:t>
      </w:r>
      <w:r w:rsidR="00762BB8">
        <w:t>)</w:t>
      </w:r>
    </w:p>
    <w:p w14:paraId="052BF0F6" w14:textId="46781B8E" w:rsidR="00972B08" w:rsidRDefault="00AB7D5C" w:rsidP="00AB7D5C">
      <w:pPr>
        <w:pStyle w:val="BodyText"/>
        <w:jc w:val="right"/>
      </w:pPr>
      <w:r>
        <w:t>Source: Final project report, March 2025.</w:t>
      </w:r>
    </w:p>
    <w:p w14:paraId="0FB5A433" w14:textId="650FC3E0" w:rsidR="00645B1A" w:rsidRDefault="00295C2D" w:rsidP="001447ED">
      <w:pPr>
        <w:pStyle w:val="BodyText"/>
      </w:pPr>
      <w:r>
        <w:t>T</w:t>
      </w:r>
      <w:r w:rsidR="00462335">
        <w:t xml:space="preserve">here has been </w:t>
      </w:r>
      <w:r w:rsidR="00886B79">
        <w:t xml:space="preserve">significant </w:t>
      </w:r>
      <w:r w:rsidR="00462335">
        <w:t xml:space="preserve">evidence of </w:t>
      </w:r>
      <w:r w:rsidR="00763995">
        <w:t xml:space="preserve">interest by non-project countries </w:t>
      </w:r>
      <w:r w:rsidR="00146F52">
        <w:t xml:space="preserve">in </w:t>
      </w:r>
      <w:r w:rsidR="00241406">
        <w:t>the INFF methodology f</w:t>
      </w:r>
      <w:r w:rsidR="00D10775">
        <w:t xml:space="preserve">urther to the </w:t>
      </w:r>
      <w:r w:rsidR="00A90705">
        <w:t>introduct</w:t>
      </w:r>
      <w:r w:rsidR="00B36A80">
        <w:t>ory events</w:t>
      </w:r>
      <w:r w:rsidR="00A113A1">
        <w:t xml:space="preserve">. </w:t>
      </w:r>
      <w:r w:rsidR="00D917F6">
        <w:t xml:space="preserve">The </w:t>
      </w:r>
      <w:r w:rsidR="00B7618C">
        <w:t>impact of th</w:t>
      </w:r>
      <w:r w:rsidR="00C47335">
        <w:t>ese</w:t>
      </w:r>
      <w:r w:rsidR="00A113A1">
        <w:t xml:space="preserve"> regional events</w:t>
      </w:r>
      <w:r w:rsidR="00B7618C">
        <w:t xml:space="preserve"> has been twofold.</w:t>
      </w:r>
      <w:r w:rsidR="00A113A1">
        <w:t xml:space="preserve"> </w:t>
      </w:r>
      <w:r w:rsidR="00113901">
        <w:t xml:space="preserve">First, </w:t>
      </w:r>
      <w:r w:rsidR="0011217E">
        <w:t>MDAs within non-project</w:t>
      </w:r>
      <w:r w:rsidR="007101C4">
        <w:t xml:space="preserve"> countries</w:t>
      </w:r>
      <w:r w:rsidR="0011217E">
        <w:t xml:space="preserve"> requested</w:t>
      </w:r>
      <w:r w:rsidR="00113901">
        <w:t xml:space="preserve"> contextualised </w:t>
      </w:r>
      <w:r w:rsidR="0027453B">
        <w:t>in-country support</w:t>
      </w:r>
      <w:r w:rsidR="000E2AFA">
        <w:t xml:space="preserve"> </w:t>
      </w:r>
      <w:r w:rsidR="00305B76">
        <w:t xml:space="preserve">on the INFF methodology </w:t>
      </w:r>
      <w:r w:rsidR="000E2AFA">
        <w:t xml:space="preserve">to inform </w:t>
      </w:r>
      <w:r w:rsidR="00113901">
        <w:t>policy</w:t>
      </w:r>
      <w:r w:rsidR="00305B76">
        <w:t xml:space="preserve"> uptake.</w:t>
      </w:r>
      <w:r w:rsidR="005F4BEF">
        <w:t xml:space="preserve"> </w:t>
      </w:r>
      <w:r w:rsidR="00113901">
        <w:t xml:space="preserve">Second, </w:t>
      </w:r>
      <w:r w:rsidR="003E7B91">
        <w:t>co</w:t>
      </w:r>
      <w:r w:rsidR="00493E61">
        <w:t xml:space="preserve">ntextual </w:t>
      </w:r>
      <w:r w:rsidR="003E7B91">
        <w:t xml:space="preserve">support </w:t>
      </w:r>
      <w:r w:rsidR="00493E61">
        <w:t>to non-proj</w:t>
      </w:r>
      <w:r w:rsidR="006F12DB">
        <w:t>e</w:t>
      </w:r>
      <w:r w:rsidR="00493E61">
        <w:t xml:space="preserve">ct countries </w:t>
      </w:r>
      <w:r w:rsidR="00924915">
        <w:t xml:space="preserve">has contributed towards </w:t>
      </w:r>
      <w:r w:rsidR="00547C49">
        <w:t>the init</w:t>
      </w:r>
      <w:r w:rsidR="00F64310">
        <w:t>ial st</w:t>
      </w:r>
      <w:r w:rsidR="00024F27">
        <w:t xml:space="preserve">ages </w:t>
      </w:r>
      <w:r w:rsidR="00F64310">
        <w:t>of INFF building block implementation</w:t>
      </w:r>
      <w:r w:rsidR="00024F27">
        <w:t xml:space="preserve"> in </w:t>
      </w:r>
      <w:r w:rsidR="00D93021">
        <w:t xml:space="preserve">both sets of </w:t>
      </w:r>
      <w:r w:rsidR="00024F27">
        <w:t>countries</w:t>
      </w:r>
      <w:r w:rsidR="00035959">
        <w:t xml:space="preserve"> (i.e. inception stage activities </w:t>
      </w:r>
      <w:r w:rsidR="005D17B6">
        <w:t xml:space="preserve">at </w:t>
      </w:r>
      <w:r w:rsidR="00090CDC">
        <w:t>the</w:t>
      </w:r>
      <w:r w:rsidR="005D17B6">
        <w:t xml:space="preserve"> country-level, </w:t>
      </w:r>
      <w:r w:rsidR="00035959">
        <w:t>involving a contextual introduction to resources</w:t>
      </w:r>
      <w:r w:rsidR="004D7594">
        <w:t xml:space="preserve"> and tools, as well as an exploration of </w:t>
      </w:r>
      <w:r w:rsidR="00035959">
        <w:t>INFF applicability).</w:t>
      </w:r>
      <w:r w:rsidR="00F64310">
        <w:t xml:space="preserve"> </w:t>
      </w:r>
    </w:p>
    <w:p w14:paraId="4A179EAF" w14:textId="31381128" w:rsidR="00266588" w:rsidRPr="00F50C5E" w:rsidRDefault="002D0D9F" w:rsidP="001447ED">
      <w:pPr>
        <w:pStyle w:val="BodyText"/>
        <w:rPr>
          <w:rFonts w:cs="Arial"/>
          <w:bCs/>
          <w:szCs w:val="20"/>
        </w:rPr>
      </w:pPr>
      <w:r>
        <w:t>To illustrate, UNESCWA</w:t>
      </w:r>
      <w:r w:rsidR="004D7594">
        <w:t xml:space="preserve"> delivered </w:t>
      </w:r>
      <w:r w:rsidR="00803623">
        <w:t xml:space="preserve">a series of </w:t>
      </w:r>
      <w:r w:rsidR="00AA6F18">
        <w:t xml:space="preserve">regional workshops </w:t>
      </w:r>
      <w:r w:rsidR="00A10A47">
        <w:t xml:space="preserve">and sessions for government </w:t>
      </w:r>
      <w:r w:rsidR="009E10BA">
        <w:t>ministers and seni</w:t>
      </w:r>
      <w:r w:rsidR="003043A6">
        <w:t xml:space="preserve">or government </w:t>
      </w:r>
      <w:r w:rsidR="00A10A47">
        <w:t xml:space="preserve">officials within </w:t>
      </w:r>
      <w:r w:rsidR="00AA6F18">
        <w:t xml:space="preserve">the Arab </w:t>
      </w:r>
      <w:r w:rsidR="000476E9">
        <w:t>sub-</w:t>
      </w:r>
      <w:r w:rsidR="00AA6F18">
        <w:t>region between 2021 and 2024</w:t>
      </w:r>
      <w:r w:rsidR="00A10A47">
        <w:t>.</w:t>
      </w:r>
      <w:r w:rsidR="00934487">
        <w:rPr>
          <w:rStyle w:val="FootnoteReference"/>
        </w:rPr>
        <w:footnoteReference w:id="215"/>
      </w:r>
      <w:r w:rsidR="00A10A47">
        <w:t xml:space="preserve"> </w:t>
      </w:r>
      <w:r w:rsidR="00DE2276">
        <w:t xml:space="preserve">These </w:t>
      </w:r>
      <w:r w:rsidR="00447BAC">
        <w:t xml:space="preserve">events </w:t>
      </w:r>
      <w:r w:rsidR="00447BAC" w:rsidRPr="00F50C5E">
        <w:t xml:space="preserve">were </w:t>
      </w:r>
      <w:r w:rsidR="00DE2276" w:rsidRPr="00F50C5E">
        <w:t>conducted</w:t>
      </w:r>
      <w:r w:rsidR="008A2800" w:rsidRPr="00F50C5E">
        <w:t xml:space="preserve"> duri</w:t>
      </w:r>
      <w:r w:rsidR="0046110D" w:rsidRPr="00F50C5E">
        <w:t>ng</w:t>
      </w:r>
      <w:r w:rsidR="008A2800" w:rsidRPr="00F50C5E">
        <w:t xml:space="preserve"> independently schedule</w:t>
      </w:r>
      <w:r w:rsidR="00A040C2" w:rsidRPr="00F50C5E">
        <w:t>d</w:t>
      </w:r>
      <w:r w:rsidR="008A2800" w:rsidRPr="00F50C5E">
        <w:t xml:space="preserve"> timeframes or were back-to-back</w:t>
      </w:r>
      <w:r w:rsidR="0046110D" w:rsidRPr="00F50C5E">
        <w:t xml:space="preserve"> and/ or </w:t>
      </w:r>
      <w:r w:rsidR="00035959" w:rsidRPr="00F50C5E">
        <w:t xml:space="preserve">in </w:t>
      </w:r>
      <w:r w:rsidR="0046110D" w:rsidRPr="00F50C5E">
        <w:t xml:space="preserve">parallel </w:t>
      </w:r>
      <w:r w:rsidR="00035959" w:rsidRPr="00F50C5E">
        <w:t>with</w:t>
      </w:r>
      <w:r w:rsidR="00201B33" w:rsidRPr="00F50C5E">
        <w:t xml:space="preserve"> regional discussions on development financing (e.g. </w:t>
      </w:r>
      <w:r w:rsidR="00035959" w:rsidRPr="00F50C5E">
        <w:t xml:space="preserve">the </w:t>
      </w:r>
      <w:r w:rsidR="004E4A8F" w:rsidRPr="00F50C5E">
        <w:t xml:space="preserve">high-level </w:t>
      </w:r>
      <w:r w:rsidR="004E4A8F" w:rsidRPr="00F50C5E">
        <w:rPr>
          <w:szCs w:val="20"/>
        </w:rPr>
        <w:t xml:space="preserve">plenary sessions for finance ministers </w:t>
      </w:r>
      <w:r w:rsidR="00B470CD" w:rsidRPr="00F50C5E">
        <w:rPr>
          <w:szCs w:val="20"/>
        </w:rPr>
        <w:t>in 202</w:t>
      </w:r>
      <w:r w:rsidR="00035959" w:rsidRPr="00F50C5E">
        <w:rPr>
          <w:szCs w:val="20"/>
        </w:rPr>
        <w:t>2</w:t>
      </w:r>
      <w:r w:rsidR="00B470CD" w:rsidRPr="00F50C5E">
        <w:rPr>
          <w:szCs w:val="20"/>
        </w:rPr>
        <w:t xml:space="preserve"> and 202</w:t>
      </w:r>
      <w:r w:rsidR="00035959" w:rsidRPr="00F50C5E">
        <w:rPr>
          <w:szCs w:val="20"/>
        </w:rPr>
        <w:t>3</w:t>
      </w:r>
      <w:r w:rsidR="00B470CD" w:rsidRPr="00F50C5E">
        <w:rPr>
          <w:szCs w:val="20"/>
        </w:rPr>
        <w:t xml:space="preserve"> during the </w:t>
      </w:r>
      <w:hyperlink r:id="rId74" w:history="1">
        <w:r w:rsidR="00B470CD" w:rsidRPr="00F50C5E">
          <w:rPr>
            <w:rStyle w:val="Hyperlink"/>
            <w:rFonts w:cs="Arial"/>
            <w:bCs/>
            <w:szCs w:val="20"/>
          </w:rPr>
          <w:t>Arab Forum on Sustainable Development</w:t>
        </w:r>
      </w:hyperlink>
      <w:r w:rsidR="009A35BB" w:rsidRPr="00F50C5E">
        <w:rPr>
          <w:szCs w:val="20"/>
        </w:rPr>
        <w:t>;</w:t>
      </w:r>
      <w:r w:rsidR="00C647F9" w:rsidRPr="00F50C5E">
        <w:rPr>
          <w:szCs w:val="20"/>
        </w:rPr>
        <w:t xml:space="preserve"> a f</w:t>
      </w:r>
      <w:r w:rsidR="00C647F9" w:rsidRPr="00F50C5E">
        <w:rPr>
          <w:rFonts w:cs="Arial"/>
          <w:bCs/>
          <w:szCs w:val="20"/>
        </w:rPr>
        <w:t>ollow-up session with government officials during the UNESCWA 8th Executive Committee Meeting in 2021</w:t>
      </w:r>
      <w:r w:rsidR="00492BF3" w:rsidRPr="00F50C5E">
        <w:rPr>
          <w:rFonts w:cs="Arial"/>
          <w:bCs/>
          <w:szCs w:val="20"/>
        </w:rPr>
        <w:t xml:space="preserve">; workshops during the </w:t>
      </w:r>
      <w:r w:rsidR="00153911" w:rsidRPr="00F50C5E">
        <w:rPr>
          <w:rFonts w:cs="Arial"/>
          <w:bCs/>
          <w:szCs w:val="20"/>
        </w:rPr>
        <w:t xml:space="preserve">meetings of the Intergovernmental Committee on </w:t>
      </w:r>
      <w:r w:rsidR="00E828D9" w:rsidRPr="00F50C5E">
        <w:rPr>
          <w:rFonts w:cs="Arial"/>
          <w:bCs/>
          <w:szCs w:val="20"/>
        </w:rPr>
        <w:t>FfD in 202</w:t>
      </w:r>
      <w:r w:rsidR="00035959" w:rsidRPr="00F50C5E">
        <w:rPr>
          <w:rFonts w:cs="Arial"/>
          <w:bCs/>
          <w:szCs w:val="20"/>
        </w:rPr>
        <w:t>1</w:t>
      </w:r>
      <w:r w:rsidR="00E828D9" w:rsidRPr="00F50C5E">
        <w:rPr>
          <w:rFonts w:cs="Arial"/>
          <w:bCs/>
          <w:szCs w:val="20"/>
        </w:rPr>
        <w:t xml:space="preserve"> and 202</w:t>
      </w:r>
      <w:r w:rsidR="00035959" w:rsidRPr="00F50C5E">
        <w:rPr>
          <w:rFonts w:cs="Arial"/>
          <w:bCs/>
          <w:szCs w:val="20"/>
        </w:rPr>
        <w:t>4</w:t>
      </w:r>
      <w:r w:rsidR="00E4685F" w:rsidRPr="00F50C5E">
        <w:rPr>
          <w:rFonts w:cs="Arial"/>
          <w:bCs/>
          <w:szCs w:val="20"/>
        </w:rPr>
        <w:t xml:space="preserve">; </w:t>
      </w:r>
      <w:r w:rsidR="00C64A01" w:rsidRPr="00F50C5E">
        <w:rPr>
          <w:rFonts w:cs="Arial"/>
          <w:bCs/>
          <w:szCs w:val="20"/>
        </w:rPr>
        <w:t>etc.)</w:t>
      </w:r>
      <w:r w:rsidR="0094263F" w:rsidRPr="00F50C5E">
        <w:rPr>
          <w:rFonts w:cs="Arial"/>
          <w:bCs/>
          <w:szCs w:val="20"/>
        </w:rPr>
        <w:t xml:space="preserve">. </w:t>
      </w:r>
      <w:r w:rsidR="00883C5B">
        <w:rPr>
          <w:rFonts w:cs="Arial"/>
          <w:bCs/>
          <w:szCs w:val="20"/>
        </w:rPr>
        <w:t xml:space="preserve">To </w:t>
      </w:r>
      <w:r w:rsidR="00A51039">
        <w:rPr>
          <w:rFonts w:cs="Arial"/>
          <w:bCs/>
          <w:szCs w:val="20"/>
        </w:rPr>
        <w:t xml:space="preserve">complement </w:t>
      </w:r>
      <w:r w:rsidR="00883C5B">
        <w:rPr>
          <w:rFonts w:cs="Arial"/>
          <w:bCs/>
          <w:szCs w:val="20"/>
        </w:rPr>
        <w:t xml:space="preserve">these </w:t>
      </w:r>
      <w:r w:rsidR="00897BB4">
        <w:rPr>
          <w:rFonts w:cs="Arial"/>
          <w:bCs/>
          <w:szCs w:val="20"/>
        </w:rPr>
        <w:t>events</w:t>
      </w:r>
      <w:r w:rsidR="00A51039">
        <w:rPr>
          <w:rFonts w:cs="Arial"/>
          <w:bCs/>
          <w:szCs w:val="20"/>
        </w:rPr>
        <w:t>,</w:t>
      </w:r>
      <w:r w:rsidR="000D68A8" w:rsidRPr="00F50C5E">
        <w:rPr>
          <w:rFonts w:cs="Arial"/>
          <w:bCs/>
          <w:szCs w:val="20"/>
        </w:rPr>
        <w:t xml:space="preserve"> UNESCWA also facili</w:t>
      </w:r>
      <w:r w:rsidR="00E81554" w:rsidRPr="00F50C5E">
        <w:rPr>
          <w:rFonts w:cs="Arial"/>
          <w:bCs/>
          <w:szCs w:val="20"/>
        </w:rPr>
        <w:t xml:space="preserve">tated a </w:t>
      </w:r>
      <w:r w:rsidR="00E519B1" w:rsidRPr="00F50C5E">
        <w:rPr>
          <w:rFonts w:cs="Arial"/>
          <w:bCs/>
          <w:szCs w:val="20"/>
        </w:rPr>
        <w:t>region-wide webinar for RCOs and UNCTs</w:t>
      </w:r>
      <w:r w:rsidR="00A51039">
        <w:rPr>
          <w:rFonts w:cs="Arial"/>
          <w:bCs/>
          <w:szCs w:val="20"/>
        </w:rPr>
        <w:t>, wh</w:t>
      </w:r>
      <w:r w:rsidR="00632021">
        <w:rPr>
          <w:rFonts w:cs="Arial"/>
          <w:bCs/>
          <w:szCs w:val="20"/>
        </w:rPr>
        <w:t xml:space="preserve">ich introduced </w:t>
      </w:r>
      <w:r w:rsidR="00E519B1" w:rsidRPr="00F50C5E">
        <w:rPr>
          <w:rFonts w:cs="Arial"/>
          <w:bCs/>
          <w:szCs w:val="20"/>
        </w:rPr>
        <w:t xml:space="preserve">online policy tools </w:t>
      </w:r>
      <w:r w:rsidR="00632021">
        <w:rPr>
          <w:rFonts w:cs="Arial"/>
          <w:bCs/>
          <w:szCs w:val="20"/>
        </w:rPr>
        <w:t>for</w:t>
      </w:r>
      <w:r w:rsidR="00713A2E" w:rsidRPr="00F50C5E">
        <w:rPr>
          <w:rFonts w:cs="Arial"/>
          <w:bCs/>
          <w:szCs w:val="20"/>
        </w:rPr>
        <w:t xml:space="preserve"> support INFF</w:t>
      </w:r>
      <w:r w:rsidR="00632021">
        <w:rPr>
          <w:rFonts w:cs="Arial"/>
          <w:bCs/>
          <w:szCs w:val="20"/>
        </w:rPr>
        <w:t xml:space="preserve"> implementation across</w:t>
      </w:r>
      <w:r w:rsidR="00713A2E" w:rsidRPr="00F50C5E">
        <w:rPr>
          <w:rFonts w:cs="Arial"/>
          <w:bCs/>
          <w:szCs w:val="20"/>
        </w:rPr>
        <w:t xml:space="preserve"> the Arab </w:t>
      </w:r>
      <w:r w:rsidR="000476E9" w:rsidRPr="00F50C5E">
        <w:rPr>
          <w:rFonts w:cs="Arial"/>
          <w:bCs/>
          <w:szCs w:val="20"/>
        </w:rPr>
        <w:t>sub-</w:t>
      </w:r>
      <w:r w:rsidR="00713A2E" w:rsidRPr="00F50C5E">
        <w:rPr>
          <w:rFonts w:cs="Arial"/>
          <w:bCs/>
          <w:szCs w:val="20"/>
        </w:rPr>
        <w:t>region.</w:t>
      </w:r>
    </w:p>
    <w:p w14:paraId="6C97F9CE" w14:textId="51251BAE" w:rsidR="002601EE" w:rsidRDefault="004E6103" w:rsidP="001447ED">
      <w:pPr>
        <w:pStyle w:val="BodyText"/>
        <w:rPr>
          <w:rFonts w:cs="Arial"/>
          <w:bCs/>
          <w:szCs w:val="20"/>
        </w:rPr>
      </w:pPr>
      <w:r w:rsidRPr="00F50C5E">
        <w:rPr>
          <w:rFonts w:cs="Arial"/>
          <w:bCs/>
          <w:szCs w:val="20"/>
        </w:rPr>
        <w:t>A</w:t>
      </w:r>
      <w:r w:rsidR="004F53AB" w:rsidRPr="00F50C5E">
        <w:rPr>
          <w:rFonts w:cs="Arial"/>
          <w:bCs/>
          <w:szCs w:val="20"/>
        </w:rPr>
        <w:t>s a</w:t>
      </w:r>
      <w:r w:rsidR="00F50C5E" w:rsidRPr="00F50C5E">
        <w:rPr>
          <w:rFonts w:cs="Arial"/>
          <w:bCs/>
          <w:szCs w:val="20"/>
        </w:rPr>
        <w:t>n emergent impact of the regional events</w:t>
      </w:r>
      <w:r w:rsidRPr="00F50C5E">
        <w:rPr>
          <w:rFonts w:cs="Arial"/>
          <w:bCs/>
          <w:szCs w:val="20"/>
        </w:rPr>
        <w:t xml:space="preserve">, </w:t>
      </w:r>
      <w:r w:rsidR="004333CA" w:rsidRPr="00F50C5E">
        <w:rPr>
          <w:rFonts w:cs="Arial"/>
          <w:bCs/>
          <w:szCs w:val="20"/>
        </w:rPr>
        <w:t xml:space="preserve">UNESCWA received </w:t>
      </w:r>
      <w:r w:rsidRPr="00F50C5E">
        <w:rPr>
          <w:rFonts w:cs="Arial"/>
          <w:bCs/>
          <w:szCs w:val="20"/>
        </w:rPr>
        <w:t xml:space="preserve">several </w:t>
      </w:r>
      <w:r w:rsidR="004333CA" w:rsidRPr="00F50C5E">
        <w:rPr>
          <w:rFonts w:cs="Arial"/>
          <w:bCs/>
          <w:szCs w:val="20"/>
        </w:rPr>
        <w:t xml:space="preserve">requests for technical assistance from </w:t>
      </w:r>
      <w:r w:rsidR="00F50C5E" w:rsidRPr="00F50C5E">
        <w:rPr>
          <w:rFonts w:cs="Arial"/>
          <w:bCs/>
          <w:szCs w:val="20"/>
        </w:rPr>
        <w:t xml:space="preserve">individual </w:t>
      </w:r>
      <w:r w:rsidRPr="00F50C5E">
        <w:rPr>
          <w:rFonts w:cs="Arial"/>
          <w:bCs/>
          <w:szCs w:val="20"/>
        </w:rPr>
        <w:t>countries (see Exhibit</w:t>
      </w:r>
      <w:r>
        <w:rPr>
          <w:rFonts w:cs="Arial"/>
          <w:bCs/>
          <w:szCs w:val="20"/>
        </w:rPr>
        <w:t xml:space="preserve"> 1</w:t>
      </w:r>
      <w:r w:rsidR="009364A0">
        <w:rPr>
          <w:rFonts w:cs="Arial"/>
          <w:bCs/>
          <w:szCs w:val="20"/>
        </w:rPr>
        <w:t>8</w:t>
      </w:r>
      <w:r>
        <w:rPr>
          <w:rFonts w:cs="Arial"/>
          <w:bCs/>
          <w:szCs w:val="20"/>
        </w:rPr>
        <w:t xml:space="preserve">). Government ministries from four countries </w:t>
      </w:r>
      <w:r w:rsidR="00F85D00">
        <w:rPr>
          <w:rFonts w:cs="Arial"/>
          <w:bCs/>
          <w:szCs w:val="20"/>
        </w:rPr>
        <w:t xml:space="preserve">(Algeria; Mauritania; Oman; and Tunisia) </w:t>
      </w:r>
      <w:r>
        <w:rPr>
          <w:rFonts w:cs="Arial"/>
          <w:bCs/>
          <w:szCs w:val="20"/>
        </w:rPr>
        <w:t xml:space="preserve">requested technical </w:t>
      </w:r>
      <w:r>
        <w:rPr>
          <w:rFonts w:cs="Arial"/>
          <w:bCs/>
          <w:szCs w:val="20"/>
        </w:rPr>
        <w:lastRenderedPageBreak/>
        <w:t xml:space="preserve">assistance to </w:t>
      </w:r>
      <w:r w:rsidR="004F53AB">
        <w:rPr>
          <w:rFonts w:cs="Arial"/>
          <w:bCs/>
          <w:szCs w:val="20"/>
        </w:rPr>
        <w:t xml:space="preserve">deepen </w:t>
      </w:r>
      <w:r>
        <w:rPr>
          <w:rFonts w:cs="Arial"/>
          <w:bCs/>
          <w:szCs w:val="20"/>
        </w:rPr>
        <w:t xml:space="preserve">their understanding of the INFF methodology and facilitate its application. </w:t>
      </w:r>
      <w:r w:rsidR="000F46A6">
        <w:rPr>
          <w:rFonts w:cs="Arial"/>
          <w:bCs/>
          <w:szCs w:val="20"/>
        </w:rPr>
        <w:t xml:space="preserve">Each request for technical assistance </w:t>
      </w:r>
      <w:r w:rsidR="004F53AB">
        <w:rPr>
          <w:rFonts w:cs="Arial"/>
          <w:bCs/>
          <w:szCs w:val="20"/>
        </w:rPr>
        <w:t>led to</w:t>
      </w:r>
      <w:r w:rsidR="000F46A6">
        <w:rPr>
          <w:rFonts w:cs="Arial"/>
          <w:bCs/>
          <w:szCs w:val="20"/>
        </w:rPr>
        <w:t xml:space="preserve"> </w:t>
      </w:r>
      <w:r w:rsidR="00D63C74">
        <w:rPr>
          <w:rFonts w:cs="Arial"/>
          <w:bCs/>
          <w:szCs w:val="20"/>
        </w:rPr>
        <w:t xml:space="preserve">additional </w:t>
      </w:r>
      <w:r w:rsidR="00F85D00">
        <w:rPr>
          <w:rFonts w:cs="Arial"/>
          <w:bCs/>
          <w:szCs w:val="20"/>
        </w:rPr>
        <w:t xml:space="preserve">convenings (in the form of </w:t>
      </w:r>
      <w:r w:rsidR="00D63C74">
        <w:rPr>
          <w:rFonts w:cs="Arial"/>
          <w:bCs/>
          <w:szCs w:val="20"/>
        </w:rPr>
        <w:t>meetings/ workshops/ trainings/ discussions</w:t>
      </w:r>
      <w:r w:rsidR="00F85D00">
        <w:rPr>
          <w:rFonts w:cs="Arial"/>
          <w:bCs/>
          <w:szCs w:val="20"/>
        </w:rPr>
        <w:t>)</w:t>
      </w:r>
      <w:r w:rsidR="00D63C74">
        <w:rPr>
          <w:rFonts w:cs="Arial"/>
          <w:bCs/>
          <w:szCs w:val="20"/>
        </w:rPr>
        <w:t xml:space="preserve"> </w:t>
      </w:r>
      <w:r w:rsidR="00960274">
        <w:rPr>
          <w:rFonts w:cs="Arial"/>
          <w:bCs/>
          <w:szCs w:val="20"/>
        </w:rPr>
        <w:t>at the individual country level</w:t>
      </w:r>
      <w:r w:rsidR="00F85D00">
        <w:rPr>
          <w:rFonts w:cs="Arial"/>
          <w:bCs/>
          <w:szCs w:val="20"/>
        </w:rPr>
        <w:t xml:space="preserve">, </w:t>
      </w:r>
      <w:r w:rsidR="00F85D00">
        <w:rPr>
          <w:rFonts w:cs="Arial"/>
          <w:bCs/>
          <w:szCs w:val="20"/>
        </w:rPr>
        <w:t xml:space="preserve">to further </w:t>
      </w:r>
      <w:r w:rsidR="002601EE">
        <w:rPr>
          <w:rFonts w:cs="Arial"/>
          <w:bCs/>
          <w:szCs w:val="20"/>
        </w:rPr>
        <w:t>explor</w:t>
      </w:r>
      <w:r w:rsidR="00523EB6">
        <w:rPr>
          <w:rFonts w:cs="Arial"/>
          <w:bCs/>
          <w:szCs w:val="20"/>
        </w:rPr>
        <w:t>e</w:t>
      </w:r>
      <w:r w:rsidR="002601EE">
        <w:rPr>
          <w:rFonts w:cs="Arial"/>
          <w:bCs/>
          <w:szCs w:val="20"/>
        </w:rPr>
        <w:t xml:space="preserve"> the contextual applicability of the INFF methodology.</w:t>
      </w:r>
    </w:p>
    <w:p w14:paraId="31ADF5F2" w14:textId="77777777" w:rsidR="00762BB8" w:rsidRDefault="00762BB8" w:rsidP="001447ED">
      <w:pPr>
        <w:pStyle w:val="BodyText"/>
        <w:rPr>
          <w:rFonts w:cs="Arial"/>
          <w:bCs/>
          <w:szCs w:val="20"/>
        </w:rPr>
      </w:pPr>
    </w:p>
    <w:p w14:paraId="4C26A4D4" w14:textId="77777777" w:rsidR="009C42C5" w:rsidRDefault="009C42C5" w:rsidP="001447ED">
      <w:pPr>
        <w:pStyle w:val="BodyText"/>
        <w:rPr>
          <w:rFonts w:cs="Arial"/>
          <w:bCs/>
          <w:szCs w:val="20"/>
        </w:rPr>
      </w:pPr>
    </w:p>
    <w:p w14:paraId="4243F472" w14:textId="77777777" w:rsidR="00F85D00" w:rsidRDefault="00F85D00" w:rsidP="001447ED">
      <w:pPr>
        <w:pStyle w:val="BodyText"/>
        <w:rPr>
          <w:rFonts w:cs="Arial"/>
          <w:bCs/>
          <w:szCs w:val="20"/>
        </w:rPr>
        <w:sectPr w:rsidR="00F85D00" w:rsidSect="00D16B7E">
          <w:type w:val="continuous"/>
          <w:pgSz w:w="12240" w:h="15840" w:code="1"/>
          <w:pgMar w:top="1276" w:right="1276" w:bottom="1702" w:left="1276" w:header="720" w:footer="720" w:gutter="0"/>
          <w:cols w:num="2" w:space="397"/>
          <w:docGrid w:linePitch="360"/>
        </w:sectPr>
      </w:pPr>
    </w:p>
    <w:p w14:paraId="23907D53" w14:textId="31D6F8E8" w:rsidR="00F85D00" w:rsidRDefault="00F85D00" w:rsidP="00574C9A">
      <w:pPr>
        <w:pStyle w:val="Caption"/>
        <w:spacing w:before="240"/>
        <w:rPr>
          <w:b w:val="0"/>
          <w:color w:val="FFFFFF" w:themeColor="background1"/>
          <w:sz w:val="19"/>
          <w:szCs w:val="19"/>
        </w:rPr>
        <w:sectPr w:rsidR="00F85D00" w:rsidSect="00F85D00">
          <w:type w:val="continuous"/>
          <w:pgSz w:w="12240" w:h="15840" w:code="1"/>
          <w:pgMar w:top="284" w:right="1276" w:bottom="1588" w:left="1276" w:header="720" w:footer="720" w:gutter="0"/>
          <w:cols w:space="397"/>
          <w:docGrid w:linePitch="360"/>
        </w:sectPr>
      </w:pPr>
      <w:bookmarkStart w:id="46" w:name="_Toc210730351"/>
      <w:r w:rsidRPr="00D12632">
        <w:t xml:space="preserve">Exhibit </w:t>
      </w:r>
      <w:r w:rsidRPr="00D12632">
        <w:fldChar w:fldCharType="begin"/>
      </w:r>
      <w:r w:rsidRPr="00D12632">
        <w:instrText xml:space="preserve"> SEQ Table \* ARABIC </w:instrText>
      </w:r>
      <w:r w:rsidRPr="00D12632">
        <w:fldChar w:fldCharType="separate"/>
      </w:r>
      <w:r w:rsidR="002E2B31">
        <w:rPr>
          <w:noProof/>
        </w:rPr>
        <w:t>18</w:t>
      </w:r>
      <w:r w:rsidRPr="00D12632">
        <w:fldChar w:fldCharType="end"/>
      </w:r>
      <w:r w:rsidRPr="00D12632">
        <w:t xml:space="preserve"> </w:t>
      </w:r>
      <w:r w:rsidR="006F24C8">
        <w:t>Impact of UNESCWA regional events</w:t>
      </w:r>
      <w:r w:rsidR="00E846EE">
        <w:t xml:space="preserve"> in the</w:t>
      </w:r>
      <w:r w:rsidR="00C61BD3">
        <w:t xml:space="preserve"> Arab sub-region</w:t>
      </w:r>
      <w:bookmarkEnd w:id="46"/>
      <w:r>
        <w:t xml:space="preserve"> </w:t>
      </w:r>
    </w:p>
    <w:tbl>
      <w:tblPr>
        <w:tblStyle w:val="BlueTable"/>
        <w:tblW w:w="5000" w:type="pct"/>
        <w:jc w:val="center"/>
        <w:tblLook w:val="04A0" w:firstRow="1" w:lastRow="0" w:firstColumn="1" w:lastColumn="0" w:noHBand="0" w:noVBand="1"/>
      </w:tblPr>
      <w:tblGrid>
        <w:gridCol w:w="9672"/>
      </w:tblGrid>
      <w:tr w:rsidR="009B6CAE" w:rsidRPr="00041EA7" w14:paraId="00BBF624" w14:textId="77777777" w:rsidTr="009B6CAE">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9696" w:type="dxa"/>
          </w:tcPr>
          <w:p w14:paraId="721091F2" w14:textId="4F0EA4EE" w:rsidR="009B6CAE" w:rsidRPr="005B38A0" w:rsidRDefault="009B6CAE" w:rsidP="00762BB8">
            <w:pPr>
              <w:spacing w:before="0" w:after="0"/>
              <w:jc w:val="center"/>
              <w:rPr>
                <w:sz w:val="18"/>
                <w:szCs w:val="18"/>
              </w:rPr>
            </w:pPr>
            <w:r>
              <w:rPr>
                <w:sz w:val="18"/>
                <w:szCs w:val="18"/>
              </w:rPr>
              <w:t>Examples of project i</w:t>
            </w:r>
            <w:r w:rsidRPr="005B38A0">
              <w:rPr>
                <w:sz w:val="18"/>
                <w:szCs w:val="18"/>
              </w:rPr>
              <w:t>mpact</w:t>
            </w:r>
            <w:r>
              <w:rPr>
                <w:sz w:val="18"/>
                <w:szCs w:val="18"/>
              </w:rPr>
              <w:t xml:space="preserve"> – Western Asia (Arab sub-region)</w:t>
            </w:r>
          </w:p>
        </w:tc>
      </w:tr>
      <w:tr w:rsidR="009B6CAE" w:rsidRPr="00BE495B" w14:paraId="6FEF72A9"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2C5F5BA1" w14:textId="1D8BE535" w:rsidR="009B6CAE" w:rsidRPr="00F50C5E" w:rsidRDefault="009B6CAE" w:rsidP="008420F0">
            <w:pPr>
              <w:pStyle w:val="Normal-sizedTableBullets"/>
              <w:spacing w:before="0" w:after="60"/>
              <w:rPr>
                <w:b w:val="0"/>
                <w:bCs/>
                <w:sz w:val="18"/>
                <w:szCs w:val="18"/>
              </w:rPr>
            </w:pPr>
            <w:r w:rsidRPr="00F50C5E">
              <w:rPr>
                <w:rFonts w:cstheme="minorHAnsi"/>
                <w:b w:val="0"/>
                <w:bCs/>
                <w:sz w:val="18"/>
                <w:szCs w:val="18"/>
              </w:rPr>
              <w:t xml:space="preserve">Formal request by </w:t>
            </w:r>
            <w:r w:rsidRPr="00F50C5E">
              <w:rPr>
                <w:rFonts w:cstheme="minorHAnsi"/>
                <w:sz w:val="18"/>
                <w:szCs w:val="18"/>
              </w:rPr>
              <w:t>Ministry of Finance, Algeria</w:t>
            </w:r>
            <w:r w:rsidRPr="00F50C5E">
              <w:rPr>
                <w:rFonts w:cstheme="minorHAnsi"/>
                <w:b w:val="0"/>
                <w:bCs/>
                <w:sz w:val="18"/>
                <w:szCs w:val="18"/>
              </w:rPr>
              <w:t xml:space="preserve"> for</w:t>
            </w:r>
            <w:r w:rsidRPr="00F50C5E">
              <w:rPr>
                <w:rFonts w:cs="Arial"/>
                <w:b w:val="0"/>
                <w:bCs/>
                <w:sz w:val="18"/>
                <w:szCs w:val="18"/>
              </w:rPr>
              <w:t xml:space="preserve"> a virtual webinar for policymakers on the operability of UNESCWA INFF tools and the </w:t>
            </w:r>
            <w:r w:rsidR="004F53AB" w:rsidRPr="00F50C5E">
              <w:rPr>
                <w:rFonts w:cs="Arial"/>
                <w:b w:val="0"/>
                <w:bCs/>
                <w:sz w:val="18"/>
                <w:szCs w:val="18"/>
              </w:rPr>
              <w:t>iB</w:t>
            </w:r>
            <w:r w:rsidRPr="00F50C5E">
              <w:rPr>
                <w:rFonts w:cs="Arial"/>
                <w:b w:val="0"/>
                <w:bCs/>
                <w:sz w:val="18"/>
                <w:szCs w:val="18"/>
              </w:rPr>
              <w:t>it (May 2024)</w:t>
            </w:r>
          </w:p>
          <w:p w14:paraId="614AEEE0" w14:textId="77777777" w:rsidR="009B6CAE" w:rsidRPr="00F50C5E" w:rsidRDefault="009B6CAE" w:rsidP="008420F0">
            <w:pPr>
              <w:pStyle w:val="Normal-sizedTableBullets"/>
              <w:numPr>
                <w:ilvl w:val="1"/>
                <w:numId w:val="10"/>
              </w:numPr>
              <w:spacing w:before="0" w:after="60"/>
              <w:ind w:left="755" w:hanging="426"/>
              <w:rPr>
                <w:b w:val="0"/>
                <w:bCs/>
                <w:sz w:val="18"/>
                <w:szCs w:val="18"/>
              </w:rPr>
            </w:pPr>
            <w:r w:rsidRPr="00F50C5E">
              <w:rPr>
                <w:b w:val="0"/>
                <w:bCs/>
                <w:sz w:val="18"/>
                <w:szCs w:val="18"/>
              </w:rPr>
              <w:t>Follow-up meeting conducted in 2025 Q1</w:t>
            </w:r>
          </w:p>
          <w:p w14:paraId="12BAFAD8" w14:textId="5C78EAD3" w:rsidR="009B6CAE" w:rsidRPr="00F50C5E" w:rsidRDefault="009B6CAE" w:rsidP="008420F0">
            <w:pPr>
              <w:pStyle w:val="Normal-sizedTableBullets"/>
              <w:numPr>
                <w:ilvl w:val="1"/>
                <w:numId w:val="10"/>
              </w:numPr>
              <w:spacing w:before="0" w:after="60"/>
              <w:ind w:left="755" w:hanging="426"/>
              <w:rPr>
                <w:b w:val="0"/>
                <w:bCs/>
                <w:sz w:val="18"/>
                <w:szCs w:val="18"/>
              </w:rPr>
            </w:pPr>
            <w:r w:rsidRPr="00F50C5E">
              <w:rPr>
                <w:rFonts w:cs="Arial"/>
                <w:b w:val="0"/>
                <w:bCs/>
                <w:sz w:val="18"/>
                <w:szCs w:val="18"/>
              </w:rPr>
              <w:t xml:space="preserve">Contextualisation of tools and iBIT </w:t>
            </w:r>
            <w:r w:rsidR="004F53AB" w:rsidRPr="00F50C5E">
              <w:rPr>
                <w:rFonts w:cs="Arial"/>
                <w:b w:val="0"/>
                <w:bCs/>
                <w:sz w:val="18"/>
                <w:szCs w:val="18"/>
              </w:rPr>
              <w:t>to enhance public finance sustainability and improve developmental returns on public spending</w:t>
            </w:r>
          </w:p>
          <w:p w14:paraId="2A35E06D" w14:textId="73A150E4" w:rsidR="009B6CAE" w:rsidRPr="00F50C5E" w:rsidRDefault="009B6CAE" w:rsidP="008420F0">
            <w:pPr>
              <w:pStyle w:val="Normal-sizedTableBullets"/>
              <w:numPr>
                <w:ilvl w:val="1"/>
                <w:numId w:val="10"/>
              </w:numPr>
              <w:spacing w:before="0" w:after="60"/>
              <w:ind w:left="755" w:hanging="426"/>
              <w:rPr>
                <w:b w:val="0"/>
                <w:bCs/>
                <w:sz w:val="18"/>
                <w:szCs w:val="18"/>
              </w:rPr>
            </w:pPr>
            <w:r w:rsidRPr="00F50C5E">
              <w:rPr>
                <w:b w:val="0"/>
                <w:bCs/>
                <w:sz w:val="18"/>
                <w:szCs w:val="18"/>
              </w:rPr>
              <w:t xml:space="preserve">National training workshop for officials on </w:t>
            </w:r>
            <w:r w:rsidR="004F53AB" w:rsidRPr="00F50C5E">
              <w:rPr>
                <w:b w:val="0"/>
                <w:bCs/>
                <w:sz w:val="18"/>
                <w:szCs w:val="18"/>
              </w:rPr>
              <w:t>the</w:t>
            </w:r>
            <w:r w:rsidRPr="00F50C5E">
              <w:rPr>
                <w:b w:val="0"/>
                <w:bCs/>
                <w:sz w:val="18"/>
                <w:szCs w:val="18"/>
              </w:rPr>
              <w:t xml:space="preserve"> features and application</w:t>
            </w:r>
            <w:r w:rsidR="004F53AB" w:rsidRPr="00F50C5E">
              <w:rPr>
                <w:b w:val="0"/>
                <w:bCs/>
                <w:sz w:val="18"/>
                <w:szCs w:val="18"/>
              </w:rPr>
              <w:t xml:space="preserve"> of the tools</w:t>
            </w:r>
          </w:p>
        </w:tc>
      </w:tr>
      <w:tr w:rsidR="009B6CAE" w:rsidRPr="00041EA7" w14:paraId="46CE4406"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34C7FAAB" w14:textId="77777777" w:rsidR="009B6CAE" w:rsidRPr="00F50C5E" w:rsidRDefault="009B6CAE" w:rsidP="008420F0">
            <w:pPr>
              <w:pStyle w:val="Normal-sizedTableBullets"/>
              <w:spacing w:before="0" w:after="60"/>
              <w:rPr>
                <w:b w:val="0"/>
                <w:bCs/>
                <w:sz w:val="18"/>
                <w:szCs w:val="18"/>
              </w:rPr>
            </w:pPr>
            <w:r w:rsidRPr="00F50C5E">
              <w:rPr>
                <w:b w:val="0"/>
                <w:bCs/>
                <w:sz w:val="18"/>
                <w:szCs w:val="18"/>
              </w:rPr>
              <w:t xml:space="preserve">Collaboration with </w:t>
            </w:r>
            <w:r w:rsidRPr="00F50C5E">
              <w:rPr>
                <w:sz w:val="18"/>
                <w:szCs w:val="18"/>
              </w:rPr>
              <w:t>RCO Bahrain</w:t>
            </w:r>
            <w:r w:rsidRPr="00F50C5E">
              <w:rPr>
                <w:b w:val="0"/>
                <w:bCs/>
                <w:sz w:val="18"/>
                <w:szCs w:val="18"/>
              </w:rPr>
              <w:t xml:space="preserve"> to advance the financing of the sustainable development agenda</w:t>
            </w:r>
          </w:p>
          <w:p w14:paraId="76E83F38" w14:textId="77777777" w:rsidR="009B6CAE" w:rsidRPr="00F50C5E" w:rsidRDefault="009B6CAE" w:rsidP="008420F0">
            <w:pPr>
              <w:pStyle w:val="Normal-sizedTableBullets"/>
              <w:numPr>
                <w:ilvl w:val="1"/>
                <w:numId w:val="10"/>
              </w:numPr>
              <w:spacing w:before="0" w:after="60"/>
              <w:ind w:left="752" w:hanging="426"/>
              <w:rPr>
                <w:b w:val="0"/>
                <w:bCs/>
                <w:sz w:val="18"/>
                <w:szCs w:val="18"/>
              </w:rPr>
            </w:pPr>
            <w:r w:rsidRPr="00F50C5E">
              <w:rPr>
                <w:b w:val="0"/>
                <w:bCs/>
                <w:sz w:val="18"/>
                <w:szCs w:val="18"/>
              </w:rPr>
              <w:t>Meetings conducted and material shared for scheduled workshop</w:t>
            </w:r>
          </w:p>
        </w:tc>
      </w:tr>
      <w:tr w:rsidR="009B6CAE" w:rsidRPr="00041EA7" w14:paraId="0D844166"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4D7B47F4" w14:textId="402276EA" w:rsidR="009B6CAE" w:rsidRPr="00F50C5E" w:rsidRDefault="009B6CAE" w:rsidP="008420F0">
            <w:pPr>
              <w:pStyle w:val="Normal-sizedTableBullets"/>
              <w:spacing w:before="0" w:after="60"/>
              <w:rPr>
                <w:b w:val="0"/>
                <w:bCs/>
                <w:sz w:val="18"/>
                <w:szCs w:val="18"/>
              </w:rPr>
            </w:pPr>
            <w:r w:rsidRPr="00F50C5E">
              <w:rPr>
                <w:b w:val="0"/>
                <w:bCs/>
                <w:sz w:val="18"/>
                <w:szCs w:val="18"/>
              </w:rPr>
              <w:t xml:space="preserve">Joint project proposal by </w:t>
            </w:r>
            <w:r w:rsidRPr="00F50C5E">
              <w:rPr>
                <w:sz w:val="18"/>
                <w:szCs w:val="18"/>
              </w:rPr>
              <w:t>RCO Lebanon</w:t>
            </w:r>
            <w:r w:rsidRPr="00F50C5E">
              <w:rPr>
                <w:b w:val="0"/>
                <w:bCs/>
                <w:sz w:val="18"/>
                <w:szCs w:val="18"/>
              </w:rPr>
              <w:t xml:space="preserve">; </w:t>
            </w:r>
            <w:r w:rsidRPr="00F50C5E">
              <w:rPr>
                <w:sz w:val="18"/>
                <w:szCs w:val="18"/>
              </w:rPr>
              <w:t>UNCT Lebanon</w:t>
            </w:r>
            <w:r w:rsidRPr="00F50C5E">
              <w:rPr>
                <w:b w:val="0"/>
                <w:bCs/>
                <w:sz w:val="18"/>
                <w:szCs w:val="18"/>
              </w:rPr>
              <w:t>; and UNESCWA to establish an INFF</w:t>
            </w:r>
          </w:p>
        </w:tc>
      </w:tr>
      <w:tr w:rsidR="009B6CAE" w:rsidRPr="00041EA7" w14:paraId="04255A01"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48512F3E" w14:textId="77777777" w:rsidR="009B6CAE" w:rsidRPr="00F50C5E" w:rsidRDefault="009B6CAE" w:rsidP="008420F0">
            <w:pPr>
              <w:pStyle w:val="Normal-sizedTableBullets"/>
              <w:spacing w:before="0" w:after="60"/>
              <w:rPr>
                <w:b w:val="0"/>
                <w:bCs/>
                <w:sz w:val="18"/>
                <w:szCs w:val="18"/>
              </w:rPr>
            </w:pPr>
            <w:r w:rsidRPr="00F50C5E">
              <w:rPr>
                <w:b w:val="0"/>
                <w:bCs/>
                <w:sz w:val="18"/>
                <w:szCs w:val="18"/>
              </w:rPr>
              <w:t xml:space="preserve">Discussions between </w:t>
            </w:r>
            <w:r w:rsidRPr="00F50C5E">
              <w:rPr>
                <w:sz w:val="18"/>
                <w:szCs w:val="18"/>
              </w:rPr>
              <w:t>RCO Mauritania</w:t>
            </w:r>
            <w:r w:rsidRPr="00F50C5E">
              <w:rPr>
                <w:b w:val="0"/>
                <w:bCs/>
                <w:sz w:val="18"/>
                <w:szCs w:val="18"/>
              </w:rPr>
              <w:t xml:space="preserve"> and UNESCWA in 2023 to initiate the INFF process and apply UNESCWA tools to the national context</w:t>
            </w:r>
          </w:p>
          <w:p w14:paraId="6D8E38C9" w14:textId="34A42CD3" w:rsidR="009B6CAE" w:rsidRPr="00F50C5E" w:rsidRDefault="009B6CAE" w:rsidP="008420F0">
            <w:pPr>
              <w:pStyle w:val="Normal-sizedTableBullets"/>
              <w:numPr>
                <w:ilvl w:val="1"/>
                <w:numId w:val="10"/>
              </w:numPr>
              <w:spacing w:before="0" w:after="60"/>
              <w:ind w:left="742" w:hanging="425"/>
              <w:rPr>
                <w:b w:val="0"/>
                <w:bCs/>
                <w:sz w:val="18"/>
                <w:szCs w:val="18"/>
              </w:rPr>
            </w:pPr>
            <w:r w:rsidRPr="00F50C5E">
              <w:rPr>
                <w:b w:val="0"/>
                <w:bCs/>
                <w:sz w:val="18"/>
                <w:szCs w:val="18"/>
              </w:rPr>
              <w:t xml:space="preserve">Request for an INFF inception workshop from the </w:t>
            </w:r>
            <w:r w:rsidRPr="00F50C5E">
              <w:rPr>
                <w:sz w:val="18"/>
                <w:szCs w:val="18"/>
              </w:rPr>
              <w:t>Ministry of Economy and Sustainable Development, Mauritania</w:t>
            </w:r>
          </w:p>
        </w:tc>
      </w:tr>
      <w:tr w:rsidR="009B6CAE" w:rsidRPr="00041EA7" w14:paraId="742E1AA1"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080C5287" w14:textId="77777777" w:rsidR="009B6CAE" w:rsidRPr="009B6CAE" w:rsidRDefault="009B6CAE" w:rsidP="008420F0">
            <w:pPr>
              <w:pStyle w:val="Normal-sizedTableBullets"/>
              <w:spacing w:before="0" w:after="60"/>
              <w:rPr>
                <w:b w:val="0"/>
                <w:bCs/>
                <w:sz w:val="18"/>
                <w:szCs w:val="18"/>
              </w:rPr>
            </w:pPr>
            <w:r w:rsidRPr="009B6CAE">
              <w:rPr>
                <w:b w:val="0"/>
                <w:bCs/>
                <w:sz w:val="18"/>
                <w:szCs w:val="18"/>
              </w:rPr>
              <w:t>National workshop in Oman (2022)</w:t>
            </w:r>
          </w:p>
          <w:p w14:paraId="59AE827C" w14:textId="58713B8E" w:rsidR="009B6CAE" w:rsidRPr="00F50C5E" w:rsidRDefault="009B6CAE" w:rsidP="008420F0">
            <w:pPr>
              <w:pStyle w:val="Normal-sizedTableBullets"/>
              <w:numPr>
                <w:ilvl w:val="1"/>
                <w:numId w:val="10"/>
              </w:numPr>
              <w:spacing w:before="0" w:after="60"/>
              <w:ind w:left="742" w:hanging="425"/>
              <w:rPr>
                <w:b w:val="0"/>
                <w:bCs/>
                <w:sz w:val="18"/>
                <w:szCs w:val="18"/>
              </w:rPr>
            </w:pPr>
            <w:r w:rsidRPr="00F50C5E">
              <w:rPr>
                <w:b w:val="0"/>
                <w:bCs/>
                <w:sz w:val="18"/>
                <w:szCs w:val="18"/>
              </w:rPr>
              <w:t xml:space="preserve">Request from </w:t>
            </w:r>
            <w:r w:rsidRPr="00F50C5E">
              <w:rPr>
                <w:sz w:val="18"/>
                <w:szCs w:val="18"/>
              </w:rPr>
              <w:t>Ministry of Economy, Oman</w:t>
            </w:r>
            <w:r w:rsidRPr="00F50C5E">
              <w:rPr>
                <w:b w:val="0"/>
                <w:bCs/>
                <w:sz w:val="18"/>
                <w:szCs w:val="18"/>
              </w:rPr>
              <w:t xml:space="preserve"> in 2023 for a proposal to evaluate the 10</w:t>
            </w:r>
            <w:r w:rsidRPr="00F50C5E">
              <w:rPr>
                <w:b w:val="0"/>
                <w:bCs/>
                <w:sz w:val="18"/>
                <w:szCs w:val="18"/>
                <w:vertAlign w:val="superscript"/>
              </w:rPr>
              <w:t>th</w:t>
            </w:r>
            <w:r w:rsidRPr="00F50C5E">
              <w:rPr>
                <w:b w:val="0"/>
                <w:bCs/>
                <w:sz w:val="18"/>
                <w:szCs w:val="18"/>
              </w:rPr>
              <w:t xml:space="preserve"> Five-year Development Plan (2021-2025) to:</w:t>
            </w:r>
          </w:p>
          <w:p w14:paraId="19A3E7F8" w14:textId="77777777" w:rsidR="009B6CAE" w:rsidRPr="00F50C5E" w:rsidRDefault="009B6CAE" w:rsidP="008420F0">
            <w:pPr>
              <w:pStyle w:val="Normal-sizedTableBullets"/>
              <w:numPr>
                <w:ilvl w:val="2"/>
                <w:numId w:val="10"/>
              </w:numPr>
              <w:spacing w:before="0" w:after="60"/>
              <w:rPr>
                <w:b w:val="0"/>
                <w:bCs/>
                <w:sz w:val="18"/>
                <w:szCs w:val="18"/>
              </w:rPr>
            </w:pPr>
            <w:r w:rsidRPr="00F50C5E">
              <w:rPr>
                <w:b w:val="0"/>
                <w:bCs/>
                <w:sz w:val="18"/>
                <w:szCs w:val="18"/>
              </w:rPr>
              <w:t xml:space="preserve">Estimate the cost of achieving national indicators and targets; and </w:t>
            </w:r>
          </w:p>
          <w:p w14:paraId="5BC6C987" w14:textId="26F32222" w:rsidR="009B6CAE" w:rsidRPr="009B6CAE" w:rsidRDefault="009B6CAE" w:rsidP="008420F0">
            <w:pPr>
              <w:pStyle w:val="Normal-sizedTableBullets"/>
              <w:numPr>
                <w:ilvl w:val="2"/>
                <w:numId w:val="10"/>
              </w:numPr>
              <w:spacing w:before="0" w:after="60"/>
              <w:rPr>
                <w:b w:val="0"/>
                <w:bCs/>
                <w:sz w:val="18"/>
                <w:szCs w:val="18"/>
              </w:rPr>
            </w:pPr>
            <w:r w:rsidRPr="00F50C5E">
              <w:rPr>
                <w:b w:val="0"/>
                <w:bCs/>
                <w:sz w:val="18"/>
                <w:szCs w:val="18"/>
              </w:rPr>
              <w:t>Develop a framework for an INFF to inform the 11</w:t>
            </w:r>
            <w:r w:rsidRPr="00F50C5E">
              <w:rPr>
                <w:b w:val="0"/>
                <w:bCs/>
                <w:sz w:val="18"/>
                <w:szCs w:val="18"/>
                <w:vertAlign w:val="superscript"/>
              </w:rPr>
              <w:t>th</w:t>
            </w:r>
            <w:r w:rsidRPr="00F50C5E">
              <w:rPr>
                <w:b w:val="0"/>
                <w:bCs/>
                <w:sz w:val="18"/>
                <w:szCs w:val="18"/>
              </w:rPr>
              <w:t xml:space="preserve"> Five-year Development Plan (2026-2030) in alignment with Oman Vision 2040</w:t>
            </w:r>
          </w:p>
        </w:tc>
      </w:tr>
      <w:tr w:rsidR="009B6CAE" w:rsidRPr="00041EA7" w14:paraId="14A6804C"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2D8D6F0B" w14:textId="77777777" w:rsidR="009B6CAE" w:rsidRPr="009B6CAE" w:rsidRDefault="009B6CAE" w:rsidP="008420F0">
            <w:pPr>
              <w:pStyle w:val="Normal-sizedTableBullets"/>
              <w:spacing w:before="0" w:after="60"/>
              <w:rPr>
                <w:b w:val="0"/>
                <w:bCs/>
                <w:sz w:val="18"/>
                <w:szCs w:val="18"/>
              </w:rPr>
            </w:pPr>
            <w:r w:rsidRPr="009B6CAE">
              <w:rPr>
                <w:b w:val="0"/>
                <w:bCs/>
                <w:sz w:val="18"/>
                <w:szCs w:val="18"/>
              </w:rPr>
              <w:t>National workshop in Oman (2024) to present and validate the findings of the FfD tools with national stakeholders</w:t>
            </w:r>
          </w:p>
          <w:p w14:paraId="25E9C7E6" w14:textId="618A511D" w:rsidR="009B6CAE" w:rsidRPr="009B6CAE" w:rsidRDefault="009B6CAE" w:rsidP="008420F0">
            <w:pPr>
              <w:pStyle w:val="Normal-sizedTableBullets"/>
              <w:numPr>
                <w:ilvl w:val="1"/>
                <w:numId w:val="10"/>
              </w:numPr>
              <w:spacing w:before="0" w:after="60"/>
              <w:ind w:left="742" w:hanging="425"/>
              <w:rPr>
                <w:b w:val="0"/>
                <w:bCs/>
                <w:sz w:val="18"/>
                <w:szCs w:val="18"/>
              </w:rPr>
            </w:pPr>
            <w:r w:rsidRPr="00F50C5E">
              <w:rPr>
                <w:b w:val="0"/>
                <w:bCs/>
                <w:sz w:val="18"/>
                <w:szCs w:val="18"/>
              </w:rPr>
              <w:t xml:space="preserve">Request from </w:t>
            </w:r>
            <w:r w:rsidRPr="00F50C5E">
              <w:rPr>
                <w:sz w:val="18"/>
                <w:szCs w:val="18"/>
              </w:rPr>
              <w:t>Ministry of Finance, Oman</w:t>
            </w:r>
            <w:r w:rsidRPr="00F50C5E">
              <w:rPr>
                <w:b w:val="0"/>
                <w:bCs/>
                <w:sz w:val="18"/>
                <w:szCs w:val="18"/>
              </w:rPr>
              <w:t xml:space="preserve"> to assess the impact of economic and social policies</w:t>
            </w:r>
            <w:r w:rsidRPr="009B6CAE">
              <w:rPr>
                <w:rStyle w:val="FootnoteReference"/>
                <w:b w:val="0"/>
                <w:bCs/>
                <w:sz w:val="18"/>
                <w:szCs w:val="18"/>
              </w:rPr>
              <w:footnoteReference w:id="216"/>
            </w:r>
            <w:r w:rsidRPr="009B6CAE">
              <w:rPr>
                <w:b w:val="0"/>
                <w:bCs/>
                <w:sz w:val="18"/>
                <w:szCs w:val="18"/>
              </w:rPr>
              <w:t xml:space="preserve"> and share a results report with stakeholders of the ministry</w:t>
            </w:r>
          </w:p>
        </w:tc>
      </w:tr>
      <w:tr w:rsidR="009B6CAE" w:rsidRPr="00041EA7" w14:paraId="3A4EE898"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3612B589" w14:textId="77777777" w:rsidR="009B6CAE" w:rsidRPr="009B6CAE" w:rsidRDefault="009B6CAE" w:rsidP="008420F0">
            <w:pPr>
              <w:pStyle w:val="Normal-sizedTableBullets"/>
              <w:spacing w:before="0" w:after="60"/>
              <w:rPr>
                <w:b w:val="0"/>
                <w:bCs/>
                <w:sz w:val="18"/>
                <w:szCs w:val="18"/>
              </w:rPr>
            </w:pPr>
            <w:r w:rsidRPr="009B6CAE">
              <w:rPr>
                <w:b w:val="0"/>
                <w:bCs/>
                <w:sz w:val="18"/>
                <w:szCs w:val="18"/>
              </w:rPr>
              <w:t xml:space="preserve">Collaboration with </w:t>
            </w:r>
            <w:r w:rsidRPr="009B6CAE">
              <w:rPr>
                <w:sz w:val="18"/>
                <w:szCs w:val="18"/>
              </w:rPr>
              <w:t>RCO in the Kingdom of Saudi Arabia</w:t>
            </w:r>
            <w:r w:rsidRPr="009B6CAE">
              <w:rPr>
                <w:b w:val="0"/>
                <w:bCs/>
                <w:sz w:val="18"/>
                <w:szCs w:val="18"/>
              </w:rPr>
              <w:t xml:space="preserve"> to assess the applicability of INFF tools</w:t>
            </w:r>
          </w:p>
          <w:p w14:paraId="06CB24C9" w14:textId="77777777" w:rsidR="009B6CAE" w:rsidRPr="009B6CAE" w:rsidRDefault="009B6CAE" w:rsidP="008420F0">
            <w:pPr>
              <w:pStyle w:val="Normal-sizedTableBullets"/>
              <w:numPr>
                <w:ilvl w:val="1"/>
                <w:numId w:val="10"/>
              </w:numPr>
              <w:spacing w:before="0" w:after="60"/>
              <w:ind w:left="743" w:hanging="425"/>
              <w:rPr>
                <w:b w:val="0"/>
                <w:bCs/>
                <w:sz w:val="18"/>
                <w:szCs w:val="18"/>
              </w:rPr>
            </w:pPr>
            <w:r w:rsidRPr="009B6CAE">
              <w:rPr>
                <w:b w:val="0"/>
                <w:bCs/>
                <w:sz w:val="18"/>
                <w:szCs w:val="18"/>
              </w:rPr>
              <w:t>Webinar facilitated by UNESCWA in January 2025 to present INFF costing; financing and budgeting tools for accelerated SDG financing and the advancement of Saudi Vision 2030</w:t>
            </w:r>
          </w:p>
        </w:tc>
      </w:tr>
      <w:tr w:rsidR="009B6CAE" w:rsidRPr="00041EA7" w14:paraId="40FD579A" w14:textId="77777777" w:rsidTr="009B6CAE">
        <w:trPr>
          <w:jc w:val="center"/>
        </w:trPr>
        <w:tc>
          <w:tcPr>
            <w:cnfStyle w:val="001000000000" w:firstRow="0" w:lastRow="0" w:firstColumn="1" w:lastColumn="0" w:oddVBand="0" w:evenVBand="0" w:oddHBand="0" w:evenHBand="0" w:firstRowFirstColumn="0" w:firstRowLastColumn="0" w:lastRowFirstColumn="0" w:lastRowLastColumn="0"/>
            <w:tcW w:w="9696" w:type="dxa"/>
          </w:tcPr>
          <w:p w14:paraId="68D0B9C2" w14:textId="77777777" w:rsidR="009B6CAE" w:rsidRPr="009B6CAE" w:rsidRDefault="009B6CAE" w:rsidP="008420F0">
            <w:pPr>
              <w:pStyle w:val="Normal-sizedTableBullets"/>
              <w:spacing w:before="0" w:after="60"/>
              <w:rPr>
                <w:b w:val="0"/>
                <w:bCs/>
                <w:sz w:val="18"/>
                <w:szCs w:val="18"/>
              </w:rPr>
            </w:pPr>
            <w:r w:rsidRPr="009B6CAE">
              <w:rPr>
                <w:b w:val="0"/>
                <w:bCs/>
                <w:sz w:val="18"/>
                <w:szCs w:val="18"/>
              </w:rPr>
              <w:t xml:space="preserve">Request from </w:t>
            </w:r>
            <w:r w:rsidRPr="009B6CAE">
              <w:rPr>
                <w:sz w:val="18"/>
                <w:szCs w:val="18"/>
              </w:rPr>
              <w:t>Tunisia</w:t>
            </w:r>
            <w:r w:rsidRPr="009B6CAE">
              <w:rPr>
                <w:b w:val="0"/>
                <w:bCs/>
                <w:sz w:val="18"/>
                <w:szCs w:val="18"/>
              </w:rPr>
              <w:t xml:space="preserve"> to conduct a virtual workshop in February 2025 to:</w:t>
            </w:r>
          </w:p>
          <w:p w14:paraId="2A73321A" w14:textId="77777777" w:rsidR="009B6CAE" w:rsidRPr="009B6CAE" w:rsidRDefault="009B6CAE" w:rsidP="008420F0">
            <w:pPr>
              <w:pStyle w:val="Normal-sizedTableBullets"/>
              <w:numPr>
                <w:ilvl w:val="1"/>
                <w:numId w:val="10"/>
              </w:numPr>
              <w:spacing w:before="0" w:after="60"/>
              <w:ind w:left="743" w:hanging="283"/>
              <w:rPr>
                <w:b w:val="0"/>
                <w:bCs/>
                <w:sz w:val="18"/>
                <w:szCs w:val="18"/>
              </w:rPr>
            </w:pPr>
            <w:r w:rsidRPr="009B6CAE">
              <w:rPr>
                <w:b w:val="0"/>
                <w:bCs/>
                <w:sz w:val="18"/>
                <w:szCs w:val="18"/>
              </w:rPr>
              <w:t>Discuss the operability of INFF tools within the national context</w:t>
            </w:r>
          </w:p>
          <w:p w14:paraId="2055D522" w14:textId="1256AE70" w:rsidR="009B6CAE" w:rsidRPr="009B6CAE" w:rsidRDefault="009B6CAE" w:rsidP="008420F0">
            <w:pPr>
              <w:pStyle w:val="Normal-sizedTableBullets"/>
              <w:numPr>
                <w:ilvl w:val="1"/>
                <w:numId w:val="10"/>
              </w:numPr>
              <w:spacing w:before="0" w:after="60"/>
              <w:ind w:left="743" w:hanging="283"/>
              <w:rPr>
                <w:b w:val="0"/>
                <w:bCs/>
                <w:sz w:val="18"/>
                <w:szCs w:val="18"/>
              </w:rPr>
            </w:pPr>
            <w:r w:rsidRPr="009B6CAE">
              <w:rPr>
                <w:b w:val="0"/>
                <w:bCs/>
                <w:sz w:val="18"/>
                <w:szCs w:val="18"/>
              </w:rPr>
              <w:t>Develop the Budgeting Network Heatmap; Compass; and iBIT</w:t>
            </w:r>
          </w:p>
          <w:p w14:paraId="17DE29FC" w14:textId="77777777" w:rsidR="009B6CAE" w:rsidRPr="009B6CAE" w:rsidRDefault="009B6CAE" w:rsidP="008420F0">
            <w:pPr>
              <w:pStyle w:val="Normal-sizedTableBullets"/>
              <w:numPr>
                <w:ilvl w:val="1"/>
                <w:numId w:val="10"/>
              </w:numPr>
              <w:spacing w:before="0" w:after="60"/>
              <w:ind w:left="743" w:hanging="283"/>
              <w:rPr>
                <w:b w:val="0"/>
                <w:bCs/>
                <w:sz w:val="18"/>
                <w:szCs w:val="18"/>
              </w:rPr>
            </w:pPr>
            <w:r w:rsidRPr="009B6CAE">
              <w:rPr>
                <w:b w:val="0"/>
                <w:bCs/>
                <w:sz w:val="18"/>
                <w:szCs w:val="18"/>
              </w:rPr>
              <w:t>Facilitate a national workshop to validate the findings with stakeholders</w:t>
            </w:r>
          </w:p>
        </w:tc>
      </w:tr>
    </w:tbl>
    <w:p w14:paraId="6C5F0B7A" w14:textId="52B93DE0" w:rsidR="00F85D00" w:rsidRDefault="009B6CAE" w:rsidP="009B6CAE">
      <w:pPr>
        <w:pStyle w:val="BodyText"/>
        <w:jc w:val="right"/>
        <w:rPr>
          <w:rFonts w:cs="Arial"/>
          <w:bCs/>
          <w:szCs w:val="20"/>
        </w:rPr>
      </w:pPr>
      <w:r>
        <w:rPr>
          <w:rFonts w:cs="Arial"/>
          <w:bCs/>
          <w:szCs w:val="20"/>
        </w:rPr>
        <w:t>Source: Final project report, March 2025</w:t>
      </w:r>
    </w:p>
    <w:p w14:paraId="5824FD9B" w14:textId="77777777" w:rsidR="00F85D00" w:rsidRDefault="00F85D00" w:rsidP="001447ED">
      <w:pPr>
        <w:pStyle w:val="BodyText"/>
        <w:rPr>
          <w:rFonts w:cs="Arial"/>
          <w:bCs/>
          <w:szCs w:val="20"/>
        </w:rPr>
      </w:pPr>
    </w:p>
    <w:p w14:paraId="32EF63CF" w14:textId="77777777" w:rsidR="00F85D00" w:rsidRDefault="00F85D00" w:rsidP="001447ED">
      <w:pPr>
        <w:pStyle w:val="BodyText"/>
        <w:rPr>
          <w:rFonts w:cs="Arial"/>
          <w:bCs/>
          <w:szCs w:val="20"/>
        </w:rPr>
      </w:pPr>
    </w:p>
    <w:p w14:paraId="44059B6C" w14:textId="77777777" w:rsidR="00630B3B" w:rsidRDefault="00630B3B" w:rsidP="001447ED">
      <w:pPr>
        <w:pStyle w:val="BodyText"/>
        <w:rPr>
          <w:rFonts w:cs="Arial"/>
          <w:bCs/>
          <w:szCs w:val="20"/>
        </w:rPr>
        <w:sectPr w:rsidR="00630B3B" w:rsidSect="004C6201">
          <w:type w:val="continuous"/>
          <w:pgSz w:w="12240" w:h="15840" w:code="1"/>
          <w:pgMar w:top="1276" w:right="1276" w:bottom="2410" w:left="1276" w:header="720" w:footer="720" w:gutter="0"/>
          <w:cols w:space="397"/>
          <w:docGrid w:linePitch="360"/>
        </w:sectPr>
      </w:pPr>
    </w:p>
    <w:p w14:paraId="17539CF1" w14:textId="77777777" w:rsidR="008323D5" w:rsidRDefault="008323D5" w:rsidP="008323D5">
      <w:pPr>
        <w:pStyle w:val="BodyText"/>
        <w:rPr>
          <w:szCs w:val="20"/>
        </w:rPr>
      </w:pPr>
      <w:r>
        <w:rPr>
          <w:rFonts w:cs="Arial"/>
          <w:bCs/>
          <w:szCs w:val="20"/>
        </w:rPr>
        <w:lastRenderedPageBreak/>
        <w:t xml:space="preserve">At the level of UNECE and UNCTAD, the impact of a jointly facilitated regional workshop was </w:t>
      </w:r>
      <w:r w:rsidRPr="00B039DE">
        <w:rPr>
          <w:rFonts w:cs="Arial"/>
          <w:bCs/>
          <w:szCs w:val="20"/>
        </w:rPr>
        <w:t>the emergence of new opportunities for regional interface</w:t>
      </w:r>
      <w:r>
        <w:rPr>
          <w:rFonts w:cs="Arial"/>
          <w:bCs/>
          <w:szCs w:val="20"/>
        </w:rPr>
        <w:t xml:space="preserve"> on the applicability of key INFF tools. In March 2024, UNECE and UNCTAD conducted a workshop on practical tools for the mobilisation of private finance for sustainable development </w:t>
      </w:r>
      <w:r>
        <w:rPr>
          <w:szCs w:val="20"/>
        </w:rPr>
        <w:t xml:space="preserve">at the country level. </w:t>
      </w:r>
      <w:hyperlink r:id="rId75" w:history="1">
        <w:r w:rsidRPr="00E9603E">
          <w:rPr>
            <w:rStyle w:val="Hyperlink"/>
            <w:rFonts w:cs="Arial"/>
            <w:szCs w:val="20"/>
          </w:rPr>
          <w:t>Towards INFFs: Implementing sustainability focused normative tools in Eastern Europe, Western Balkans, the Caucasus, and Central Asia</w:t>
        </w:r>
      </w:hyperlink>
      <w:r>
        <w:t xml:space="preserve">) </w:t>
      </w:r>
      <w:r>
        <w:rPr>
          <w:szCs w:val="20"/>
        </w:rPr>
        <w:t>was delivered in hybrid format</w:t>
      </w:r>
      <w:r>
        <w:rPr>
          <w:rStyle w:val="FootnoteReference"/>
          <w:szCs w:val="20"/>
        </w:rPr>
        <w:footnoteReference w:id="217"/>
      </w:r>
      <w:r>
        <w:rPr>
          <w:szCs w:val="20"/>
        </w:rPr>
        <w:t xml:space="preserve"> and engaged 11 non-project countries, as well as the two target countries for the region (i.e. Belarus and Kyrgyzstan). The aim of the workshop was to enhance the understanding of government officials on how the tools could be used to facilitate INFFs and the SDGs.</w:t>
      </w:r>
      <w:r>
        <w:rPr>
          <w:rStyle w:val="FootnoteReference"/>
          <w:szCs w:val="20"/>
        </w:rPr>
        <w:footnoteReference w:id="218"/>
      </w:r>
      <w:r>
        <w:rPr>
          <w:szCs w:val="20"/>
        </w:rPr>
        <w:t xml:space="preserve"> There was a specific focus on the UNECE PIERS methodology, including the PIERS digital platform.</w:t>
      </w:r>
    </w:p>
    <w:p w14:paraId="17060F47" w14:textId="77777777" w:rsidR="007515E5" w:rsidRDefault="00A3709F" w:rsidP="001447ED">
      <w:pPr>
        <w:pStyle w:val="BodyText"/>
        <w:rPr>
          <w:szCs w:val="20"/>
        </w:rPr>
      </w:pPr>
      <w:r>
        <w:rPr>
          <w:szCs w:val="20"/>
        </w:rPr>
        <w:t>As the introduction to the PIERS methodology supported country-level compliance with international standards</w:t>
      </w:r>
      <w:r w:rsidR="001A7AEB">
        <w:rPr>
          <w:szCs w:val="20"/>
        </w:rPr>
        <w:t>,</w:t>
      </w:r>
      <w:r w:rsidR="001A7AEB">
        <w:rPr>
          <w:rStyle w:val="FootnoteReference"/>
          <w:szCs w:val="20"/>
        </w:rPr>
        <w:footnoteReference w:id="219"/>
      </w:r>
      <w:r w:rsidR="003632EA">
        <w:rPr>
          <w:szCs w:val="20"/>
        </w:rPr>
        <w:t xml:space="preserve"> </w:t>
      </w:r>
      <w:r w:rsidR="001A7AEB">
        <w:rPr>
          <w:szCs w:val="20"/>
        </w:rPr>
        <w:t xml:space="preserve">the launch of the </w:t>
      </w:r>
      <w:hyperlink r:id="rId76" w:history="1">
        <w:r w:rsidR="00DB231B" w:rsidRPr="00A3709F">
          <w:rPr>
            <w:rStyle w:val="Hyperlink"/>
            <w:szCs w:val="20"/>
          </w:rPr>
          <w:t>Eurasian Regional Partnership on Sustainability and SDG Reporting</w:t>
        </w:r>
      </w:hyperlink>
      <w:r w:rsidR="00DB231B">
        <w:rPr>
          <w:szCs w:val="20"/>
        </w:rPr>
        <w:t xml:space="preserve"> </w:t>
      </w:r>
      <w:r>
        <w:rPr>
          <w:szCs w:val="20"/>
        </w:rPr>
        <w:t>at the regional workshop</w:t>
      </w:r>
      <w:r w:rsidR="00F50C5E">
        <w:rPr>
          <w:szCs w:val="20"/>
        </w:rPr>
        <w:t xml:space="preserve"> was </w:t>
      </w:r>
      <w:r w:rsidR="001A7AEB">
        <w:rPr>
          <w:szCs w:val="20"/>
        </w:rPr>
        <w:t xml:space="preserve">an </w:t>
      </w:r>
      <w:r w:rsidR="00DB231B">
        <w:rPr>
          <w:szCs w:val="20"/>
        </w:rPr>
        <w:t>unanticipated</w:t>
      </w:r>
      <w:r w:rsidR="00F50C5E">
        <w:rPr>
          <w:szCs w:val="20"/>
        </w:rPr>
        <w:t xml:space="preserve"> but pertinent impact </w:t>
      </w:r>
      <w:r w:rsidR="00DB231B">
        <w:rPr>
          <w:szCs w:val="20"/>
        </w:rPr>
        <w:t xml:space="preserve">of </w:t>
      </w:r>
      <w:r w:rsidR="00F50C5E">
        <w:rPr>
          <w:szCs w:val="20"/>
        </w:rPr>
        <w:t>the regional workshop</w:t>
      </w:r>
      <w:r w:rsidR="001A7AEB">
        <w:rPr>
          <w:szCs w:val="20"/>
        </w:rPr>
        <w:t xml:space="preserve">. The </w:t>
      </w:r>
      <w:r w:rsidR="00EB4EDB">
        <w:rPr>
          <w:szCs w:val="20"/>
        </w:rPr>
        <w:t xml:space="preserve">Eurasian Regional </w:t>
      </w:r>
      <w:r w:rsidR="001A7AEB">
        <w:rPr>
          <w:szCs w:val="20"/>
        </w:rPr>
        <w:t>Partnership</w:t>
      </w:r>
      <w:r w:rsidR="00EB4EDB">
        <w:rPr>
          <w:szCs w:val="20"/>
        </w:rPr>
        <w:t xml:space="preserve"> (ERP)</w:t>
      </w:r>
      <w:r w:rsidR="001A7AEB">
        <w:rPr>
          <w:szCs w:val="20"/>
        </w:rPr>
        <w:t xml:space="preserve"> </w:t>
      </w:r>
      <w:r w:rsidR="007515E5">
        <w:rPr>
          <w:szCs w:val="20"/>
        </w:rPr>
        <w:t>was informed by the</w:t>
      </w:r>
      <w:r w:rsidR="00EB4EDB">
        <w:rPr>
          <w:szCs w:val="20"/>
        </w:rPr>
        <w:t xml:space="preserve"> 2023 </w:t>
      </w:r>
      <w:hyperlink r:id="rId77" w:history="1">
        <w:r w:rsidR="00EB4EDB" w:rsidRPr="00EB4EDB">
          <w:rPr>
            <w:rStyle w:val="Hyperlink"/>
            <w:szCs w:val="20"/>
            <w:lang w:val="en-GB"/>
          </w:rPr>
          <w:t>Report of the Intergovernmental Working Group of Experts on International Standards of Accounting and Reporting</w:t>
        </w:r>
      </w:hyperlink>
      <w:r w:rsidR="00EB4EDB">
        <w:rPr>
          <w:szCs w:val="20"/>
          <w:lang w:val="en-GB"/>
        </w:rPr>
        <w:t xml:space="preserve"> (ISAR), which advocates UNCTAD-ISAR regional partnerships. Within the context of the INFF project, ERP</w:t>
      </w:r>
      <w:r w:rsidR="00DB231B">
        <w:rPr>
          <w:szCs w:val="20"/>
        </w:rPr>
        <w:t xml:space="preserve"> was </w:t>
      </w:r>
      <w:r w:rsidR="00EB4EDB">
        <w:rPr>
          <w:szCs w:val="20"/>
        </w:rPr>
        <w:t xml:space="preserve">established </w:t>
      </w:r>
      <w:r w:rsidR="00DB231B">
        <w:rPr>
          <w:szCs w:val="20"/>
        </w:rPr>
        <w:t>to strengthen national reporting infrastructure and enhance the quality; comparability; and reliability of</w:t>
      </w:r>
      <w:r w:rsidR="00EB4EDB">
        <w:rPr>
          <w:szCs w:val="20"/>
        </w:rPr>
        <w:t xml:space="preserve"> reports on environmental; social; and governance issues. ERP has </w:t>
      </w:r>
      <w:r w:rsidR="007515E5">
        <w:rPr>
          <w:szCs w:val="20"/>
        </w:rPr>
        <w:t>also</w:t>
      </w:r>
      <w:r w:rsidR="00684711">
        <w:rPr>
          <w:szCs w:val="20"/>
        </w:rPr>
        <w:t xml:space="preserve"> </w:t>
      </w:r>
      <w:r w:rsidR="00C025F3">
        <w:rPr>
          <w:szCs w:val="20"/>
        </w:rPr>
        <w:t>allowed for the sharing of best practices and lessons learned</w:t>
      </w:r>
      <w:r w:rsidR="00114541">
        <w:rPr>
          <w:szCs w:val="20"/>
        </w:rPr>
        <w:t xml:space="preserve">. </w:t>
      </w:r>
    </w:p>
    <w:p w14:paraId="54D71B72" w14:textId="285F17ED" w:rsidR="00266588" w:rsidRDefault="007515E5" w:rsidP="007515E5">
      <w:pPr>
        <w:pStyle w:val="BodyText"/>
        <w:rPr>
          <w:szCs w:val="20"/>
        </w:rPr>
      </w:pPr>
      <w:r>
        <w:rPr>
          <w:szCs w:val="20"/>
        </w:rPr>
        <w:t xml:space="preserve">As a further reflection of project impact, </w:t>
      </w:r>
      <w:r w:rsidR="00114541">
        <w:rPr>
          <w:szCs w:val="20"/>
        </w:rPr>
        <w:t xml:space="preserve">UNECE/ UNCTAD </w:t>
      </w:r>
      <w:r w:rsidR="007B7215">
        <w:rPr>
          <w:szCs w:val="20"/>
        </w:rPr>
        <w:t>conducted</w:t>
      </w:r>
      <w:r w:rsidR="00114541">
        <w:rPr>
          <w:szCs w:val="20"/>
        </w:rPr>
        <w:t xml:space="preserve"> two follow-up regional </w:t>
      </w:r>
      <w:r w:rsidR="00AA4BD5">
        <w:rPr>
          <w:szCs w:val="20"/>
        </w:rPr>
        <w:t>event</w:t>
      </w:r>
      <w:r w:rsidR="00114541">
        <w:rPr>
          <w:szCs w:val="20"/>
        </w:rPr>
        <w:t xml:space="preserve">s to build on the launch of </w:t>
      </w:r>
      <w:r w:rsidR="00684711">
        <w:rPr>
          <w:szCs w:val="20"/>
        </w:rPr>
        <w:t>ERP</w:t>
      </w:r>
      <w:r w:rsidR="006801F2">
        <w:rPr>
          <w:szCs w:val="20"/>
        </w:rPr>
        <w:t>. The</w:t>
      </w:r>
      <w:r w:rsidR="005C36FA">
        <w:rPr>
          <w:szCs w:val="20"/>
        </w:rPr>
        <w:t xml:space="preserve"> events were used to </w:t>
      </w:r>
      <w:r w:rsidR="00684711">
        <w:rPr>
          <w:szCs w:val="20"/>
        </w:rPr>
        <w:t xml:space="preserve">facilitate </w:t>
      </w:r>
      <w:r w:rsidR="005C36FA">
        <w:rPr>
          <w:szCs w:val="20"/>
        </w:rPr>
        <w:t xml:space="preserve">further </w:t>
      </w:r>
      <w:r w:rsidR="00684711">
        <w:rPr>
          <w:szCs w:val="20"/>
        </w:rPr>
        <w:t>discussions on</w:t>
      </w:r>
      <w:r w:rsidR="00114541">
        <w:rPr>
          <w:szCs w:val="20"/>
        </w:rPr>
        <w:t xml:space="preserve"> the contextual applicability of the INFF tools</w:t>
      </w:r>
      <w:r w:rsidR="005C36FA">
        <w:rPr>
          <w:szCs w:val="20"/>
        </w:rPr>
        <w:t xml:space="preserve">, in the interest of </w:t>
      </w:r>
      <w:r w:rsidR="00684711">
        <w:rPr>
          <w:szCs w:val="20"/>
        </w:rPr>
        <w:t>country-specific application</w:t>
      </w:r>
      <w:r w:rsidR="00114541">
        <w:rPr>
          <w:szCs w:val="20"/>
        </w:rPr>
        <w:t xml:space="preserve">. </w:t>
      </w:r>
      <w:r w:rsidR="009A6220">
        <w:rPr>
          <w:szCs w:val="20"/>
        </w:rPr>
        <w:t>In October 2024, UN</w:t>
      </w:r>
      <w:r w:rsidR="00D21428">
        <w:rPr>
          <w:szCs w:val="20"/>
        </w:rPr>
        <w:t>CTAD</w:t>
      </w:r>
      <w:r w:rsidR="009A6220">
        <w:rPr>
          <w:szCs w:val="20"/>
        </w:rPr>
        <w:t xml:space="preserve"> </w:t>
      </w:r>
      <w:r w:rsidR="00D21428">
        <w:rPr>
          <w:szCs w:val="20"/>
        </w:rPr>
        <w:t>f</w:t>
      </w:r>
      <w:r w:rsidR="00AA4BD5">
        <w:rPr>
          <w:szCs w:val="20"/>
        </w:rPr>
        <w:t xml:space="preserve">acilitated a regional meeting of </w:t>
      </w:r>
      <w:r w:rsidR="00772B55">
        <w:rPr>
          <w:szCs w:val="20"/>
        </w:rPr>
        <w:t>ERP</w:t>
      </w:r>
      <w:r w:rsidR="00AA4BD5">
        <w:rPr>
          <w:szCs w:val="20"/>
        </w:rPr>
        <w:t>, in hybrid format</w:t>
      </w:r>
      <w:r>
        <w:rPr>
          <w:szCs w:val="20"/>
        </w:rPr>
        <w:t xml:space="preserve">. The meeting engaged </w:t>
      </w:r>
      <w:r w:rsidR="00AA4BD5">
        <w:rPr>
          <w:szCs w:val="20"/>
        </w:rPr>
        <w:t>over 70 stakeholder</w:t>
      </w:r>
      <w:r>
        <w:rPr>
          <w:szCs w:val="20"/>
        </w:rPr>
        <w:t>s</w:t>
      </w:r>
      <w:r w:rsidR="00AA4BD5">
        <w:rPr>
          <w:szCs w:val="20"/>
        </w:rPr>
        <w:t xml:space="preserve"> from national institutions; public sector ministries; professional associations; banks; and international organisations.</w:t>
      </w:r>
      <w:r w:rsidR="00970E93">
        <w:rPr>
          <w:rStyle w:val="FootnoteReference"/>
          <w:szCs w:val="20"/>
        </w:rPr>
        <w:footnoteReference w:id="220"/>
      </w:r>
      <w:r w:rsidR="00AA4BD5">
        <w:rPr>
          <w:szCs w:val="20"/>
        </w:rPr>
        <w:t xml:space="preserve"> </w:t>
      </w:r>
      <w:r w:rsidR="00970E93">
        <w:rPr>
          <w:szCs w:val="20"/>
        </w:rPr>
        <w:t xml:space="preserve">The countries that were represented at the meeting included: Azerbaijan; Kazakhstan; Russia; Turkmenistan; Uzbekistan, as well as Belarus and Kyrgyzstan. </w:t>
      </w:r>
      <w:r>
        <w:rPr>
          <w:szCs w:val="20"/>
        </w:rPr>
        <w:t>A</w:t>
      </w:r>
      <w:r w:rsidR="005246E8">
        <w:rPr>
          <w:szCs w:val="20"/>
        </w:rPr>
        <w:t>s</w:t>
      </w:r>
      <w:r w:rsidR="00970E93">
        <w:rPr>
          <w:szCs w:val="20"/>
        </w:rPr>
        <w:t xml:space="preserve"> a core element of the agenda</w:t>
      </w:r>
      <w:r>
        <w:rPr>
          <w:szCs w:val="20"/>
        </w:rPr>
        <w:t>,</w:t>
      </w:r>
      <w:r w:rsidR="00970E93">
        <w:rPr>
          <w:szCs w:val="20"/>
        </w:rPr>
        <w:t xml:space="preserve"> </w:t>
      </w:r>
      <w:r>
        <w:rPr>
          <w:szCs w:val="20"/>
        </w:rPr>
        <w:t xml:space="preserve">the meeting </w:t>
      </w:r>
      <w:r w:rsidR="00C90EC1">
        <w:rPr>
          <w:szCs w:val="20"/>
        </w:rPr>
        <w:t xml:space="preserve">supported experience-sharing </w:t>
      </w:r>
      <w:r w:rsidR="005246E8">
        <w:rPr>
          <w:szCs w:val="20"/>
        </w:rPr>
        <w:t>on ADT assessments</w:t>
      </w:r>
      <w:r w:rsidR="00772B55">
        <w:rPr>
          <w:szCs w:val="20"/>
        </w:rPr>
        <w:t xml:space="preserve"> and participants gained access to key updates on global reporting requirements from international associations (e.g. the International Sustainability Standards Board; the International Federation of Accountants; the International Auditing and Assurance Standards Board; the International Ethics Standards Board for Accountants; and the International Public Sector Accounting Standards Board).</w:t>
      </w:r>
      <w:r w:rsidR="00772B55" w:rsidRPr="00772B55">
        <w:rPr>
          <w:szCs w:val="20"/>
        </w:rPr>
        <w:t xml:space="preserve"> </w:t>
      </w:r>
      <w:r w:rsidR="00772B55">
        <w:rPr>
          <w:szCs w:val="20"/>
        </w:rPr>
        <w:t xml:space="preserve">The meeting was also used to address governance and administrative matters </w:t>
      </w:r>
      <w:r w:rsidR="008F5E33">
        <w:rPr>
          <w:szCs w:val="20"/>
        </w:rPr>
        <w:t xml:space="preserve">in relation </w:t>
      </w:r>
      <w:r w:rsidR="00772B55">
        <w:rPr>
          <w:szCs w:val="20"/>
        </w:rPr>
        <w:t xml:space="preserve">to the establishment of ERP. </w:t>
      </w:r>
      <w:r>
        <w:rPr>
          <w:szCs w:val="20"/>
        </w:rPr>
        <w:t>Representatives from t</w:t>
      </w:r>
      <w:r w:rsidR="0059264E">
        <w:rPr>
          <w:szCs w:val="20"/>
        </w:rPr>
        <w:t xml:space="preserve">he participating </w:t>
      </w:r>
      <w:r>
        <w:rPr>
          <w:szCs w:val="20"/>
        </w:rPr>
        <w:t>countries</w:t>
      </w:r>
      <w:r w:rsidR="0059264E">
        <w:rPr>
          <w:szCs w:val="20"/>
        </w:rPr>
        <w:t xml:space="preserve"> </w:t>
      </w:r>
      <w:r w:rsidR="00E11720">
        <w:rPr>
          <w:szCs w:val="20"/>
        </w:rPr>
        <w:t xml:space="preserve">expressed an interest in </w:t>
      </w:r>
      <w:r w:rsidR="003D6821">
        <w:rPr>
          <w:szCs w:val="20"/>
        </w:rPr>
        <w:t xml:space="preserve">additional opportunities for </w:t>
      </w:r>
      <w:r w:rsidR="0059264E">
        <w:rPr>
          <w:szCs w:val="20"/>
        </w:rPr>
        <w:t xml:space="preserve">the </w:t>
      </w:r>
      <w:r w:rsidR="00967D37">
        <w:rPr>
          <w:szCs w:val="20"/>
        </w:rPr>
        <w:t>exchang</w:t>
      </w:r>
      <w:r w:rsidR="003D6821">
        <w:rPr>
          <w:szCs w:val="20"/>
        </w:rPr>
        <w:t>ing</w:t>
      </w:r>
      <w:r w:rsidR="00967D37">
        <w:rPr>
          <w:szCs w:val="20"/>
        </w:rPr>
        <w:t xml:space="preserve"> of </w:t>
      </w:r>
      <w:r w:rsidR="0059264E">
        <w:rPr>
          <w:szCs w:val="20"/>
        </w:rPr>
        <w:t>best practices; stronger regulations on corporate reporting; and infrastructure for sustainability disclosure.</w:t>
      </w:r>
      <w:r w:rsidR="0059264E">
        <w:rPr>
          <w:rStyle w:val="FootnoteReference"/>
          <w:szCs w:val="20"/>
        </w:rPr>
        <w:footnoteReference w:id="221"/>
      </w:r>
      <w:r w:rsidR="0059264E">
        <w:rPr>
          <w:szCs w:val="20"/>
        </w:rPr>
        <w:t xml:space="preserve"> </w:t>
      </w:r>
    </w:p>
    <w:p w14:paraId="778E51EB" w14:textId="5811742A" w:rsidR="00266588" w:rsidRDefault="0059264E" w:rsidP="001447ED">
      <w:pPr>
        <w:pStyle w:val="BodyText"/>
        <w:rPr>
          <w:szCs w:val="20"/>
        </w:rPr>
      </w:pPr>
      <w:r w:rsidRPr="0059264E">
        <w:rPr>
          <w:szCs w:val="20"/>
        </w:rPr>
        <w:t xml:space="preserve">UNECE </w:t>
      </w:r>
      <w:r w:rsidR="009A74BC">
        <w:rPr>
          <w:szCs w:val="20"/>
        </w:rPr>
        <w:t xml:space="preserve">conducted </w:t>
      </w:r>
      <w:r w:rsidR="00EE0AB1">
        <w:rPr>
          <w:szCs w:val="20"/>
        </w:rPr>
        <w:t>a</w:t>
      </w:r>
      <w:r w:rsidRPr="0059264E">
        <w:rPr>
          <w:szCs w:val="20"/>
        </w:rPr>
        <w:t xml:space="preserve"> follow-up regional workshop on PPPs </w:t>
      </w:r>
      <w:r w:rsidR="00470030">
        <w:rPr>
          <w:szCs w:val="20"/>
        </w:rPr>
        <w:t xml:space="preserve">in November 2024, </w:t>
      </w:r>
      <w:r w:rsidR="00EE0AB1">
        <w:rPr>
          <w:szCs w:val="20"/>
        </w:rPr>
        <w:t xml:space="preserve">which </w:t>
      </w:r>
      <w:r w:rsidRPr="0059264E">
        <w:rPr>
          <w:szCs w:val="20"/>
        </w:rPr>
        <w:t>engag</w:t>
      </w:r>
      <w:r w:rsidR="00EE0AB1">
        <w:rPr>
          <w:szCs w:val="20"/>
        </w:rPr>
        <w:t>ed</w:t>
      </w:r>
      <w:r w:rsidRPr="0059264E">
        <w:rPr>
          <w:szCs w:val="20"/>
        </w:rPr>
        <w:t xml:space="preserve"> government officials from 10 programme countries, including Belarus and Kyrgyzstan. </w:t>
      </w:r>
      <w:hyperlink r:id="rId78" w:history="1">
        <w:r w:rsidRPr="0059264E">
          <w:rPr>
            <w:rStyle w:val="Hyperlink"/>
            <w:rFonts w:cs="Arial"/>
            <w:szCs w:val="20"/>
          </w:rPr>
          <w:t>Sustainable Public-Private Partnerships in support of Integrated National Financing Frameworks</w:t>
        </w:r>
      </w:hyperlink>
      <w:r>
        <w:rPr>
          <w:szCs w:val="20"/>
        </w:rPr>
        <w:t xml:space="preserve"> was used to present the UNECE PIERS methodology</w:t>
      </w:r>
      <w:r w:rsidR="00016757">
        <w:rPr>
          <w:szCs w:val="20"/>
        </w:rPr>
        <w:t xml:space="preserve">. As an advancement over the initial introduction </w:t>
      </w:r>
      <w:r w:rsidR="00EE0AB1">
        <w:rPr>
          <w:szCs w:val="20"/>
        </w:rPr>
        <w:t>to</w:t>
      </w:r>
      <w:r w:rsidR="00016757">
        <w:rPr>
          <w:szCs w:val="20"/>
        </w:rPr>
        <w:t xml:space="preserve"> the methodology</w:t>
      </w:r>
      <w:r w:rsidR="006A4954" w:rsidRPr="006A4954">
        <w:rPr>
          <w:szCs w:val="20"/>
        </w:rPr>
        <w:t xml:space="preserve"> </w:t>
      </w:r>
      <w:r w:rsidR="006A4954">
        <w:rPr>
          <w:szCs w:val="20"/>
        </w:rPr>
        <w:t>to regional stakeholders</w:t>
      </w:r>
      <w:r w:rsidR="00470030">
        <w:rPr>
          <w:szCs w:val="20"/>
        </w:rPr>
        <w:t>,</w:t>
      </w:r>
      <w:r w:rsidR="00016757" w:rsidRPr="00016757">
        <w:rPr>
          <w:szCs w:val="20"/>
        </w:rPr>
        <w:t xml:space="preserve"> </w:t>
      </w:r>
      <w:r w:rsidR="00016757">
        <w:rPr>
          <w:szCs w:val="20"/>
        </w:rPr>
        <w:t xml:space="preserve">the workshop </w:t>
      </w:r>
      <w:r w:rsidR="00470030">
        <w:rPr>
          <w:szCs w:val="20"/>
        </w:rPr>
        <w:t xml:space="preserve">focused </w:t>
      </w:r>
      <w:r w:rsidR="00016757">
        <w:rPr>
          <w:szCs w:val="20"/>
        </w:rPr>
        <w:t xml:space="preserve">on the potential </w:t>
      </w:r>
      <w:r w:rsidR="006A4954">
        <w:rPr>
          <w:szCs w:val="20"/>
        </w:rPr>
        <w:t>for</w:t>
      </w:r>
      <w:r w:rsidR="007B3C7C">
        <w:rPr>
          <w:szCs w:val="20"/>
        </w:rPr>
        <w:t xml:space="preserve"> </w:t>
      </w:r>
      <w:r w:rsidR="00016757">
        <w:rPr>
          <w:szCs w:val="20"/>
        </w:rPr>
        <w:t>the PIERS methodology</w:t>
      </w:r>
      <w:r w:rsidR="007B3C7C">
        <w:rPr>
          <w:szCs w:val="20"/>
        </w:rPr>
        <w:t xml:space="preserve"> </w:t>
      </w:r>
      <w:r w:rsidR="00A6747C">
        <w:rPr>
          <w:szCs w:val="20"/>
        </w:rPr>
        <w:t xml:space="preserve">to contribute </w:t>
      </w:r>
      <w:r w:rsidR="007B3C7C">
        <w:rPr>
          <w:szCs w:val="20"/>
        </w:rPr>
        <w:t xml:space="preserve">towards </w:t>
      </w:r>
      <w:r w:rsidR="00016757">
        <w:rPr>
          <w:szCs w:val="20"/>
        </w:rPr>
        <w:t xml:space="preserve">region-wide infrastructural development and </w:t>
      </w:r>
      <w:r w:rsidR="007B3C7C">
        <w:rPr>
          <w:szCs w:val="20"/>
        </w:rPr>
        <w:t>investment.</w:t>
      </w:r>
    </w:p>
    <w:p w14:paraId="718F08A3" w14:textId="35A46EE5" w:rsidR="00266588" w:rsidRDefault="00470030" w:rsidP="001447ED">
      <w:pPr>
        <w:pStyle w:val="BodyText"/>
        <w:rPr>
          <w:szCs w:val="20"/>
        </w:rPr>
      </w:pPr>
      <w:r>
        <w:rPr>
          <w:szCs w:val="20"/>
        </w:rPr>
        <w:t>In</w:t>
      </w:r>
      <w:r w:rsidR="00BC0E18">
        <w:rPr>
          <w:szCs w:val="20"/>
        </w:rPr>
        <w:t xml:space="preserve"> line with the provision of follow-up technical support to countries</w:t>
      </w:r>
      <w:r w:rsidR="00D245FB">
        <w:rPr>
          <w:szCs w:val="20"/>
        </w:rPr>
        <w:t xml:space="preserve"> within</w:t>
      </w:r>
      <w:r>
        <w:rPr>
          <w:szCs w:val="20"/>
        </w:rPr>
        <w:t xml:space="preserve"> Asia</w:t>
      </w:r>
      <w:r w:rsidR="00D245FB">
        <w:rPr>
          <w:szCs w:val="20"/>
        </w:rPr>
        <w:t xml:space="preserve"> and the </w:t>
      </w:r>
      <w:r w:rsidR="009C7FD8">
        <w:rPr>
          <w:szCs w:val="20"/>
        </w:rPr>
        <w:t>P</w:t>
      </w:r>
      <w:r>
        <w:rPr>
          <w:szCs w:val="20"/>
        </w:rPr>
        <w:t>acific</w:t>
      </w:r>
      <w:r w:rsidR="00A6747C">
        <w:rPr>
          <w:szCs w:val="20"/>
        </w:rPr>
        <w:t xml:space="preserve"> region</w:t>
      </w:r>
      <w:r>
        <w:rPr>
          <w:szCs w:val="20"/>
        </w:rPr>
        <w:t>,</w:t>
      </w:r>
      <w:r w:rsidR="00E65447">
        <w:rPr>
          <w:rStyle w:val="FootnoteReference"/>
          <w:szCs w:val="20"/>
        </w:rPr>
        <w:footnoteReference w:id="222"/>
      </w:r>
      <w:r>
        <w:rPr>
          <w:szCs w:val="20"/>
        </w:rPr>
        <w:t xml:space="preserve"> UNESCAP </w:t>
      </w:r>
      <w:r w:rsidR="009C7FD8">
        <w:rPr>
          <w:szCs w:val="20"/>
        </w:rPr>
        <w:t xml:space="preserve">held </w:t>
      </w:r>
      <w:r>
        <w:rPr>
          <w:szCs w:val="20"/>
        </w:rPr>
        <w:t xml:space="preserve">a regional consultation with the </w:t>
      </w:r>
      <w:hyperlink r:id="rId79" w:history="1">
        <w:r w:rsidRPr="002B40F3">
          <w:rPr>
            <w:rStyle w:val="Hyperlink"/>
            <w:szCs w:val="20"/>
          </w:rPr>
          <w:t xml:space="preserve">Pacific </w:t>
        </w:r>
        <w:r w:rsidRPr="002B40F3">
          <w:rPr>
            <w:rStyle w:val="Hyperlink"/>
            <w:szCs w:val="20"/>
          </w:rPr>
          <w:lastRenderedPageBreak/>
          <w:t>Islands Forum Secretariat</w:t>
        </w:r>
      </w:hyperlink>
      <w:r>
        <w:rPr>
          <w:szCs w:val="20"/>
        </w:rPr>
        <w:t xml:space="preserve"> (PIFS)</w:t>
      </w:r>
      <w:r w:rsidR="00494291">
        <w:rPr>
          <w:szCs w:val="20"/>
        </w:rPr>
        <w:t>,</w:t>
      </w:r>
      <w:r>
        <w:rPr>
          <w:szCs w:val="20"/>
        </w:rPr>
        <w:t xml:space="preserve"> to gain a better understanding of regional perspectives on access</w:t>
      </w:r>
      <w:r w:rsidR="005B66E5">
        <w:rPr>
          <w:szCs w:val="20"/>
        </w:rPr>
        <w:t xml:space="preserve"> to </w:t>
      </w:r>
      <w:r>
        <w:rPr>
          <w:szCs w:val="20"/>
        </w:rPr>
        <w:t>climate finance.</w:t>
      </w:r>
      <w:r w:rsidR="005B66E5">
        <w:rPr>
          <w:szCs w:val="20"/>
        </w:rPr>
        <w:t xml:space="preserve"> </w:t>
      </w:r>
      <w:r w:rsidR="002B40F3">
        <w:rPr>
          <w:szCs w:val="20"/>
        </w:rPr>
        <w:t xml:space="preserve">PIFS serves as a collective regional voice for political </w:t>
      </w:r>
      <w:r w:rsidR="00460640">
        <w:rPr>
          <w:szCs w:val="20"/>
        </w:rPr>
        <w:t xml:space="preserve">and economic cooperation that is informed by the </w:t>
      </w:r>
      <w:hyperlink r:id="rId80" w:history="1">
        <w:r w:rsidR="00460640" w:rsidRPr="00460640">
          <w:rPr>
            <w:rStyle w:val="Hyperlink"/>
            <w:szCs w:val="20"/>
          </w:rPr>
          <w:t>PIFS 2050 Strategy for the Blue Continent</w:t>
        </w:r>
      </w:hyperlink>
      <w:r w:rsidR="00460640">
        <w:rPr>
          <w:szCs w:val="20"/>
        </w:rPr>
        <w:t xml:space="preserve">. The regional consultation aligned with one of the key thematic areas of the 2050 Strategy, </w:t>
      </w:r>
      <w:r w:rsidR="001B79C9">
        <w:rPr>
          <w:szCs w:val="20"/>
        </w:rPr>
        <w:t xml:space="preserve">namely, </w:t>
      </w:r>
      <w:r w:rsidR="00460640">
        <w:rPr>
          <w:szCs w:val="20"/>
        </w:rPr>
        <w:t>Climate Change and Disa</w:t>
      </w:r>
      <w:r w:rsidR="001B79C9">
        <w:rPr>
          <w:szCs w:val="20"/>
        </w:rPr>
        <w:t xml:space="preserve">sters. As </w:t>
      </w:r>
      <w:r w:rsidR="00772B55">
        <w:rPr>
          <w:szCs w:val="20"/>
        </w:rPr>
        <w:t xml:space="preserve">the main impact </w:t>
      </w:r>
      <w:r w:rsidR="001B79C9">
        <w:rPr>
          <w:szCs w:val="20"/>
        </w:rPr>
        <w:t>of the consultation, PIFS requested technical assistance from UNESCAP to develop a report on this issue.</w:t>
      </w:r>
      <w:r w:rsidR="00C924CA">
        <w:rPr>
          <w:szCs w:val="20"/>
        </w:rPr>
        <w:t xml:space="preserve"> </w:t>
      </w:r>
      <w:r w:rsidR="005B66E5">
        <w:rPr>
          <w:szCs w:val="20"/>
        </w:rPr>
        <w:t xml:space="preserve">The draft version of </w:t>
      </w:r>
      <w:r w:rsidR="005B66E5" w:rsidRPr="00C924CA">
        <w:rPr>
          <w:i/>
          <w:iCs/>
          <w:szCs w:val="20"/>
        </w:rPr>
        <w:t>Options for the Pacific SIDS to Enhance Access to Climate Finance through a Regional Programmatic Approach</w:t>
      </w:r>
      <w:r w:rsidR="005B66E5">
        <w:rPr>
          <w:szCs w:val="20"/>
        </w:rPr>
        <w:t xml:space="preserve"> was completed in January 2024</w:t>
      </w:r>
      <w:r w:rsidR="00BD3BCA">
        <w:rPr>
          <w:szCs w:val="20"/>
        </w:rPr>
        <w:t xml:space="preserve"> and was shared with PIFS</w:t>
      </w:r>
      <w:r w:rsidR="00C924CA">
        <w:rPr>
          <w:szCs w:val="20"/>
        </w:rPr>
        <w:t>.</w:t>
      </w:r>
      <w:r w:rsidR="00C924CA" w:rsidRPr="00C924CA">
        <w:rPr>
          <w:rStyle w:val="FootnoteReference"/>
          <w:szCs w:val="20"/>
        </w:rPr>
        <w:t xml:space="preserve"> </w:t>
      </w:r>
      <w:r w:rsidR="00C924CA">
        <w:rPr>
          <w:rStyle w:val="FootnoteReference"/>
          <w:szCs w:val="20"/>
        </w:rPr>
        <w:footnoteReference w:id="223"/>
      </w:r>
    </w:p>
    <w:p w14:paraId="0FF954B4" w14:textId="26302146" w:rsidR="00BD7403" w:rsidRDefault="006A0167" w:rsidP="001447ED">
      <w:pPr>
        <w:pStyle w:val="BodyText"/>
        <w:rPr>
          <w:szCs w:val="20"/>
        </w:rPr>
      </w:pPr>
      <w:r w:rsidRPr="00044F5E">
        <w:rPr>
          <w:szCs w:val="20"/>
        </w:rPr>
        <w:t>Although</w:t>
      </w:r>
      <w:r>
        <w:rPr>
          <w:szCs w:val="20"/>
        </w:rPr>
        <w:t xml:space="preserve"> </w:t>
      </w:r>
      <w:r w:rsidR="00A95C0D">
        <w:rPr>
          <w:szCs w:val="20"/>
        </w:rPr>
        <w:t xml:space="preserve">project implementation ended </w:t>
      </w:r>
      <w:r>
        <w:rPr>
          <w:szCs w:val="20"/>
        </w:rPr>
        <w:t xml:space="preserve">before the </w:t>
      </w:r>
      <w:hyperlink r:id="rId81" w:history="1">
        <w:r w:rsidRPr="00A95C0D">
          <w:rPr>
            <w:rStyle w:val="Hyperlink"/>
            <w:szCs w:val="20"/>
          </w:rPr>
          <w:t>Fourth International Conference on FfD</w:t>
        </w:r>
      </w:hyperlink>
      <w:r>
        <w:rPr>
          <w:szCs w:val="20"/>
        </w:rPr>
        <w:t xml:space="preserve"> </w:t>
      </w:r>
      <w:r w:rsidR="00A95C0D">
        <w:rPr>
          <w:szCs w:val="20"/>
        </w:rPr>
        <w:t>(FFD4) took place</w:t>
      </w:r>
      <w:r>
        <w:rPr>
          <w:szCs w:val="20"/>
        </w:rPr>
        <w:t>,</w:t>
      </w:r>
      <w:r w:rsidR="00A95C0D">
        <w:rPr>
          <w:szCs w:val="20"/>
        </w:rPr>
        <w:t xml:space="preserve"> </w:t>
      </w:r>
      <w:r w:rsidR="00636610">
        <w:rPr>
          <w:szCs w:val="20"/>
        </w:rPr>
        <w:t xml:space="preserve">follow-on project activities </w:t>
      </w:r>
      <w:r w:rsidR="000F1F5F">
        <w:rPr>
          <w:szCs w:val="20"/>
        </w:rPr>
        <w:t xml:space="preserve">have aligned with the </w:t>
      </w:r>
      <w:r w:rsidR="00721CFC">
        <w:rPr>
          <w:szCs w:val="20"/>
        </w:rPr>
        <w:t xml:space="preserve">resolutions </w:t>
      </w:r>
      <w:r w:rsidR="001A4E8A">
        <w:rPr>
          <w:szCs w:val="20"/>
        </w:rPr>
        <w:t xml:space="preserve">of the </w:t>
      </w:r>
      <w:hyperlink r:id="rId82" w:history="1">
        <w:r w:rsidR="00CC35BA" w:rsidRPr="00173610">
          <w:rPr>
            <w:rStyle w:val="Hyperlink"/>
            <w:szCs w:val="20"/>
          </w:rPr>
          <w:t>2025 Sevilla Commitment</w:t>
        </w:r>
      </w:hyperlink>
      <w:r w:rsidR="00CC35BA">
        <w:rPr>
          <w:szCs w:val="20"/>
        </w:rPr>
        <w:t>, the main out</w:t>
      </w:r>
      <w:r w:rsidR="00173610">
        <w:rPr>
          <w:szCs w:val="20"/>
        </w:rPr>
        <w:t>come document of FFD4</w:t>
      </w:r>
      <w:r w:rsidR="00A95C0D">
        <w:rPr>
          <w:szCs w:val="20"/>
        </w:rPr>
        <w:t>.</w:t>
      </w:r>
      <w:r w:rsidR="00A95C0D">
        <w:rPr>
          <w:rStyle w:val="FootnoteReference"/>
          <w:szCs w:val="20"/>
        </w:rPr>
        <w:footnoteReference w:id="224"/>
      </w:r>
      <w:r w:rsidR="00A95C0D">
        <w:rPr>
          <w:szCs w:val="20"/>
        </w:rPr>
        <w:t xml:space="preserve"> </w:t>
      </w:r>
      <w:bookmarkStart w:id="47" w:name="_Hlk204878388"/>
      <w:r w:rsidR="00750FEE">
        <w:rPr>
          <w:szCs w:val="20"/>
        </w:rPr>
        <w:t>T</w:t>
      </w:r>
      <w:r w:rsidR="004D55F8">
        <w:rPr>
          <w:szCs w:val="20"/>
        </w:rPr>
        <w:t xml:space="preserve">here </w:t>
      </w:r>
      <w:r w:rsidR="004569A8">
        <w:rPr>
          <w:szCs w:val="20"/>
        </w:rPr>
        <w:t xml:space="preserve">has been </w:t>
      </w:r>
      <w:r w:rsidR="004D55F8">
        <w:rPr>
          <w:szCs w:val="20"/>
        </w:rPr>
        <w:t xml:space="preserve">a documented commitment by </w:t>
      </w:r>
      <w:r w:rsidR="00750FEE">
        <w:rPr>
          <w:szCs w:val="20"/>
        </w:rPr>
        <w:t xml:space="preserve">signatory </w:t>
      </w:r>
      <w:r w:rsidR="004D55F8">
        <w:rPr>
          <w:szCs w:val="20"/>
        </w:rPr>
        <w:t>States to ‘multi-stakeholder collaboration and partnerships,’ including with civil society and the private sector.</w:t>
      </w:r>
      <w:r w:rsidR="004D55F8">
        <w:rPr>
          <w:rStyle w:val="FootnoteReference"/>
          <w:szCs w:val="20"/>
        </w:rPr>
        <w:footnoteReference w:id="225"/>
      </w:r>
      <w:r w:rsidR="004D55F8">
        <w:rPr>
          <w:szCs w:val="20"/>
        </w:rPr>
        <w:t xml:space="preserve"> States have also acknowledged that they have been ‘falling short’ in the area of climate action,</w:t>
      </w:r>
      <w:r w:rsidR="004D55F8">
        <w:rPr>
          <w:rStyle w:val="FootnoteReference"/>
          <w:szCs w:val="20"/>
        </w:rPr>
        <w:footnoteReference w:id="226"/>
      </w:r>
      <w:r w:rsidR="008F144F">
        <w:rPr>
          <w:szCs w:val="20"/>
        </w:rPr>
        <w:t xml:space="preserve"> and have reaffirmed the need for accelerated action in this area.</w:t>
      </w:r>
      <w:r w:rsidR="000177DD">
        <w:rPr>
          <w:szCs w:val="20"/>
        </w:rPr>
        <w:t xml:space="preserve"> </w:t>
      </w:r>
    </w:p>
    <w:p w14:paraId="57FFCA4B" w14:textId="41FF3EED" w:rsidR="0021679F" w:rsidRDefault="00606A67" w:rsidP="001447ED">
      <w:pPr>
        <w:pStyle w:val="BodyText"/>
        <w:rPr>
          <w:szCs w:val="20"/>
        </w:rPr>
      </w:pPr>
      <w:r>
        <w:rPr>
          <w:szCs w:val="20"/>
        </w:rPr>
        <w:t xml:space="preserve">The </w:t>
      </w:r>
      <w:r w:rsidR="00F53CA3">
        <w:rPr>
          <w:szCs w:val="20"/>
        </w:rPr>
        <w:t xml:space="preserve">requests for </w:t>
      </w:r>
      <w:r w:rsidR="007B4660">
        <w:rPr>
          <w:szCs w:val="20"/>
        </w:rPr>
        <w:t>technical assistance</w:t>
      </w:r>
      <w:r w:rsidR="004666D1">
        <w:rPr>
          <w:szCs w:val="20"/>
        </w:rPr>
        <w:t xml:space="preserve"> </w:t>
      </w:r>
      <w:r w:rsidR="006B33C1">
        <w:rPr>
          <w:szCs w:val="20"/>
        </w:rPr>
        <w:t xml:space="preserve">that emerged from </w:t>
      </w:r>
      <w:r w:rsidR="004666D1">
        <w:rPr>
          <w:szCs w:val="20"/>
        </w:rPr>
        <w:t xml:space="preserve">the regional </w:t>
      </w:r>
      <w:r w:rsidR="00A2523C">
        <w:rPr>
          <w:szCs w:val="20"/>
        </w:rPr>
        <w:t xml:space="preserve">workshops highlighted </w:t>
      </w:r>
      <w:r w:rsidR="00752C4C">
        <w:rPr>
          <w:szCs w:val="20"/>
        </w:rPr>
        <w:t xml:space="preserve">the </w:t>
      </w:r>
      <w:r w:rsidR="006E6A96">
        <w:rPr>
          <w:szCs w:val="20"/>
        </w:rPr>
        <w:t>interest</w:t>
      </w:r>
      <w:r w:rsidR="00027091">
        <w:rPr>
          <w:szCs w:val="20"/>
        </w:rPr>
        <w:t xml:space="preserve"> </w:t>
      </w:r>
      <w:r w:rsidR="00CF336F">
        <w:rPr>
          <w:szCs w:val="20"/>
        </w:rPr>
        <w:t>of</w:t>
      </w:r>
      <w:r w:rsidR="00027091">
        <w:rPr>
          <w:szCs w:val="20"/>
        </w:rPr>
        <w:t xml:space="preserve"> non-project countries in </w:t>
      </w:r>
      <w:r w:rsidR="00E2410E">
        <w:rPr>
          <w:szCs w:val="20"/>
        </w:rPr>
        <w:t>the contextual</w:t>
      </w:r>
      <w:r w:rsidR="000C549E">
        <w:rPr>
          <w:szCs w:val="20"/>
        </w:rPr>
        <w:t xml:space="preserve"> application of </w:t>
      </w:r>
      <w:r w:rsidR="00E2410E">
        <w:rPr>
          <w:szCs w:val="20"/>
        </w:rPr>
        <w:t xml:space="preserve">the </w:t>
      </w:r>
      <w:r w:rsidR="00287F6A">
        <w:rPr>
          <w:szCs w:val="20"/>
        </w:rPr>
        <w:t>INFF</w:t>
      </w:r>
      <w:r w:rsidR="00E2410E">
        <w:rPr>
          <w:szCs w:val="20"/>
        </w:rPr>
        <w:t xml:space="preserve"> methodology</w:t>
      </w:r>
      <w:r w:rsidR="00027091">
        <w:rPr>
          <w:szCs w:val="20"/>
        </w:rPr>
        <w:t xml:space="preserve">. </w:t>
      </w:r>
      <w:r w:rsidR="00083E92">
        <w:rPr>
          <w:szCs w:val="20"/>
        </w:rPr>
        <w:t xml:space="preserve">Follow-up activities by </w:t>
      </w:r>
      <w:r w:rsidR="00B7119C">
        <w:rPr>
          <w:szCs w:val="20"/>
        </w:rPr>
        <w:t xml:space="preserve">Tier </w:t>
      </w:r>
      <w:r w:rsidR="005D420D">
        <w:rPr>
          <w:szCs w:val="20"/>
        </w:rPr>
        <w:t xml:space="preserve">2 </w:t>
      </w:r>
      <w:r w:rsidR="00083E92">
        <w:rPr>
          <w:szCs w:val="20"/>
        </w:rPr>
        <w:t>UN entities</w:t>
      </w:r>
      <w:r w:rsidR="00E6796A">
        <w:rPr>
          <w:szCs w:val="20"/>
        </w:rPr>
        <w:t xml:space="preserve"> </w:t>
      </w:r>
      <w:r w:rsidR="00780B0B">
        <w:rPr>
          <w:szCs w:val="20"/>
        </w:rPr>
        <w:t>further identified their role</w:t>
      </w:r>
      <w:r w:rsidR="003936E9">
        <w:rPr>
          <w:szCs w:val="20"/>
        </w:rPr>
        <w:t xml:space="preserve"> in</w:t>
      </w:r>
      <w:r w:rsidR="00573270">
        <w:rPr>
          <w:szCs w:val="20"/>
        </w:rPr>
        <w:t xml:space="preserve"> </w:t>
      </w:r>
      <w:r w:rsidR="00BF27A7">
        <w:rPr>
          <w:szCs w:val="20"/>
        </w:rPr>
        <w:t xml:space="preserve">providing opportunities for </w:t>
      </w:r>
      <w:r w:rsidR="006321A6">
        <w:rPr>
          <w:szCs w:val="20"/>
        </w:rPr>
        <w:t>knowledge-exchange</w:t>
      </w:r>
      <w:r w:rsidR="00BF27A7">
        <w:rPr>
          <w:szCs w:val="20"/>
        </w:rPr>
        <w:t xml:space="preserve"> and </w:t>
      </w:r>
      <w:r w:rsidR="006321A6">
        <w:rPr>
          <w:szCs w:val="20"/>
        </w:rPr>
        <w:t>peer-learning</w:t>
      </w:r>
      <w:r w:rsidR="00BF27A7">
        <w:rPr>
          <w:szCs w:val="20"/>
        </w:rPr>
        <w:t xml:space="preserve">, </w:t>
      </w:r>
      <w:r w:rsidR="0047655D">
        <w:rPr>
          <w:szCs w:val="20"/>
        </w:rPr>
        <w:t>to</w:t>
      </w:r>
      <w:r w:rsidR="00BF27A7">
        <w:rPr>
          <w:szCs w:val="20"/>
        </w:rPr>
        <w:t xml:space="preserve"> </w:t>
      </w:r>
      <w:r w:rsidR="00F92F3B">
        <w:rPr>
          <w:szCs w:val="20"/>
        </w:rPr>
        <w:t>clarify</w:t>
      </w:r>
      <w:r w:rsidR="0047655D">
        <w:rPr>
          <w:szCs w:val="20"/>
        </w:rPr>
        <w:t xml:space="preserve"> </w:t>
      </w:r>
      <w:r w:rsidR="00F92F3B">
        <w:rPr>
          <w:szCs w:val="20"/>
        </w:rPr>
        <w:t>elements of</w:t>
      </w:r>
      <w:r w:rsidR="003936E9">
        <w:rPr>
          <w:szCs w:val="20"/>
        </w:rPr>
        <w:t xml:space="preserve"> INFF facilitation</w:t>
      </w:r>
      <w:r w:rsidR="0047655D">
        <w:rPr>
          <w:szCs w:val="20"/>
        </w:rPr>
        <w:t>. This supporting role has involved c</w:t>
      </w:r>
      <w:r w:rsidR="00F16A35">
        <w:rPr>
          <w:szCs w:val="20"/>
        </w:rPr>
        <w:t>ollaboration with Tier 3 entities</w:t>
      </w:r>
      <w:r w:rsidR="00566161">
        <w:rPr>
          <w:szCs w:val="20"/>
        </w:rPr>
        <w:t xml:space="preserve">, comprising </w:t>
      </w:r>
      <w:r w:rsidR="00EC34F4">
        <w:rPr>
          <w:szCs w:val="20"/>
        </w:rPr>
        <w:t xml:space="preserve">UN </w:t>
      </w:r>
      <w:r w:rsidR="004C1075">
        <w:rPr>
          <w:szCs w:val="20"/>
        </w:rPr>
        <w:t>RCOs and UNCTs</w:t>
      </w:r>
      <w:r w:rsidR="00566161">
        <w:rPr>
          <w:szCs w:val="20"/>
        </w:rPr>
        <w:t xml:space="preserve">. </w:t>
      </w:r>
      <w:r w:rsidR="00B964A9">
        <w:rPr>
          <w:szCs w:val="20"/>
        </w:rPr>
        <w:t xml:space="preserve">There are two </w:t>
      </w:r>
      <w:r w:rsidR="00FA2D59">
        <w:rPr>
          <w:szCs w:val="20"/>
        </w:rPr>
        <w:t>significant issue</w:t>
      </w:r>
      <w:r w:rsidR="00B964A9">
        <w:rPr>
          <w:szCs w:val="20"/>
        </w:rPr>
        <w:t xml:space="preserve">s </w:t>
      </w:r>
      <w:r w:rsidR="00FA2D59">
        <w:rPr>
          <w:szCs w:val="20"/>
        </w:rPr>
        <w:t>here</w:t>
      </w:r>
      <w:r w:rsidR="00B964A9">
        <w:rPr>
          <w:szCs w:val="20"/>
        </w:rPr>
        <w:t xml:space="preserve">. </w:t>
      </w:r>
    </w:p>
    <w:p w14:paraId="2A08C222" w14:textId="31D7DFAD" w:rsidR="00EB3195" w:rsidRDefault="009E18F5" w:rsidP="00C408CE">
      <w:pPr>
        <w:pStyle w:val="BodyText"/>
        <w:rPr>
          <w:szCs w:val="20"/>
        </w:rPr>
      </w:pPr>
      <w:r>
        <w:rPr>
          <w:szCs w:val="20"/>
        </w:rPr>
        <w:t xml:space="preserve">First, there </w:t>
      </w:r>
      <w:r w:rsidR="00566161">
        <w:rPr>
          <w:szCs w:val="20"/>
        </w:rPr>
        <w:t xml:space="preserve">was </w:t>
      </w:r>
      <w:r>
        <w:rPr>
          <w:szCs w:val="20"/>
        </w:rPr>
        <w:t xml:space="preserve">an </w:t>
      </w:r>
      <w:r w:rsidR="001F2130">
        <w:rPr>
          <w:szCs w:val="20"/>
        </w:rPr>
        <w:t xml:space="preserve">extension of the project reach </w:t>
      </w:r>
      <w:r w:rsidR="0059306F">
        <w:rPr>
          <w:szCs w:val="20"/>
        </w:rPr>
        <w:t>based on the m</w:t>
      </w:r>
      <w:r w:rsidR="00803091">
        <w:rPr>
          <w:szCs w:val="20"/>
        </w:rPr>
        <w:t xml:space="preserve">omentum that </w:t>
      </w:r>
      <w:r w:rsidR="00566161">
        <w:rPr>
          <w:szCs w:val="20"/>
        </w:rPr>
        <w:t>was generated by pr</w:t>
      </w:r>
      <w:r w:rsidR="00803091">
        <w:rPr>
          <w:szCs w:val="20"/>
        </w:rPr>
        <w:t xml:space="preserve">oject implementation at the regional level. </w:t>
      </w:r>
      <w:r w:rsidR="00BD5A0E">
        <w:rPr>
          <w:szCs w:val="20"/>
        </w:rPr>
        <w:t>Th</w:t>
      </w:r>
      <w:r w:rsidR="00A00B2E">
        <w:rPr>
          <w:szCs w:val="20"/>
        </w:rPr>
        <w:t xml:space="preserve">is has contributed towards the </w:t>
      </w:r>
      <w:r w:rsidR="00147CE3">
        <w:rPr>
          <w:szCs w:val="20"/>
        </w:rPr>
        <w:t xml:space="preserve">potential for </w:t>
      </w:r>
      <w:r w:rsidR="0059306F">
        <w:rPr>
          <w:szCs w:val="20"/>
        </w:rPr>
        <w:t xml:space="preserve">transformative </w:t>
      </w:r>
      <w:r w:rsidR="001F2130">
        <w:rPr>
          <w:szCs w:val="20"/>
        </w:rPr>
        <w:t>impact</w:t>
      </w:r>
      <w:r w:rsidR="006D5BCA">
        <w:rPr>
          <w:szCs w:val="20"/>
        </w:rPr>
        <w:t xml:space="preserve"> </w:t>
      </w:r>
      <w:r w:rsidR="00DD11C7">
        <w:rPr>
          <w:szCs w:val="20"/>
        </w:rPr>
        <w:t xml:space="preserve">from the contextual </w:t>
      </w:r>
      <w:r w:rsidR="00044F5E">
        <w:rPr>
          <w:szCs w:val="20"/>
        </w:rPr>
        <w:t>application of the INFF methodology</w:t>
      </w:r>
      <w:r w:rsidR="00DD11C7" w:rsidRPr="00DD11C7">
        <w:rPr>
          <w:szCs w:val="20"/>
        </w:rPr>
        <w:t xml:space="preserve"> </w:t>
      </w:r>
      <w:r w:rsidR="00DD11C7">
        <w:rPr>
          <w:szCs w:val="20"/>
        </w:rPr>
        <w:t>in non-project countries</w:t>
      </w:r>
      <w:r w:rsidR="0059306F">
        <w:rPr>
          <w:szCs w:val="20"/>
        </w:rPr>
        <w:t xml:space="preserve">. </w:t>
      </w:r>
      <w:r w:rsidR="0093280F">
        <w:rPr>
          <w:szCs w:val="20"/>
        </w:rPr>
        <w:t xml:space="preserve">Second, </w:t>
      </w:r>
      <w:r w:rsidR="00801D6D">
        <w:rPr>
          <w:szCs w:val="20"/>
        </w:rPr>
        <w:t xml:space="preserve">the </w:t>
      </w:r>
      <w:r w:rsidR="00106F0C">
        <w:rPr>
          <w:szCs w:val="20"/>
        </w:rPr>
        <w:t xml:space="preserve">emergent results </w:t>
      </w:r>
      <w:r w:rsidR="00801D6D">
        <w:rPr>
          <w:szCs w:val="20"/>
        </w:rPr>
        <w:t xml:space="preserve">of the project </w:t>
      </w:r>
      <w:r w:rsidR="00106F0C">
        <w:rPr>
          <w:szCs w:val="20"/>
        </w:rPr>
        <w:t xml:space="preserve">at the level of expected </w:t>
      </w:r>
      <w:r w:rsidR="00106F0C">
        <w:rPr>
          <w:szCs w:val="20"/>
        </w:rPr>
        <w:t xml:space="preserve">impact </w:t>
      </w:r>
      <w:r w:rsidR="00801D6D">
        <w:rPr>
          <w:szCs w:val="20"/>
        </w:rPr>
        <w:t>can be subsumed under Action Area C of the Sev</w:t>
      </w:r>
      <w:r w:rsidR="004B461A">
        <w:rPr>
          <w:szCs w:val="20"/>
        </w:rPr>
        <w:t>illa Commitment</w:t>
      </w:r>
      <w:r w:rsidR="00205197">
        <w:rPr>
          <w:szCs w:val="20"/>
        </w:rPr>
        <w:t xml:space="preserve">, </w:t>
      </w:r>
      <w:r w:rsidR="00DD11C7">
        <w:rPr>
          <w:szCs w:val="20"/>
        </w:rPr>
        <w:t xml:space="preserve">given its focus on </w:t>
      </w:r>
      <w:r w:rsidR="00205197">
        <w:rPr>
          <w:szCs w:val="20"/>
        </w:rPr>
        <w:t xml:space="preserve">international development cooperation and development effectiveness. </w:t>
      </w:r>
      <w:r w:rsidR="00C86B57">
        <w:rPr>
          <w:szCs w:val="20"/>
        </w:rPr>
        <w:t>A</w:t>
      </w:r>
      <w:r w:rsidR="002F2B07">
        <w:rPr>
          <w:szCs w:val="20"/>
        </w:rPr>
        <w:t xml:space="preserve">ction Area C has highlighted the necessity of </w:t>
      </w:r>
      <w:r w:rsidR="003364EF">
        <w:rPr>
          <w:szCs w:val="20"/>
        </w:rPr>
        <w:t>collaborative partner</w:t>
      </w:r>
      <w:r w:rsidR="00C9387D">
        <w:rPr>
          <w:szCs w:val="20"/>
        </w:rPr>
        <w:t xml:space="preserve">ships; </w:t>
      </w:r>
      <w:r w:rsidR="006321A6">
        <w:rPr>
          <w:szCs w:val="20"/>
        </w:rPr>
        <w:t>knowledge-exchange</w:t>
      </w:r>
      <w:r w:rsidR="00C9387D">
        <w:rPr>
          <w:szCs w:val="20"/>
        </w:rPr>
        <w:t>; and innovative financing; inter</w:t>
      </w:r>
      <w:r w:rsidR="00B7700A">
        <w:rPr>
          <w:szCs w:val="20"/>
        </w:rPr>
        <w:t xml:space="preserve"> alia, </w:t>
      </w:r>
      <w:r w:rsidR="00C921C2">
        <w:rPr>
          <w:szCs w:val="20"/>
        </w:rPr>
        <w:t xml:space="preserve">to support </w:t>
      </w:r>
      <w:r w:rsidR="00B7700A">
        <w:rPr>
          <w:szCs w:val="20"/>
        </w:rPr>
        <w:t>effective development and sustainable impact.</w:t>
      </w:r>
      <w:r w:rsidR="008C0555">
        <w:rPr>
          <w:rStyle w:val="FootnoteReference"/>
          <w:szCs w:val="20"/>
        </w:rPr>
        <w:footnoteReference w:id="227"/>
      </w:r>
      <w:r w:rsidR="00090DCB">
        <w:rPr>
          <w:szCs w:val="20"/>
        </w:rPr>
        <w:t xml:space="preserve"> The</w:t>
      </w:r>
      <w:r w:rsidR="00C533E1">
        <w:rPr>
          <w:szCs w:val="20"/>
        </w:rPr>
        <w:t>re has been a specific reference to the</w:t>
      </w:r>
      <w:r w:rsidR="00344C4E">
        <w:rPr>
          <w:szCs w:val="20"/>
        </w:rPr>
        <w:t xml:space="preserve"> </w:t>
      </w:r>
      <w:r w:rsidR="00E26A70">
        <w:rPr>
          <w:szCs w:val="20"/>
        </w:rPr>
        <w:t xml:space="preserve">role of INFFs in supporting country-led </w:t>
      </w:r>
      <w:r w:rsidR="003A675F">
        <w:rPr>
          <w:szCs w:val="20"/>
        </w:rPr>
        <w:t>strategies</w:t>
      </w:r>
      <w:r w:rsidR="00C533E1">
        <w:rPr>
          <w:szCs w:val="20"/>
        </w:rPr>
        <w:t xml:space="preserve"> for sustainable development</w:t>
      </w:r>
      <w:r w:rsidR="009B7794">
        <w:rPr>
          <w:szCs w:val="20"/>
        </w:rPr>
        <w:t>.</w:t>
      </w:r>
      <w:r w:rsidR="0052086C">
        <w:rPr>
          <w:rStyle w:val="FootnoteReference"/>
          <w:szCs w:val="20"/>
        </w:rPr>
        <w:footnoteReference w:id="228"/>
      </w:r>
      <w:r w:rsidR="00746680">
        <w:rPr>
          <w:szCs w:val="20"/>
        </w:rPr>
        <w:t xml:space="preserve">Action Area C has also identified a need for simplified access </w:t>
      </w:r>
      <w:r w:rsidR="00C921C2">
        <w:rPr>
          <w:szCs w:val="20"/>
        </w:rPr>
        <w:t xml:space="preserve">by developing countries </w:t>
      </w:r>
      <w:r w:rsidR="00746680">
        <w:rPr>
          <w:szCs w:val="20"/>
        </w:rPr>
        <w:t>t</w:t>
      </w:r>
      <w:r w:rsidR="00C408CE">
        <w:rPr>
          <w:szCs w:val="20"/>
        </w:rPr>
        <w:t>o climate funds</w:t>
      </w:r>
      <w:r w:rsidR="001C700E">
        <w:rPr>
          <w:szCs w:val="20"/>
        </w:rPr>
        <w:t xml:space="preserve">, </w:t>
      </w:r>
      <w:r w:rsidR="00733BD5">
        <w:rPr>
          <w:szCs w:val="20"/>
        </w:rPr>
        <w:t xml:space="preserve">to </w:t>
      </w:r>
      <w:r w:rsidR="00154BA1">
        <w:rPr>
          <w:szCs w:val="20"/>
        </w:rPr>
        <w:t>address national priorities</w:t>
      </w:r>
      <w:r w:rsidR="00447E96">
        <w:rPr>
          <w:szCs w:val="20"/>
        </w:rPr>
        <w:t xml:space="preserve"> in </w:t>
      </w:r>
      <w:r w:rsidR="00C921C2">
        <w:rPr>
          <w:szCs w:val="20"/>
        </w:rPr>
        <w:t xml:space="preserve">the area </w:t>
      </w:r>
      <w:r w:rsidR="00810038">
        <w:rPr>
          <w:szCs w:val="20"/>
        </w:rPr>
        <w:t xml:space="preserve">of climate change </w:t>
      </w:r>
      <w:r w:rsidR="006B33C1">
        <w:rPr>
          <w:szCs w:val="20"/>
        </w:rPr>
        <w:t>and the environment</w:t>
      </w:r>
      <w:r w:rsidR="00154BA1">
        <w:rPr>
          <w:szCs w:val="20"/>
        </w:rPr>
        <w:t>.</w:t>
      </w:r>
      <w:r w:rsidR="00173155" w:rsidRPr="00173155">
        <w:rPr>
          <w:rStyle w:val="FootnoteReference"/>
          <w:szCs w:val="20"/>
        </w:rPr>
        <w:t xml:space="preserve"> </w:t>
      </w:r>
      <w:r w:rsidR="00173155">
        <w:rPr>
          <w:rStyle w:val="FootnoteReference"/>
          <w:szCs w:val="20"/>
        </w:rPr>
        <w:footnoteReference w:id="229"/>
      </w:r>
      <w:r w:rsidR="00F04E84">
        <w:rPr>
          <w:szCs w:val="20"/>
        </w:rPr>
        <w:t xml:space="preserve"> </w:t>
      </w:r>
    </w:p>
    <w:p w14:paraId="2E2BB821" w14:textId="480208BC" w:rsidR="008674DA" w:rsidRDefault="00F04E84" w:rsidP="00C408CE">
      <w:pPr>
        <w:pStyle w:val="BodyText"/>
        <w:rPr>
          <w:szCs w:val="20"/>
        </w:rPr>
      </w:pPr>
      <w:r>
        <w:rPr>
          <w:szCs w:val="20"/>
        </w:rPr>
        <w:t>The level of alignment between</w:t>
      </w:r>
      <w:r w:rsidR="00196486">
        <w:rPr>
          <w:szCs w:val="20"/>
        </w:rPr>
        <w:t xml:space="preserve"> project impact</w:t>
      </w:r>
      <w:r w:rsidR="00AA22DE">
        <w:rPr>
          <w:szCs w:val="20"/>
        </w:rPr>
        <w:t xml:space="preserve"> and </w:t>
      </w:r>
      <w:r w:rsidR="008674DA">
        <w:rPr>
          <w:szCs w:val="20"/>
        </w:rPr>
        <w:t>Action Area C</w:t>
      </w:r>
      <w:r w:rsidR="00AA22DE">
        <w:rPr>
          <w:szCs w:val="20"/>
        </w:rPr>
        <w:t xml:space="preserve"> </w:t>
      </w:r>
      <w:r w:rsidR="00CE0233">
        <w:rPr>
          <w:szCs w:val="20"/>
        </w:rPr>
        <w:t>provides evidence of the contribution of the proj</w:t>
      </w:r>
      <w:r w:rsidR="00876B03">
        <w:rPr>
          <w:szCs w:val="20"/>
        </w:rPr>
        <w:t xml:space="preserve">ect </w:t>
      </w:r>
      <w:r w:rsidR="008674DA">
        <w:rPr>
          <w:szCs w:val="20"/>
        </w:rPr>
        <w:t>to the realisation of the Sevilla Commitment.</w:t>
      </w:r>
      <w:r w:rsidR="009C3819">
        <w:rPr>
          <w:szCs w:val="20"/>
        </w:rPr>
        <w:t xml:space="preserve"> </w:t>
      </w:r>
      <w:r w:rsidR="00DB3E93">
        <w:rPr>
          <w:szCs w:val="20"/>
        </w:rPr>
        <w:t>T</w:t>
      </w:r>
      <w:r w:rsidR="009C3819">
        <w:rPr>
          <w:szCs w:val="20"/>
        </w:rPr>
        <w:t>his development is significant,</w:t>
      </w:r>
      <w:r w:rsidR="004A035E">
        <w:rPr>
          <w:szCs w:val="20"/>
        </w:rPr>
        <w:t xml:space="preserve"> given the </w:t>
      </w:r>
      <w:r w:rsidR="00DF7728">
        <w:rPr>
          <w:szCs w:val="20"/>
        </w:rPr>
        <w:t xml:space="preserve">renewed </w:t>
      </w:r>
      <w:r w:rsidR="004A035E">
        <w:rPr>
          <w:szCs w:val="20"/>
        </w:rPr>
        <w:t xml:space="preserve">resolution of signatory States to </w:t>
      </w:r>
      <w:r w:rsidR="00E92B2B">
        <w:rPr>
          <w:szCs w:val="20"/>
        </w:rPr>
        <w:t xml:space="preserve">realise </w:t>
      </w:r>
      <w:r w:rsidR="00DF7728">
        <w:rPr>
          <w:szCs w:val="20"/>
        </w:rPr>
        <w:t>the international development agenda.</w:t>
      </w:r>
    </w:p>
    <w:p w14:paraId="10EA5164" w14:textId="35FAD29B" w:rsidR="008F1FA1" w:rsidRPr="00B322E3" w:rsidRDefault="008F1FA1" w:rsidP="00394E49">
      <w:pPr>
        <w:pStyle w:val="Heading2"/>
      </w:pPr>
      <w:bookmarkStart w:id="48" w:name="_Toc210730327"/>
      <w:bookmarkEnd w:id="47"/>
      <w:r w:rsidRPr="00B322E3">
        <w:t>Cross-cutting themes</w:t>
      </w:r>
      <w:bookmarkEnd w:id="48"/>
    </w:p>
    <w:p w14:paraId="56E463E6" w14:textId="630D39FE" w:rsidR="00D05CEB" w:rsidRDefault="00E228DE" w:rsidP="00394E49">
      <w:pPr>
        <w:pStyle w:val="BodyText"/>
      </w:pPr>
      <w:r w:rsidRPr="00BA73EB">
        <w:t xml:space="preserve">In response to </w:t>
      </w:r>
      <w:r w:rsidR="006C4F76">
        <w:t xml:space="preserve">ToR </w:t>
      </w:r>
      <w:r w:rsidRPr="00BA73EB">
        <w:t>requirements</w:t>
      </w:r>
      <w:r w:rsidR="006C4F76">
        <w:t>,</w:t>
      </w:r>
      <w:r w:rsidRPr="00BA73EB">
        <w:t xml:space="preserve"> t</w:t>
      </w:r>
      <w:r w:rsidR="004473EE" w:rsidRPr="00BA73EB">
        <w:t xml:space="preserve">he evaluation </w:t>
      </w:r>
      <w:r w:rsidRPr="00BA73EB">
        <w:t>assessed three</w:t>
      </w:r>
      <w:r w:rsidR="004473EE" w:rsidRPr="00BA73EB">
        <w:t xml:space="preserve"> cross-cutting themes: i) gender; ii) </w:t>
      </w:r>
      <w:r w:rsidR="00D05CEB" w:rsidRPr="00BA73EB">
        <w:t>human rights</w:t>
      </w:r>
      <w:r w:rsidR="003526F6">
        <w:t xml:space="preserve">; </w:t>
      </w:r>
      <w:r w:rsidRPr="00BA73EB">
        <w:t xml:space="preserve">and iii) </w:t>
      </w:r>
      <w:r w:rsidR="00D05CEB" w:rsidRPr="00BA73EB">
        <w:t>disability inclusion</w:t>
      </w:r>
      <w:r w:rsidR="004473EE" w:rsidRPr="00BA73EB">
        <w:t xml:space="preserve">. </w:t>
      </w:r>
      <w:r w:rsidR="006E7FA5">
        <w:t xml:space="preserve">There is an inextricable link across </w:t>
      </w:r>
      <w:r w:rsidR="00761210">
        <w:t xml:space="preserve">the three </w:t>
      </w:r>
      <w:r w:rsidR="00761210" w:rsidRPr="00BA73EB">
        <w:t>cross-cutting themes</w:t>
      </w:r>
      <w:r w:rsidR="00761210">
        <w:t xml:space="preserve">. The themes can also be </w:t>
      </w:r>
      <w:r w:rsidR="00C85132">
        <w:t xml:space="preserve">merged under human rights. </w:t>
      </w:r>
      <w:r w:rsidR="00A266A6">
        <w:t xml:space="preserve">The approach of the evaluation, however, has been to assess the extent to which </w:t>
      </w:r>
      <w:r w:rsidR="00042F28">
        <w:t xml:space="preserve">there was evidence of the integration of each theme into </w:t>
      </w:r>
      <w:r w:rsidR="00691C9F">
        <w:t xml:space="preserve">project design and implementation. </w:t>
      </w:r>
    </w:p>
    <w:p w14:paraId="64BF3142" w14:textId="2E98331B" w:rsidR="00D9768F" w:rsidRDefault="00695B52" w:rsidP="00394E49">
      <w:pPr>
        <w:pStyle w:val="BodyText"/>
      </w:pPr>
      <w:r>
        <w:t xml:space="preserve">Gender equality was assessed as the </w:t>
      </w:r>
      <w:r w:rsidR="004E2151">
        <w:t xml:space="preserve">extent to which </w:t>
      </w:r>
      <w:r w:rsidR="008B4F69">
        <w:t xml:space="preserve">the project </w:t>
      </w:r>
      <w:r w:rsidR="00116A90">
        <w:t xml:space="preserve">facilitated </w:t>
      </w:r>
      <w:r w:rsidR="008B4F69">
        <w:t>eq</w:t>
      </w:r>
      <w:r w:rsidR="00F85ADF">
        <w:t>ual rights</w:t>
      </w:r>
      <w:r w:rsidR="00116A90">
        <w:t xml:space="preserve">, including equal </w:t>
      </w:r>
      <w:r w:rsidR="00F97A82">
        <w:t xml:space="preserve">delegation of </w:t>
      </w:r>
      <w:r w:rsidR="00BA21BB" w:rsidRPr="00DF0C97">
        <w:t xml:space="preserve">responsibilities and </w:t>
      </w:r>
      <w:r w:rsidR="00F97A82">
        <w:t>equ</w:t>
      </w:r>
      <w:r w:rsidR="00276E22">
        <w:t xml:space="preserve">al access to </w:t>
      </w:r>
      <w:r w:rsidR="00BA21BB" w:rsidRPr="00DF0C97">
        <w:t xml:space="preserve">opportunities </w:t>
      </w:r>
      <w:r w:rsidR="00BA21BB">
        <w:t>for women and men</w:t>
      </w:r>
      <w:r w:rsidR="00276E22">
        <w:t>.</w:t>
      </w:r>
      <w:r w:rsidR="0093756E">
        <w:t xml:space="preserve"> </w:t>
      </w:r>
      <w:r w:rsidR="00C06060">
        <w:t>Simil</w:t>
      </w:r>
      <w:r w:rsidR="00F307E9">
        <w:t>arly, t</w:t>
      </w:r>
      <w:r w:rsidR="0093756E">
        <w:t xml:space="preserve">he </w:t>
      </w:r>
      <w:r w:rsidR="00403637">
        <w:t xml:space="preserve">integration of the human rights theme was assessed as the extent to which the project </w:t>
      </w:r>
      <w:r w:rsidR="00C04C92">
        <w:t xml:space="preserve">incorporated measures to ensure that all stakeholders were accorded the respect that was due to all human beings. Disability </w:t>
      </w:r>
      <w:r w:rsidR="00590123">
        <w:t xml:space="preserve">inclusion was </w:t>
      </w:r>
      <w:r w:rsidR="00F307E9">
        <w:t xml:space="preserve">further </w:t>
      </w:r>
      <w:r w:rsidR="00590123">
        <w:t xml:space="preserve">assessed as the extent to which the project </w:t>
      </w:r>
      <w:r w:rsidR="001961A8">
        <w:t xml:space="preserve">facilitated the meaningful participation of </w:t>
      </w:r>
      <w:r w:rsidR="00085DA4">
        <w:lastRenderedPageBreak/>
        <w:t xml:space="preserve">persons with disabilities </w:t>
      </w:r>
      <w:r w:rsidR="00D633EF">
        <w:t xml:space="preserve">at all </w:t>
      </w:r>
      <w:r w:rsidR="00085DA4">
        <w:t xml:space="preserve">project </w:t>
      </w:r>
      <w:r w:rsidR="00D633EF">
        <w:t>stages</w:t>
      </w:r>
      <w:r w:rsidR="00085DA4">
        <w:t xml:space="preserve"> (i</w:t>
      </w:r>
      <w:r w:rsidR="00D9768F">
        <w:t>.e. design through to implementation).</w:t>
      </w:r>
      <w:r w:rsidR="00DE1E9F">
        <w:t xml:space="preserve"> </w:t>
      </w:r>
      <w:r w:rsidR="00335253">
        <w:t xml:space="preserve">Based on the results of the evaluation, </w:t>
      </w:r>
      <w:r w:rsidR="005A76FD" w:rsidRPr="00DE1E9F">
        <w:rPr>
          <w:b/>
          <w:bCs/>
        </w:rPr>
        <w:t>there has been some evidence of the integration of the three cross-cutting themes of focus duri</w:t>
      </w:r>
      <w:r w:rsidR="00DE1E9F" w:rsidRPr="00DE1E9F">
        <w:rPr>
          <w:b/>
          <w:bCs/>
        </w:rPr>
        <w:t>ng</w:t>
      </w:r>
      <w:r w:rsidR="005A76FD" w:rsidRPr="00DE1E9F">
        <w:rPr>
          <w:b/>
          <w:bCs/>
        </w:rPr>
        <w:t xml:space="preserve"> project implementation. </w:t>
      </w:r>
      <w:r w:rsidR="00DE1E9F" w:rsidRPr="00DE1E9F">
        <w:rPr>
          <w:b/>
          <w:bCs/>
        </w:rPr>
        <w:t>The need for systematic integration was not, however, incorporated into the project design.</w:t>
      </w:r>
    </w:p>
    <w:p w14:paraId="7C418DEE" w14:textId="7E425996" w:rsidR="00AF5319" w:rsidRDefault="0066776B" w:rsidP="00394E49">
      <w:pPr>
        <w:pStyle w:val="BodyText"/>
      </w:pPr>
      <w:r w:rsidRPr="00FB26A5">
        <w:rPr>
          <w:b/>
          <w:bCs/>
        </w:rPr>
        <w:t>Finding 1</w:t>
      </w:r>
      <w:r w:rsidR="0062743B">
        <w:rPr>
          <w:b/>
          <w:bCs/>
        </w:rPr>
        <w:t>3</w:t>
      </w:r>
      <w:r w:rsidRPr="00FB26A5">
        <w:rPr>
          <w:b/>
          <w:bCs/>
        </w:rPr>
        <w:t xml:space="preserve">: </w:t>
      </w:r>
      <w:r w:rsidR="008E561D" w:rsidRPr="008E561D">
        <w:t xml:space="preserve">Given the </w:t>
      </w:r>
      <w:r w:rsidR="008E561D">
        <w:t xml:space="preserve">alignment between the project objective and the </w:t>
      </w:r>
      <w:r w:rsidR="003C27DB">
        <w:t>2030 Agenda for Sustainable Development, p</w:t>
      </w:r>
      <w:r w:rsidR="003C27DB" w:rsidRPr="000D4A0C">
        <w:t>roject implementation supported open participation by all interested parties based on the Leave No One Behind (LNOB) principle</w:t>
      </w:r>
      <w:r w:rsidR="003C27DB">
        <w:t xml:space="preserve">. </w:t>
      </w:r>
      <w:r w:rsidR="007232A8">
        <w:t xml:space="preserve">There were no </w:t>
      </w:r>
      <w:r w:rsidR="00CE7766">
        <w:t>d</w:t>
      </w:r>
      <w:r w:rsidR="006D081E">
        <w:t>irectives</w:t>
      </w:r>
      <w:r w:rsidR="00645739">
        <w:t xml:space="preserve">, however, </w:t>
      </w:r>
      <w:r w:rsidR="008773E7">
        <w:t xml:space="preserve">to </w:t>
      </w:r>
      <w:r w:rsidR="00436D4B">
        <w:t>facilitate gender equality</w:t>
      </w:r>
      <w:r w:rsidR="0015761A">
        <w:t>; a rights-based approach</w:t>
      </w:r>
      <w:r w:rsidR="00696A60">
        <w:t>; and/</w:t>
      </w:r>
      <w:r w:rsidR="00436D4B">
        <w:t xml:space="preserve"> </w:t>
      </w:r>
      <w:r w:rsidR="00645739">
        <w:t>or di</w:t>
      </w:r>
      <w:r w:rsidR="00696A60">
        <w:t>sability inclusion.</w:t>
      </w:r>
      <w:r w:rsidR="00645739">
        <w:t xml:space="preserve"> </w:t>
      </w:r>
    </w:p>
    <w:p w14:paraId="685F6EBF" w14:textId="77777777" w:rsidR="0078379E" w:rsidRDefault="00925B32" w:rsidP="00394E49">
      <w:pPr>
        <w:pStyle w:val="BodyText"/>
      </w:pPr>
      <w:r>
        <w:t xml:space="preserve">To support country-level contributions </w:t>
      </w:r>
      <w:r w:rsidR="007B55DD">
        <w:t xml:space="preserve">towards the 2030 Agenda, including </w:t>
      </w:r>
      <w:r w:rsidR="008F2D54">
        <w:t xml:space="preserve">SDG </w:t>
      </w:r>
      <w:r w:rsidR="007B55DD">
        <w:t>achievement, a core element of the INFF project document was</w:t>
      </w:r>
      <w:r w:rsidR="00EA7C16">
        <w:t xml:space="preserve"> the definitive link between project implementation and the SDGs.</w:t>
      </w:r>
      <w:r w:rsidR="00EA7C16">
        <w:rPr>
          <w:rStyle w:val="FootnoteReference"/>
        </w:rPr>
        <w:footnoteReference w:id="230"/>
      </w:r>
      <w:r w:rsidR="00EA7C16">
        <w:t xml:space="preserve"> </w:t>
      </w:r>
      <w:r w:rsidR="001A45E7">
        <w:t xml:space="preserve">By design, </w:t>
      </w:r>
      <w:r w:rsidR="001B664E">
        <w:t>the project was linked to SDG17 and SDG16, with a specific focus on targets 17.</w:t>
      </w:r>
      <w:r w:rsidR="00D816FA">
        <w:t xml:space="preserve">1; 17.3; 17.9; 17.14; and 16.6. </w:t>
      </w:r>
      <w:r w:rsidR="00644C11">
        <w:t>It is significant, therefor</w:t>
      </w:r>
      <w:r w:rsidR="00480AC2">
        <w:t>e, that all project activities were open to participation by all interested par</w:t>
      </w:r>
      <w:r w:rsidR="00FE103E">
        <w:t xml:space="preserve">ties at the level of </w:t>
      </w:r>
      <w:r w:rsidR="009F3A62">
        <w:t>country governments; the private sector</w:t>
      </w:r>
      <w:r w:rsidR="00D40C33">
        <w:t>;</w:t>
      </w:r>
      <w:r w:rsidR="00255F64">
        <w:t xml:space="preserve"> </w:t>
      </w:r>
      <w:r w:rsidR="00D40C33">
        <w:t>civil society organisations</w:t>
      </w:r>
      <w:r w:rsidR="00255F64">
        <w:t>; and development partners</w:t>
      </w:r>
      <w:r w:rsidR="00D40C33">
        <w:t xml:space="preserve"> within the target and non-project countries.</w:t>
      </w:r>
      <w:r w:rsidR="00255F64">
        <w:rPr>
          <w:rStyle w:val="FootnoteReference"/>
        </w:rPr>
        <w:footnoteReference w:id="231"/>
      </w:r>
      <w:r w:rsidR="00D40C33">
        <w:t xml:space="preserve"> </w:t>
      </w:r>
    </w:p>
    <w:p w14:paraId="6C2EDB4D" w14:textId="51B69886" w:rsidR="007F147D" w:rsidRDefault="00970816" w:rsidP="00394E49">
      <w:pPr>
        <w:pStyle w:val="BodyText"/>
      </w:pPr>
      <w:r>
        <w:t xml:space="preserve">Key informant consultations </w:t>
      </w:r>
      <w:r w:rsidR="00E12A77">
        <w:t xml:space="preserve">across </w:t>
      </w:r>
      <w:r w:rsidR="003D7D7C">
        <w:t xml:space="preserve">all categories of project </w:t>
      </w:r>
      <w:r>
        <w:t>sta</w:t>
      </w:r>
      <w:r w:rsidR="00F1262C">
        <w:t xml:space="preserve">keholders, including the target beneficiaries, indicated that there were no barriers to participation in project activities. </w:t>
      </w:r>
      <w:r w:rsidR="00DE5267">
        <w:t>In theory, theref</w:t>
      </w:r>
      <w:r w:rsidR="00AD34A6">
        <w:t xml:space="preserve">ore, the INFF project supported gender equality; </w:t>
      </w:r>
      <w:r w:rsidR="00AA2039">
        <w:t>a rights-based approach</w:t>
      </w:r>
      <w:r w:rsidR="00D554AB">
        <w:t>; and disability inclusion.</w:t>
      </w:r>
      <w:r w:rsidR="008925BD">
        <w:t xml:space="preserve"> </w:t>
      </w:r>
      <w:r w:rsidR="001929A6">
        <w:t>T</w:t>
      </w:r>
      <w:r w:rsidR="00FA2989">
        <w:t>he directives for developing guidance material on the INFF methodology</w:t>
      </w:r>
      <w:r w:rsidR="009B7902">
        <w:t xml:space="preserve"> </w:t>
      </w:r>
      <w:r w:rsidR="004C6BEC">
        <w:t xml:space="preserve">specified the </w:t>
      </w:r>
      <w:r w:rsidR="009B7902">
        <w:t xml:space="preserve">need </w:t>
      </w:r>
      <w:r w:rsidR="002502FE">
        <w:t>to</w:t>
      </w:r>
      <w:r w:rsidR="009B7902">
        <w:t xml:space="preserve"> mainstream </w:t>
      </w:r>
      <w:r w:rsidR="005D13C5">
        <w:t xml:space="preserve">considerations for </w:t>
      </w:r>
      <w:r w:rsidR="00FB422B">
        <w:t xml:space="preserve">gender equality and LNOB </w:t>
      </w:r>
      <w:r w:rsidR="005D13C5">
        <w:t xml:space="preserve">as </w:t>
      </w:r>
      <w:r w:rsidR="001929A6">
        <w:t xml:space="preserve">‘key cross-cutting </w:t>
      </w:r>
      <w:r w:rsidR="00FB422B">
        <w:t>principl</w:t>
      </w:r>
      <w:r w:rsidR="005D13C5">
        <w:t>es</w:t>
      </w:r>
      <w:r w:rsidR="009176FF">
        <w:t>,</w:t>
      </w:r>
      <w:r w:rsidR="001929A6">
        <w:t>’</w:t>
      </w:r>
      <w:r w:rsidR="00A42E77">
        <w:t xml:space="preserve"> </w:t>
      </w:r>
      <w:r w:rsidR="00376C76">
        <w:t>to inform assessments</w:t>
      </w:r>
      <w:r w:rsidR="005219F7">
        <w:t>/ diagnostics and financing strategy decisions</w:t>
      </w:r>
      <w:r w:rsidR="00CA29E0">
        <w:t>.</w:t>
      </w:r>
      <w:r w:rsidR="00A1753D">
        <w:rPr>
          <w:rStyle w:val="FootnoteReference"/>
        </w:rPr>
        <w:footnoteReference w:id="232"/>
      </w:r>
      <w:r w:rsidR="002E0B6D">
        <w:t xml:space="preserve"> </w:t>
      </w:r>
      <w:r w:rsidR="00E54CDD">
        <w:t>By</w:t>
      </w:r>
      <w:r w:rsidR="00C4505D">
        <w:t xml:space="preserve"> </w:t>
      </w:r>
      <w:r w:rsidR="00E54CDD">
        <w:t>design, the project was also informed by the recognition that</w:t>
      </w:r>
      <w:r w:rsidR="00E41AEF">
        <w:t xml:space="preserve"> </w:t>
      </w:r>
      <w:r w:rsidR="002C40A2">
        <w:t>a</w:t>
      </w:r>
      <w:r w:rsidR="00E41AEF">
        <w:t xml:space="preserve"> good practice for </w:t>
      </w:r>
      <w:r w:rsidR="00E71283">
        <w:t>INFF</w:t>
      </w:r>
      <w:r w:rsidR="00B15537">
        <w:t xml:space="preserve"> development </w:t>
      </w:r>
      <w:r w:rsidR="00B15537">
        <w:t xml:space="preserve">is </w:t>
      </w:r>
      <w:r w:rsidR="00FC73CE">
        <w:t>the alignment of financing policies with national priorities and the SDGs, to facilitate the LNOB principles and promote gender equality</w:t>
      </w:r>
      <w:r w:rsidR="006509B3">
        <w:t>, including the empowerment of women and girls</w:t>
      </w:r>
      <w:r w:rsidR="00FC73CE">
        <w:t>.</w:t>
      </w:r>
      <w:r w:rsidR="00FC73CE">
        <w:rPr>
          <w:rStyle w:val="FootnoteReference"/>
        </w:rPr>
        <w:footnoteReference w:id="233"/>
      </w:r>
      <w:r w:rsidR="002E0B6D">
        <w:t>The evaluation notes</w:t>
      </w:r>
      <w:r w:rsidR="00AA30F8">
        <w:t>, therefore,</w:t>
      </w:r>
      <w:r w:rsidR="002E0B6D">
        <w:t xml:space="preserve"> that </w:t>
      </w:r>
      <w:r w:rsidR="00637252">
        <w:t>resources and tools that were used during the project</w:t>
      </w:r>
      <w:r w:rsidR="00FB55B6">
        <w:t xml:space="preserve"> </w:t>
      </w:r>
      <w:r w:rsidR="00996CFF">
        <w:t>were informed by considerations on gender</w:t>
      </w:r>
      <w:r w:rsidR="00AF5A90">
        <w:t xml:space="preserve"> equality; human rights; and the environment. </w:t>
      </w:r>
      <w:r w:rsidR="00232728">
        <w:t>There was also evidence of specific project activities</w:t>
      </w:r>
      <w:r w:rsidR="00F171A9">
        <w:t xml:space="preserve"> </w:t>
      </w:r>
      <w:r w:rsidR="00492256">
        <w:t xml:space="preserve">that </w:t>
      </w:r>
      <w:r w:rsidR="00B0183B">
        <w:t xml:space="preserve">facilitated discussion on </w:t>
      </w:r>
      <w:r w:rsidR="00492256">
        <w:t xml:space="preserve">at least one of </w:t>
      </w:r>
      <w:r w:rsidR="00B0183B">
        <w:t>the cross-cutting themes.</w:t>
      </w:r>
      <w:r w:rsidR="00781A5D">
        <w:t xml:space="preserve"> </w:t>
      </w:r>
    </w:p>
    <w:p w14:paraId="2B98A245" w14:textId="106FE73D" w:rsidR="00D9077D" w:rsidRDefault="007F147D" w:rsidP="00394E49">
      <w:pPr>
        <w:pStyle w:val="BodyText"/>
      </w:pPr>
      <w:r>
        <w:t xml:space="preserve">In Zambia, for example, </w:t>
      </w:r>
      <w:r w:rsidR="003A4E00">
        <w:t xml:space="preserve">a collaboration between </w:t>
      </w:r>
      <w:r w:rsidR="00DA495D">
        <w:t>UN</w:t>
      </w:r>
      <w:r w:rsidR="003A4E00">
        <w:t>CTAD and UN</w:t>
      </w:r>
      <w:r w:rsidR="00DA495D">
        <w:t xml:space="preserve">ECA </w:t>
      </w:r>
      <w:r w:rsidR="003A4E00">
        <w:t xml:space="preserve">was used to engage </w:t>
      </w:r>
      <w:r w:rsidR="00AA76C0">
        <w:t>senior government officials</w:t>
      </w:r>
      <w:r w:rsidR="00916BCD">
        <w:rPr>
          <w:rStyle w:val="FootnoteReference"/>
        </w:rPr>
        <w:footnoteReference w:id="234"/>
      </w:r>
      <w:r w:rsidR="00AA76C0">
        <w:t xml:space="preserve"> </w:t>
      </w:r>
      <w:r w:rsidR="00301446">
        <w:t xml:space="preserve">and members of the PPP Council </w:t>
      </w:r>
      <w:r w:rsidR="00DE41F7">
        <w:t>in a high-level meeting</w:t>
      </w:r>
      <w:r w:rsidR="00E504BC">
        <w:t xml:space="preserve"> in February 2024</w:t>
      </w:r>
      <w:r w:rsidR="00F1242C">
        <w:t xml:space="preserve">. </w:t>
      </w:r>
      <w:r w:rsidR="00D61658">
        <w:t xml:space="preserve">A discussion </w:t>
      </w:r>
      <w:r w:rsidR="00F459CE">
        <w:t xml:space="preserve">on </w:t>
      </w:r>
      <w:r w:rsidR="00226481">
        <w:t xml:space="preserve">the gender dimension </w:t>
      </w:r>
      <w:r w:rsidR="00F459CE">
        <w:t xml:space="preserve">of </w:t>
      </w:r>
      <w:r w:rsidR="00226481">
        <w:t>PPP</w:t>
      </w:r>
      <w:r w:rsidR="00D61658">
        <w:t xml:space="preserve"> for infrastructure development </w:t>
      </w:r>
      <w:r w:rsidR="00F459CE">
        <w:t xml:space="preserve">contributed to </w:t>
      </w:r>
      <w:r w:rsidR="005B1CD4">
        <w:t xml:space="preserve">a recommendation for </w:t>
      </w:r>
      <w:r w:rsidR="00F459CE">
        <w:t>the in</w:t>
      </w:r>
      <w:r w:rsidR="005B1CD4">
        <w:t xml:space="preserve">corporation of </w:t>
      </w:r>
      <w:r w:rsidR="00F459CE">
        <w:t>gender in</w:t>
      </w:r>
      <w:r w:rsidR="005B1CD4">
        <w:t>to the PPP</w:t>
      </w:r>
      <w:r w:rsidR="00D9077D">
        <w:t xml:space="preserve"> for infrastructure development work portfolio.</w:t>
      </w:r>
    </w:p>
    <w:p w14:paraId="68120BB8" w14:textId="2513D0A3" w:rsidR="00C67EB4" w:rsidRDefault="00572FDB" w:rsidP="00394E49">
      <w:pPr>
        <w:pStyle w:val="BodyText"/>
      </w:pPr>
      <w:r>
        <w:t xml:space="preserve">The tools that are available through </w:t>
      </w:r>
      <w:r w:rsidR="00C67EB4">
        <w:rPr>
          <w:rFonts w:cs="Arial"/>
          <w:szCs w:val="20"/>
        </w:rPr>
        <w:t xml:space="preserve">the </w:t>
      </w:r>
      <w:hyperlink r:id="rId83" w:history="1">
        <w:r w:rsidR="00C67EB4" w:rsidRPr="00C82315">
          <w:rPr>
            <w:rStyle w:val="Hyperlink"/>
            <w:rFonts w:cs="Arial"/>
            <w:szCs w:val="20"/>
          </w:rPr>
          <w:t>Arab Financing for Development Gateway</w:t>
        </w:r>
      </w:hyperlink>
      <w:r w:rsidR="00DA42A4">
        <w:t xml:space="preserve"> </w:t>
      </w:r>
      <w:r w:rsidR="001E7409">
        <w:t xml:space="preserve">are used to conduct data-driven assessments that </w:t>
      </w:r>
      <w:r w:rsidR="00AB201C">
        <w:t>provide an in-depth analysis of development financing.</w:t>
      </w:r>
      <w:r w:rsidR="00AB201C">
        <w:rPr>
          <w:rStyle w:val="FootnoteReference"/>
        </w:rPr>
        <w:footnoteReference w:id="235"/>
      </w:r>
      <w:r w:rsidR="00465E2D">
        <w:t xml:space="preserve">As a contribution towards informed and strategic decision-making, </w:t>
      </w:r>
      <w:r w:rsidR="00D15D4B">
        <w:t>the t</w:t>
      </w:r>
      <w:r w:rsidR="00205CBF">
        <w:t xml:space="preserve">ools have been used to </w:t>
      </w:r>
      <w:r w:rsidR="00FC4C1A">
        <w:t xml:space="preserve">support </w:t>
      </w:r>
      <w:r w:rsidR="00205CBF">
        <w:t xml:space="preserve">gendered </w:t>
      </w:r>
      <w:r w:rsidR="008C1E53">
        <w:t xml:space="preserve">analyses </w:t>
      </w:r>
      <w:r w:rsidR="00FC4C1A">
        <w:t xml:space="preserve">in </w:t>
      </w:r>
      <w:r w:rsidR="001773F1">
        <w:t xml:space="preserve">target countries. </w:t>
      </w:r>
      <w:r w:rsidR="00636CBF">
        <w:t>T</w:t>
      </w:r>
      <w:r w:rsidR="001773F1">
        <w:t>he budgeting tool was used in Egypt</w:t>
      </w:r>
      <w:r w:rsidR="00636CBF">
        <w:t>, for example,</w:t>
      </w:r>
      <w:r w:rsidR="001773F1">
        <w:t xml:space="preserve"> to </w:t>
      </w:r>
      <w:r w:rsidR="00A352B9">
        <w:t xml:space="preserve">track the extent to which established budget lines contribute towards the SDGs. </w:t>
      </w:r>
      <w:r w:rsidR="00234C3B">
        <w:t>Th</w:t>
      </w:r>
      <w:r w:rsidR="00636CBF">
        <w:t>is</w:t>
      </w:r>
      <w:r w:rsidR="00234C3B">
        <w:t xml:space="preserve"> process also involved estimating the co</w:t>
      </w:r>
      <w:r w:rsidR="005333AB">
        <w:t xml:space="preserve">ntribution of women and the </w:t>
      </w:r>
      <w:r w:rsidR="002404A2">
        <w:t>socio-economic cost of violence against women.</w:t>
      </w:r>
    </w:p>
    <w:p w14:paraId="4E034123" w14:textId="61AEEA5A" w:rsidR="006B2324" w:rsidRDefault="00A70B75" w:rsidP="00394E49">
      <w:pPr>
        <w:pStyle w:val="BodyText"/>
      </w:pPr>
      <w:r>
        <w:t xml:space="preserve">There </w:t>
      </w:r>
      <w:r w:rsidR="0002335A">
        <w:t>has been</w:t>
      </w:r>
      <w:r w:rsidR="0015735E">
        <w:t xml:space="preserve"> limited e</w:t>
      </w:r>
      <w:r w:rsidR="0007034D">
        <w:t xml:space="preserve">vidence of </w:t>
      </w:r>
      <w:r w:rsidR="00365776">
        <w:t xml:space="preserve">project participation by </w:t>
      </w:r>
      <w:r w:rsidR="00E426E3">
        <w:t xml:space="preserve">persons with </w:t>
      </w:r>
      <w:r w:rsidR="00365776">
        <w:t>disabilities</w:t>
      </w:r>
      <w:r w:rsidR="0015735E">
        <w:t>.</w:t>
      </w:r>
      <w:r w:rsidR="0015735E">
        <w:rPr>
          <w:rStyle w:val="FootnoteReference"/>
        </w:rPr>
        <w:footnoteReference w:id="236"/>
      </w:r>
      <w:r w:rsidR="00A97DCA" w:rsidRPr="00763F77">
        <w:t>The evaluation acknowledges, however, that project par</w:t>
      </w:r>
      <w:r w:rsidR="00432D3F" w:rsidRPr="00763F77">
        <w:t xml:space="preserve">ticipants were nominated by their respective </w:t>
      </w:r>
      <w:r w:rsidR="00E1514B">
        <w:t>a</w:t>
      </w:r>
      <w:r w:rsidR="000C54B7">
        <w:t>gencies</w:t>
      </w:r>
      <w:r w:rsidR="00D73263" w:rsidRPr="00763F77">
        <w:t xml:space="preserve"> based on their specialised knowledge</w:t>
      </w:r>
      <w:r w:rsidR="00CE25FB" w:rsidRPr="00763F77">
        <w:t xml:space="preserve"> in development financing and/ or level of seniority. </w:t>
      </w:r>
      <w:r w:rsidR="00752A35" w:rsidRPr="00763F77">
        <w:t>O</w:t>
      </w:r>
      <w:r w:rsidR="0010191E" w:rsidRPr="00763F77">
        <w:t>ne Tier 2 executing</w:t>
      </w:r>
      <w:r w:rsidR="0010191E">
        <w:t xml:space="preserve"> entity </w:t>
      </w:r>
      <w:r w:rsidR="000C54B7">
        <w:t xml:space="preserve">has </w:t>
      </w:r>
      <w:r w:rsidR="0010191E">
        <w:t xml:space="preserve">indicated that </w:t>
      </w:r>
      <w:r w:rsidR="000B41CD">
        <w:t xml:space="preserve">all event registrants were </w:t>
      </w:r>
      <w:r w:rsidR="008044C4">
        <w:t>ask</w:t>
      </w:r>
      <w:r w:rsidR="000B41CD">
        <w:t xml:space="preserve">ed to indicate </w:t>
      </w:r>
      <w:r w:rsidR="008044C4">
        <w:t>whether they</w:t>
      </w:r>
      <w:r w:rsidR="00F10026">
        <w:t xml:space="preserve"> required speci</w:t>
      </w:r>
      <w:r w:rsidR="008044C4">
        <w:t xml:space="preserve">al </w:t>
      </w:r>
      <w:r w:rsidR="00F10026">
        <w:t xml:space="preserve">accommodation </w:t>
      </w:r>
      <w:r w:rsidR="00202049">
        <w:t>to facilitate their project participation</w:t>
      </w:r>
      <w:r w:rsidR="00F10026">
        <w:t>.</w:t>
      </w:r>
      <w:r w:rsidR="00763F77">
        <w:rPr>
          <w:rStyle w:val="FootnoteReference"/>
        </w:rPr>
        <w:footnoteReference w:id="237"/>
      </w:r>
      <w:r w:rsidR="00F10026">
        <w:t xml:space="preserve"> </w:t>
      </w:r>
      <w:r w:rsidR="00430F9D">
        <w:t>A</w:t>
      </w:r>
      <w:r w:rsidR="00283DC8">
        <w:t xml:space="preserve">n inherent element of the </w:t>
      </w:r>
      <w:r w:rsidR="006F2422">
        <w:lastRenderedPageBreak/>
        <w:t xml:space="preserve">PIERS </w:t>
      </w:r>
      <w:r w:rsidR="00B64AA7">
        <w:t xml:space="preserve">methodology </w:t>
      </w:r>
      <w:r w:rsidR="00283DC8">
        <w:t xml:space="preserve">involves </w:t>
      </w:r>
      <w:r w:rsidR="004F55A7">
        <w:t>evaluating and measuring project</w:t>
      </w:r>
      <w:r w:rsidR="00052BCC">
        <w:t>s</w:t>
      </w:r>
      <w:r w:rsidR="004F55A7">
        <w:t xml:space="preserve"> to ensure alignment with and contributions to the SDGs. </w:t>
      </w:r>
      <w:r w:rsidR="00747763">
        <w:t>As t</w:t>
      </w:r>
      <w:r w:rsidR="004F55A7">
        <w:t xml:space="preserve">his process </w:t>
      </w:r>
      <w:r w:rsidR="00747763">
        <w:t xml:space="preserve">includes stakeholder engagement, it is designed to </w:t>
      </w:r>
      <w:r w:rsidR="006B2324">
        <w:t xml:space="preserve">take </w:t>
      </w:r>
      <w:r w:rsidR="00A03FF7">
        <w:t xml:space="preserve">the needs of vulnerable </w:t>
      </w:r>
      <w:r w:rsidR="005D2C96">
        <w:t xml:space="preserve">groups into consideration </w:t>
      </w:r>
      <w:r w:rsidR="006B2324">
        <w:t>during the development/ refinement of infrastructure projects.</w:t>
      </w:r>
      <w:r w:rsidR="004430E8">
        <w:rPr>
          <w:rStyle w:val="FootnoteReference"/>
        </w:rPr>
        <w:footnoteReference w:id="238"/>
      </w:r>
    </w:p>
    <w:p w14:paraId="3472C5C5" w14:textId="77777777" w:rsidR="00D22B2D" w:rsidRDefault="003F24E5" w:rsidP="00394E49">
      <w:pPr>
        <w:pStyle w:val="BodyText"/>
      </w:pPr>
      <w:r>
        <w:t>While there has</w:t>
      </w:r>
      <w:r w:rsidR="00FA2BD7">
        <w:t xml:space="preserve"> been some</w:t>
      </w:r>
      <w:r>
        <w:t xml:space="preserve"> </w:t>
      </w:r>
      <w:r w:rsidR="00D97DF7">
        <w:t xml:space="preserve">evidence </w:t>
      </w:r>
      <w:r w:rsidR="00FA2BD7">
        <w:t>of the incorporati</w:t>
      </w:r>
      <w:r w:rsidR="00BA657A">
        <w:t xml:space="preserve">on </w:t>
      </w:r>
      <w:r w:rsidR="00FA2BD7">
        <w:t>of the focal cross-cutting themes</w:t>
      </w:r>
      <w:r w:rsidR="00BA657A">
        <w:t xml:space="preserve"> into project activities, </w:t>
      </w:r>
      <w:r w:rsidR="00A934D7">
        <w:t xml:space="preserve">they were not systematically integrated into the project design. </w:t>
      </w:r>
      <w:r w:rsidR="00C1070B">
        <w:t>T</w:t>
      </w:r>
      <w:r w:rsidR="005375B0">
        <w:t xml:space="preserve">he project theory of change/ results framework did not include any targets or indicators on </w:t>
      </w:r>
      <w:r w:rsidR="00061475">
        <w:t>gender. The</w:t>
      </w:r>
      <w:r w:rsidR="00C56526">
        <w:t xml:space="preserve">re was also no uniformity </w:t>
      </w:r>
      <w:r w:rsidR="00C1070B">
        <w:t>i</w:t>
      </w:r>
      <w:r w:rsidR="00C56526">
        <w:t xml:space="preserve">n the </w:t>
      </w:r>
      <w:r w:rsidR="00061475">
        <w:t>inclusion of gender d</w:t>
      </w:r>
      <w:r w:rsidR="009D7C0B">
        <w:t xml:space="preserve">isaggregated data during results monitoring </w:t>
      </w:r>
      <w:r w:rsidR="00FD1552">
        <w:t xml:space="preserve">(i.e. </w:t>
      </w:r>
      <w:r w:rsidR="004E4E1B">
        <w:t xml:space="preserve">gender disaggregated data was provided by selected entities, for </w:t>
      </w:r>
      <w:r w:rsidR="00834C53">
        <w:t xml:space="preserve">identified activities). </w:t>
      </w:r>
    </w:p>
    <w:p w14:paraId="778654C8" w14:textId="7C34F41C" w:rsidR="008F1FA1" w:rsidRPr="007908A8" w:rsidRDefault="008F1FA1" w:rsidP="00394E49">
      <w:pPr>
        <w:pStyle w:val="Heading2"/>
      </w:pPr>
      <w:bookmarkStart w:id="49" w:name="_Toc210730328"/>
      <w:r w:rsidRPr="007908A8">
        <w:t>Sustainability</w:t>
      </w:r>
      <w:bookmarkEnd w:id="49"/>
    </w:p>
    <w:p w14:paraId="38D53B2E" w14:textId="01ECA822" w:rsidR="00317E22" w:rsidRDefault="00D9768F" w:rsidP="00394E49">
      <w:pPr>
        <w:pStyle w:val="BodyText"/>
      </w:pPr>
      <w:r>
        <w:t xml:space="preserve">As a measure of project sustainability, the evaluation </w:t>
      </w:r>
      <w:r w:rsidR="00512E20">
        <w:t xml:space="preserve">was used to </w:t>
      </w:r>
      <w:r>
        <w:t>assess</w:t>
      </w:r>
      <w:r w:rsidR="00512E20">
        <w:t xml:space="preserve"> whether the </w:t>
      </w:r>
      <w:r w:rsidR="006E765C">
        <w:t xml:space="preserve">net benefits of the INFF project are expected to </w:t>
      </w:r>
      <w:r w:rsidR="00317E22">
        <w:t>continue beyond the project end</w:t>
      </w:r>
      <w:r w:rsidR="00E10358">
        <w:t>-</w:t>
      </w:r>
      <w:r w:rsidR="00317E22">
        <w:t xml:space="preserve">date. The results of the evaluation have </w:t>
      </w:r>
      <w:r w:rsidR="00440698">
        <w:t xml:space="preserve">shown that </w:t>
      </w:r>
      <w:r w:rsidR="00440698" w:rsidRPr="00116683">
        <w:rPr>
          <w:b/>
          <w:bCs/>
        </w:rPr>
        <w:t xml:space="preserve">there is scope for </w:t>
      </w:r>
      <w:r w:rsidR="00317E22" w:rsidRPr="00116683">
        <w:rPr>
          <w:b/>
          <w:bCs/>
        </w:rPr>
        <w:t>th</w:t>
      </w:r>
      <w:r w:rsidR="00440698" w:rsidRPr="00116683">
        <w:rPr>
          <w:b/>
          <w:bCs/>
        </w:rPr>
        <w:t>e sustainability of achieved project results</w:t>
      </w:r>
      <w:r w:rsidR="00317E22" w:rsidRPr="00116683">
        <w:rPr>
          <w:b/>
          <w:bCs/>
        </w:rPr>
        <w:t xml:space="preserve"> </w:t>
      </w:r>
      <w:r w:rsidR="009D3DDF" w:rsidRPr="00116683">
        <w:rPr>
          <w:b/>
          <w:bCs/>
        </w:rPr>
        <w:t xml:space="preserve">given the incorporation of sustainability planning into the project design. </w:t>
      </w:r>
      <w:r w:rsidR="00601428" w:rsidRPr="00116683">
        <w:rPr>
          <w:b/>
          <w:bCs/>
        </w:rPr>
        <w:t xml:space="preserve">As the project facilitated access to a </w:t>
      </w:r>
      <w:r w:rsidR="00222B24">
        <w:rPr>
          <w:b/>
          <w:bCs/>
        </w:rPr>
        <w:t xml:space="preserve">space </w:t>
      </w:r>
      <w:r w:rsidR="00531FEF" w:rsidRPr="00116683">
        <w:rPr>
          <w:b/>
          <w:bCs/>
        </w:rPr>
        <w:t xml:space="preserve">for </w:t>
      </w:r>
      <w:r w:rsidR="006321A6">
        <w:rPr>
          <w:b/>
          <w:bCs/>
        </w:rPr>
        <w:t>knowledge-exchange</w:t>
      </w:r>
      <w:r w:rsidR="00E256B1" w:rsidRPr="00116683">
        <w:rPr>
          <w:b/>
          <w:bCs/>
        </w:rPr>
        <w:t xml:space="preserve"> and peer-learning, target and non-</w:t>
      </w:r>
      <w:r w:rsidR="00DF6C35">
        <w:rPr>
          <w:b/>
          <w:bCs/>
        </w:rPr>
        <w:t xml:space="preserve">project </w:t>
      </w:r>
      <w:r w:rsidR="00E256B1" w:rsidRPr="00116683">
        <w:rPr>
          <w:b/>
          <w:bCs/>
        </w:rPr>
        <w:t xml:space="preserve">countries gained access to </w:t>
      </w:r>
      <w:r w:rsidR="0075604A" w:rsidRPr="00116683">
        <w:rPr>
          <w:b/>
          <w:bCs/>
        </w:rPr>
        <w:t xml:space="preserve">key </w:t>
      </w:r>
      <w:r w:rsidR="00531FEF" w:rsidRPr="00116683">
        <w:rPr>
          <w:b/>
          <w:bCs/>
        </w:rPr>
        <w:t>resources</w:t>
      </w:r>
      <w:r w:rsidR="0075604A" w:rsidRPr="00116683">
        <w:rPr>
          <w:b/>
          <w:bCs/>
        </w:rPr>
        <w:t xml:space="preserve"> and</w:t>
      </w:r>
      <w:r w:rsidR="00531FEF" w:rsidRPr="00116683">
        <w:rPr>
          <w:b/>
          <w:bCs/>
        </w:rPr>
        <w:t xml:space="preserve"> tools</w:t>
      </w:r>
      <w:r w:rsidR="0075604A" w:rsidRPr="00116683">
        <w:rPr>
          <w:b/>
          <w:bCs/>
        </w:rPr>
        <w:t xml:space="preserve"> that can be replicated</w:t>
      </w:r>
      <w:r w:rsidR="00DF6C35">
        <w:rPr>
          <w:b/>
          <w:bCs/>
        </w:rPr>
        <w:t xml:space="preserve"> and disseminated </w:t>
      </w:r>
      <w:r w:rsidR="0075604A" w:rsidRPr="00116683">
        <w:rPr>
          <w:b/>
          <w:bCs/>
        </w:rPr>
        <w:t xml:space="preserve">to inform </w:t>
      </w:r>
      <w:r w:rsidR="00593A86" w:rsidRPr="00116683">
        <w:rPr>
          <w:b/>
          <w:bCs/>
        </w:rPr>
        <w:t xml:space="preserve">INFF </w:t>
      </w:r>
      <w:r w:rsidR="00DF6C35">
        <w:rPr>
          <w:b/>
          <w:bCs/>
        </w:rPr>
        <w:t>development</w:t>
      </w:r>
      <w:r w:rsidR="00593A86" w:rsidRPr="00116683">
        <w:rPr>
          <w:b/>
          <w:bCs/>
        </w:rPr>
        <w:t xml:space="preserve">. </w:t>
      </w:r>
      <w:r w:rsidR="000C688A">
        <w:rPr>
          <w:b/>
          <w:bCs/>
        </w:rPr>
        <w:t>The</w:t>
      </w:r>
      <w:r w:rsidR="005C4B83" w:rsidRPr="00116683">
        <w:rPr>
          <w:b/>
          <w:bCs/>
        </w:rPr>
        <w:t xml:space="preserve"> </w:t>
      </w:r>
      <w:r w:rsidR="00DF6C35">
        <w:rPr>
          <w:b/>
          <w:bCs/>
        </w:rPr>
        <w:t xml:space="preserve">interface that was created by the project </w:t>
      </w:r>
      <w:r w:rsidR="003A6C5F" w:rsidRPr="00116683">
        <w:rPr>
          <w:b/>
          <w:bCs/>
        </w:rPr>
        <w:t>between UNCTs and individual countries</w:t>
      </w:r>
      <w:r w:rsidR="00546668" w:rsidRPr="00116683">
        <w:rPr>
          <w:b/>
          <w:bCs/>
        </w:rPr>
        <w:t xml:space="preserve"> </w:t>
      </w:r>
      <w:r w:rsidR="00DF6C35">
        <w:rPr>
          <w:b/>
          <w:bCs/>
        </w:rPr>
        <w:t xml:space="preserve">also </w:t>
      </w:r>
      <w:r w:rsidR="00546668" w:rsidRPr="00116683">
        <w:rPr>
          <w:b/>
          <w:bCs/>
        </w:rPr>
        <w:t>allow</w:t>
      </w:r>
      <w:r w:rsidR="000C688A">
        <w:rPr>
          <w:b/>
          <w:bCs/>
        </w:rPr>
        <w:t>s</w:t>
      </w:r>
      <w:r w:rsidR="00546668" w:rsidRPr="00116683">
        <w:rPr>
          <w:b/>
          <w:bCs/>
        </w:rPr>
        <w:t xml:space="preserve"> for further collaboration</w:t>
      </w:r>
      <w:r w:rsidR="000C688A">
        <w:rPr>
          <w:b/>
          <w:bCs/>
        </w:rPr>
        <w:t>,</w:t>
      </w:r>
      <w:r w:rsidR="00596822">
        <w:rPr>
          <w:b/>
          <w:bCs/>
        </w:rPr>
        <w:t xml:space="preserve"> including </w:t>
      </w:r>
      <w:r w:rsidR="00DF6C35">
        <w:rPr>
          <w:b/>
          <w:bCs/>
        </w:rPr>
        <w:t xml:space="preserve">the development of </w:t>
      </w:r>
      <w:r w:rsidR="00596822" w:rsidRPr="00116683">
        <w:rPr>
          <w:b/>
          <w:bCs/>
        </w:rPr>
        <w:t>contextualised guidance material</w:t>
      </w:r>
      <w:r w:rsidR="00DF6C35">
        <w:rPr>
          <w:b/>
          <w:bCs/>
        </w:rPr>
        <w:t xml:space="preserve"> for individual countries</w:t>
      </w:r>
      <w:r w:rsidR="00596822">
        <w:rPr>
          <w:b/>
          <w:bCs/>
        </w:rPr>
        <w:t>.</w:t>
      </w:r>
      <w:r w:rsidR="00DF6C35">
        <w:rPr>
          <w:b/>
          <w:bCs/>
        </w:rPr>
        <w:t xml:space="preserve"> Significantly, however, a </w:t>
      </w:r>
      <w:r w:rsidR="004E4ABD" w:rsidRPr="00116683">
        <w:rPr>
          <w:b/>
          <w:bCs/>
        </w:rPr>
        <w:t>central element of th</w:t>
      </w:r>
      <w:r w:rsidR="00574F89">
        <w:rPr>
          <w:b/>
          <w:bCs/>
        </w:rPr>
        <w:t xml:space="preserve">e collaborative process </w:t>
      </w:r>
      <w:r w:rsidR="00DF6C35">
        <w:rPr>
          <w:b/>
          <w:bCs/>
        </w:rPr>
        <w:t xml:space="preserve">will be </w:t>
      </w:r>
      <w:r w:rsidR="004E4ABD" w:rsidRPr="00116683">
        <w:rPr>
          <w:b/>
          <w:bCs/>
        </w:rPr>
        <w:t>the national prioritisation of sustainable development financing</w:t>
      </w:r>
      <w:r w:rsidR="00116683" w:rsidRPr="00116683">
        <w:rPr>
          <w:b/>
          <w:bCs/>
        </w:rPr>
        <w:t xml:space="preserve">, with emphasis on the </w:t>
      </w:r>
      <w:r w:rsidR="003D403D">
        <w:rPr>
          <w:b/>
          <w:bCs/>
        </w:rPr>
        <w:t xml:space="preserve">uptake </w:t>
      </w:r>
      <w:r w:rsidR="00116683" w:rsidRPr="00116683">
        <w:rPr>
          <w:b/>
          <w:bCs/>
        </w:rPr>
        <w:t>of the INFF methodology.</w:t>
      </w:r>
      <w:r w:rsidR="00593A86">
        <w:t xml:space="preserve"> </w:t>
      </w:r>
    </w:p>
    <w:p w14:paraId="4F5AFFF3" w14:textId="1FC35E00" w:rsidR="004C7A01" w:rsidRDefault="00B66294" w:rsidP="00394E49">
      <w:pPr>
        <w:pStyle w:val="BodyText"/>
      </w:pPr>
      <w:r w:rsidRPr="00BE70EF">
        <w:rPr>
          <w:b/>
          <w:bCs/>
        </w:rPr>
        <w:t>Finding 1</w:t>
      </w:r>
      <w:r w:rsidR="00A11B39">
        <w:rPr>
          <w:b/>
          <w:bCs/>
        </w:rPr>
        <w:t>4</w:t>
      </w:r>
      <w:r w:rsidRPr="00BE70EF">
        <w:rPr>
          <w:b/>
          <w:bCs/>
        </w:rPr>
        <w:t xml:space="preserve">: </w:t>
      </w:r>
      <w:r w:rsidR="00EE69EF" w:rsidRPr="000D4A0C">
        <w:t xml:space="preserve">The incorporation of sustainability planning into the project design has created scope for </w:t>
      </w:r>
      <w:r w:rsidR="00AC2CBA">
        <w:t>the</w:t>
      </w:r>
      <w:r w:rsidR="00EE69EF" w:rsidRPr="000D4A0C">
        <w:t xml:space="preserve"> </w:t>
      </w:r>
      <w:r w:rsidR="004C7A01">
        <w:t xml:space="preserve">replication of the INFF methodology in non-project </w:t>
      </w:r>
      <w:r w:rsidR="004C7A01">
        <w:t>countries</w:t>
      </w:r>
      <w:r w:rsidR="00D100B5">
        <w:t xml:space="preserve"> </w:t>
      </w:r>
      <w:r w:rsidR="00D100B5" w:rsidRPr="000D4A0C">
        <w:t xml:space="preserve">beyond the project </w:t>
      </w:r>
      <w:r w:rsidR="00D100B5">
        <w:t>timeframe</w:t>
      </w:r>
      <w:r w:rsidR="00D100B5" w:rsidRPr="000D4A0C">
        <w:t>.</w:t>
      </w:r>
      <w:r w:rsidR="00D100B5">
        <w:t xml:space="preserve"> </w:t>
      </w:r>
      <w:r w:rsidR="00D100B5" w:rsidRPr="000D4A0C">
        <w:t>INFF implementation</w:t>
      </w:r>
      <w:r w:rsidR="00D100B5">
        <w:t xml:space="preserve"> </w:t>
      </w:r>
      <w:r w:rsidR="00D100B5" w:rsidRPr="000D4A0C">
        <w:t>will be dependent, however,</w:t>
      </w:r>
      <w:r w:rsidR="00D100B5">
        <w:t xml:space="preserve"> on the </w:t>
      </w:r>
      <w:r w:rsidR="00D100B5" w:rsidRPr="000D4A0C">
        <w:t>prioritisation o</w:t>
      </w:r>
      <w:r w:rsidR="00D100B5">
        <w:t xml:space="preserve">f uptake by individual country governments and their capacity to </w:t>
      </w:r>
      <w:r w:rsidR="006D075A">
        <w:t>facilitate the process</w:t>
      </w:r>
      <w:r w:rsidR="00D100B5">
        <w:t>.</w:t>
      </w:r>
    </w:p>
    <w:p w14:paraId="65D033F0" w14:textId="7DD3FAA9" w:rsidR="00287D97" w:rsidRPr="00ED7433" w:rsidRDefault="00D76606" w:rsidP="00394E49">
      <w:pPr>
        <w:pStyle w:val="BodyText"/>
      </w:pPr>
      <w:r>
        <w:t xml:space="preserve">By </w:t>
      </w:r>
      <w:r w:rsidR="006F5116">
        <w:t>design, the INFF project was informed by considerations for sustainability planning</w:t>
      </w:r>
      <w:r w:rsidR="0083254A">
        <w:t xml:space="preserve"> to allow </w:t>
      </w:r>
      <w:r w:rsidR="00447F36">
        <w:t>target countries, in particular, to build on achieved results. The</w:t>
      </w:r>
      <w:r w:rsidR="00B739AD">
        <w:t xml:space="preserve"> initial selection of </w:t>
      </w:r>
      <w:r w:rsidR="00A326CE">
        <w:t xml:space="preserve">target </w:t>
      </w:r>
      <w:r w:rsidR="00B739AD">
        <w:t xml:space="preserve">countries </w:t>
      </w:r>
      <w:r w:rsidR="001D37AB" w:rsidRPr="00ED7433">
        <w:t xml:space="preserve">prioritised countries that were already involved in the application of the INFF methodology to their national contexts. </w:t>
      </w:r>
      <w:r w:rsidR="00B96B57" w:rsidRPr="00ED7433">
        <w:t xml:space="preserve">In combination with the country selection </w:t>
      </w:r>
      <w:r w:rsidR="00A44900" w:rsidRPr="00ED7433">
        <w:t>criteria for the project,</w:t>
      </w:r>
      <w:r w:rsidR="00A44900" w:rsidRPr="00ED7433">
        <w:rPr>
          <w:rStyle w:val="FootnoteReference"/>
        </w:rPr>
        <w:footnoteReference w:id="239"/>
      </w:r>
      <w:r w:rsidR="00A44900" w:rsidRPr="00ED7433">
        <w:t xml:space="preserve"> </w:t>
      </w:r>
      <w:r w:rsidR="00EA65A8" w:rsidRPr="00ED7433">
        <w:t>t</w:t>
      </w:r>
      <w:r w:rsidR="00B5374B" w:rsidRPr="00ED7433">
        <w:t>his c</w:t>
      </w:r>
      <w:r w:rsidR="00B96B57" w:rsidRPr="00ED7433">
        <w:t xml:space="preserve">onditionality </w:t>
      </w:r>
      <w:r w:rsidR="00B5374B" w:rsidRPr="00ED7433">
        <w:t xml:space="preserve">was </w:t>
      </w:r>
      <w:r w:rsidR="00EA65A8" w:rsidRPr="00ED7433">
        <w:t xml:space="preserve">used to </w:t>
      </w:r>
      <w:r w:rsidR="00287D97" w:rsidRPr="00ED7433">
        <w:t xml:space="preserve">engage countries that were </w:t>
      </w:r>
      <w:r w:rsidR="002A7C28" w:rsidRPr="00ED7433">
        <w:t xml:space="preserve">predisposed to </w:t>
      </w:r>
      <w:r w:rsidR="00287D97" w:rsidRPr="00ED7433">
        <w:t xml:space="preserve">implement the INFF </w:t>
      </w:r>
      <w:r w:rsidR="001C3A55">
        <w:t>b</w:t>
      </w:r>
      <w:r w:rsidR="00F05FBC">
        <w:t>uilding blocks</w:t>
      </w:r>
      <w:r w:rsidR="00E36007" w:rsidRPr="00ED7433">
        <w:t xml:space="preserve"> post-project.</w:t>
      </w:r>
      <w:r w:rsidR="00287D97" w:rsidRPr="00ED7433">
        <w:t xml:space="preserve"> </w:t>
      </w:r>
      <w:r w:rsidR="00F17C1E" w:rsidRPr="00ED7433">
        <w:t>As a contribution towards</w:t>
      </w:r>
      <w:r w:rsidR="00AE151E" w:rsidRPr="00ED7433">
        <w:t xml:space="preserve"> this process, project implementation </w:t>
      </w:r>
      <w:r w:rsidR="00F17C1E" w:rsidRPr="00ED7433">
        <w:t xml:space="preserve">provided strong support for </w:t>
      </w:r>
      <w:r w:rsidR="00080A94" w:rsidRPr="00ED7433">
        <w:t>capacity-building</w:t>
      </w:r>
      <w:r w:rsidR="00476684" w:rsidRPr="00ED7433">
        <w:t xml:space="preserve"> for </w:t>
      </w:r>
      <w:r w:rsidR="00C12B57" w:rsidRPr="00ED7433">
        <w:t>key decision-makers in development financing at the national level, as well as other relevant stakeholder</w:t>
      </w:r>
      <w:r w:rsidR="00BB6AAB">
        <w:t>s</w:t>
      </w:r>
      <w:r w:rsidR="00C12B57" w:rsidRPr="00ED7433">
        <w:t xml:space="preserve">; increased </w:t>
      </w:r>
      <w:r w:rsidR="00DB3D31" w:rsidRPr="00ED7433">
        <w:t>access to resources and tools on the INFF</w:t>
      </w:r>
      <w:r w:rsidR="00C12B57" w:rsidRPr="00ED7433">
        <w:t xml:space="preserve"> methodology; </w:t>
      </w:r>
      <w:r w:rsidR="00507C50" w:rsidRPr="00ED7433">
        <w:t>training of trainers</w:t>
      </w:r>
      <w:r w:rsidR="00DB3D31" w:rsidRPr="00ED7433">
        <w:t>;</w:t>
      </w:r>
      <w:r w:rsidR="00507C50" w:rsidRPr="00ED7433">
        <w:t xml:space="preserve"> and the creation of platforms and opportunities for </w:t>
      </w:r>
      <w:r w:rsidR="006321A6">
        <w:t>knowledge-exchange</w:t>
      </w:r>
      <w:r w:rsidR="00507C50" w:rsidRPr="00ED7433">
        <w:t xml:space="preserve">; peer-learning; </w:t>
      </w:r>
      <w:r w:rsidR="007B5577" w:rsidRPr="00ED7433">
        <w:t>and the sharing of experiences and best practices.</w:t>
      </w:r>
      <w:r w:rsidR="00694832" w:rsidRPr="00ED7433">
        <w:rPr>
          <w:rStyle w:val="FootnoteReference"/>
        </w:rPr>
        <w:footnoteReference w:id="240"/>
      </w:r>
      <w:r w:rsidR="00EF5516" w:rsidRPr="00ED7433">
        <w:t xml:space="preserve"> </w:t>
      </w:r>
      <w:r w:rsidR="003B0D2D" w:rsidRPr="00ED7433">
        <w:t xml:space="preserve">In line with this approach, one of the main outputs of the project has been </w:t>
      </w:r>
      <w:r w:rsidR="005A430A" w:rsidRPr="00ED7433">
        <w:t xml:space="preserve">a </w:t>
      </w:r>
      <w:r w:rsidR="005A430A" w:rsidRPr="00ED7433">
        <w:rPr>
          <w:i/>
          <w:iCs/>
        </w:rPr>
        <w:t>Compendium of Experiences</w:t>
      </w:r>
      <w:r w:rsidR="005A430A" w:rsidRPr="00ED7433">
        <w:t>,</w:t>
      </w:r>
      <w:r w:rsidR="008D1C29" w:rsidRPr="00ED7433">
        <w:rPr>
          <w:rStyle w:val="FootnoteReference"/>
        </w:rPr>
        <w:footnoteReference w:id="241"/>
      </w:r>
      <w:r w:rsidR="005A430A" w:rsidRPr="00ED7433">
        <w:t xml:space="preserve"> which </w:t>
      </w:r>
      <w:r w:rsidR="00694832" w:rsidRPr="00ED7433">
        <w:t>has focused on the design and implementation of INFFs and provides actionable recommendations for policy uptake at the national level.</w:t>
      </w:r>
    </w:p>
    <w:p w14:paraId="659013AD" w14:textId="6209905C" w:rsidR="000D6F72" w:rsidRPr="00ED7433" w:rsidRDefault="004C1BCC" w:rsidP="00394E49">
      <w:pPr>
        <w:pStyle w:val="BodyText"/>
      </w:pPr>
      <w:r w:rsidRPr="00ED7433">
        <w:t xml:space="preserve">To further support results sustainability, </w:t>
      </w:r>
      <w:r w:rsidR="00560EDF" w:rsidRPr="00ED7433">
        <w:t>post</w:t>
      </w:r>
      <w:r w:rsidR="00E15A2C" w:rsidRPr="00ED7433">
        <w:t xml:space="preserve">-project activities have included a </w:t>
      </w:r>
      <w:r w:rsidR="00015D4F" w:rsidRPr="00ED7433">
        <w:t xml:space="preserve">parallel </w:t>
      </w:r>
      <w:r w:rsidR="00E15A2C" w:rsidRPr="00ED7433">
        <w:t>study on the scalability of the tools and resources that were used during p</w:t>
      </w:r>
      <w:r w:rsidR="00A9674B" w:rsidRPr="00ED7433">
        <w:t>roject implementation</w:t>
      </w:r>
      <w:r w:rsidR="00E15A2C" w:rsidRPr="00ED7433">
        <w:t>.</w:t>
      </w:r>
      <w:r w:rsidR="00051D43" w:rsidRPr="00ED7433">
        <w:rPr>
          <w:rStyle w:val="FootnoteReference"/>
        </w:rPr>
        <w:footnoteReference w:id="242"/>
      </w:r>
      <w:r w:rsidR="00E15A2C" w:rsidRPr="00ED7433">
        <w:t xml:space="preserve"> </w:t>
      </w:r>
      <w:r w:rsidR="00AF6D4C" w:rsidRPr="00ED7433">
        <w:t>Th</w:t>
      </w:r>
      <w:r w:rsidR="0071337F" w:rsidRPr="00ED7433">
        <w:t>e s</w:t>
      </w:r>
      <w:r w:rsidR="00720645" w:rsidRPr="00ED7433">
        <w:t>pecific focus of the study was on</w:t>
      </w:r>
      <w:r w:rsidR="0060017A" w:rsidRPr="00ED7433">
        <w:t xml:space="preserve"> the </w:t>
      </w:r>
      <w:r w:rsidR="00720645" w:rsidRPr="00ED7433">
        <w:t xml:space="preserve">replication of INFF project tools and resources </w:t>
      </w:r>
      <w:r w:rsidR="000D6F72" w:rsidRPr="00ED7433">
        <w:t xml:space="preserve">in non-project countries. </w:t>
      </w:r>
      <w:r w:rsidR="003149A2" w:rsidRPr="00ED7433">
        <w:t xml:space="preserve">It was equally informed by the </w:t>
      </w:r>
      <w:r w:rsidR="00341BE4" w:rsidRPr="00ED7433">
        <w:t>expectation</w:t>
      </w:r>
      <w:r w:rsidR="00E96946">
        <w:t>s</w:t>
      </w:r>
      <w:r w:rsidR="00341BE4" w:rsidRPr="00ED7433">
        <w:t xml:space="preserve"> for results sustainability that were incorporated into the project design.</w:t>
      </w:r>
      <w:r w:rsidR="00341BE4" w:rsidRPr="00ED7433">
        <w:rPr>
          <w:rStyle w:val="FootnoteReference"/>
        </w:rPr>
        <w:footnoteReference w:id="243"/>
      </w:r>
      <w:r w:rsidR="00341BE4" w:rsidRPr="00ED7433">
        <w:t xml:space="preserve"> </w:t>
      </w:r>
    </w:p>
    <w:p w14:paraId="05566D20" w14:textId="1E0E572F" w:rsidR="000D6F72" w:rsidRDefault="00685C57" w:rsidP="00394E49">
      <w:pPr>
        <w:pStyle w:val="BodyText"/>
      </w:pPr>
      <w:r>
        <w:t>R</w:t>
      </w:r>
      <w:r w:rsidR="009665BF" w:rsidRPr="00ED7433">
        <w:t xml:space="preserve">equests </w:t>
      </w:r>
      <w:r w:rsidRPr="00ED7433">
        <w:t xml:space="preserve">by target and non-project countries </w:t>
      </w:r>
      <w:r w:rsidR="009665BF" w:rsidRPr="00ED7433">
        <w:t xml:space="preserve">for technical assistance </w:t>
      </w:r>
      <w:r w:rsidR="00DA436B">
        <w:t xml:space="preserve">to </w:t>
      </w:r>
      <w:r w:rsidR="009F34E2">
        <w:t xml:space="preserve">support INFF </w:t>
      </w:r>
      <w:r w:rsidR="00DA436B">
        <w:t>develop</w:t>
      </w:r>
      <w:r w:rsidR="009F34E2">
        <w:t xml:space="preserve">ment have </w:t>
      </w:r>
      <w:r w:rsidR="00DA436B">
        <w:t>demonstrate</w:t>
      </w:r>
      <w:r w:rsidR="009F34E2">
        <w:t>d their</w:t>
      </w:r>
      <w:r w:rsidR="00A27E35" w:rsidRPr="00ED7433">
        <w:t xml:space="preserve"> interest in results sustainability.</w:t>
      </w:r>
      <w:r w:rsidR="00347BF3" w:rsidRPr="00ED7433">
        <w:t xml:space="preserve"> The availability of </w:t>
      </w:r>
      <w:r w:rsidR="0063570C" w:rsidRPr="00ED7433">
        <w:t>resources</w:t>
      </w:r>
      <w:r w:rsidR="004247DC" w:rsidRPr="00ED7433">
        <w:t xml:space="preserve">; tools; and acquired capacities </w:t>
      </w:r>
      <w:r w:rsidR="00325EFA">
        <w:t xml:space="preserve">on </w:t>
      </w:r>
      <w:r w:rsidR="00B457F2" w:rsidRPr="00ED7433">
        <w:t xml:space="preserve">the </w:t>
      </w:r>
      <w:r w:rsidR="004247DC" w:rsidRPr="00ED7433">
        <w:t xml:space="preserve">INFF </w:t>
      </w:r>
      <w:r w:rsidR="00B457F2" w:rsidRPr="00ED7433">
        <w:t>methodology</w:t>
      </w:r>
      <w:r w:rsidR="000435C0" w:rsidRPr="00ED7433">
        <w:t xml:space="preserve"> provides </w:t>
      </w:r>
      <w:r w:rsidR="000435C0" w:rsidRPr="00ED7433">
        <w:lastRenderedPageBreak/>
        <w:t>additional support for</w:t>
      </w:r>
      <w:r w:rsidR="00CA2E57">
        <w:t xml:space="preserve"> its contextual application</w:t>
      </w:r>
      <w:r w:rsidR="002A652B">
        <w:t>.</w:t>
      </w:r>
      <w:r w:rsidR="000435C0" w:rsidRPr="00ED7433">
        <w:t xml:space="preserve"> </w:t>
      </w:r>
      <w:r w:rsidR="00015D4F" w:rsidRPr="00ED7433">
        <w:t xml:space="preserve">Notably, the results of the parallel study on </w:t>
      </w:r>
      <w:r w:rsidR="00D2013C" w:rsidRPr="00ED7433">
        <w:t>scalability have indicated that the individual tools and resources have medium to high p</w:t>
      </w:r>
      <w:r w:rsidR="005C3789" w:rsidRPr="00ED7433">
        <w:t xml:space="preserve">otential </w:t>
      </w:r>
      <w:r w:rsidR="00D2013C" w:rsidRPr="00ED7433">
        <w:t>for replication</w:t>
      </w:r>
      <w:r w:rsidR="00F12E73" w:rsidRPr="00ED7433">
        <w:t xml:space="preserve"> (see Exhibit </w:t>
      </w:r>
      <w:r w:rsidR="00ED7433" w:rsidRPr="00ED7433">
        <w:t>1</w:t>
      </w:r>
      <w:r w:rsidR="00DA27BC">
        <w:t>9</w:t>
      </w:r>
      <w:r w:rsidR="00F12E73" w:rsidRPr="00ED7433">
        <w:t xml:space="preserve">). </w:t>
      </w:r>
      <w:r w:rsidR="0057407A">
        <w:t xml:space="preserve">A rating of medium or medium-high was applied to tools </w:t>
      </w:r>
      <w:r w:rsidR="00B54759">
        <w:t xml:space="preserve">that required </w:t>
      </w:r>
      <w:r w:rsidR="00A21A40">
        <w:t>more</w:t>
      </w:r>
      <w:r w:rsidR="00B54759">
        <w:t xml:space="preserve"> technical </w:t>
      </w:r>
      <w:r w:rsidR="00A21A40">
        <w:t xml:space="preserve">infrastructure or </w:t>
      </w:r>
      <w:r w:rsidR="003D2063">
        <w:t xml:space="preserve">contextual interpretation. </w:t>
      </w:r>
      <w:r w:rsidR="00543A61">
        <w:t>The need for technical infrastructure would be applicable to digitalised tools</w:t>
      </w:r>
      <w:r w:rsidR="00AA3120">
        <w:t>. Similarly, the n</w:t>
      </w:r>
      <w:r w:rsidR="00496C2A">
        <w:t xml:space="preserve">eed for </w:t>
      </w:r>
      <w:r w:rsidR="00AA3120">
        <w:t xml:space="preserve">contextual interpretation would be </w:t>
      </w:r>
      <w:r w:rsidR="006F0DF7">
        <w:t xml:space="preserve">applicable to the tools that require practical application (e.g. policy </w:t>
      </w:r>
      <w:r w:rsidR="00076794">
        <w:t>uptake).</w:t>
      </w:r>
      <w:r w:rsidR="00076794">
        <w:rPr>
          <w:rStyle w:val="FootnoteReference"/>
        </w:rPr>
        <w:footnoteReference w:id="244"/>
      </w:r>
      <w:r w:rsidR="00AF45C1">
        <w:t xml:space="preserve"> </w:t>
      </w:r>
    </w:p>
    <w:p w14:paraId="0FE797EB" w14:textId="44C94428" w:rsidR="00336772" w:rsidRDefault="00940FCF" w:rsidP="00394E49">
      <w:pPr>
        <w:pStyle w:val="BodyText"/>
      </w:pPr>
      <w:r>
        <w:t>Although there is a general potential for resu</w:t>
      </w:r>
      <w:r w:rsidR="00463321">
        <w:t xml:space="preserve">lts </w:t>
      </w:r>
      <w:r>
        <w:t>sustainability</w:t>
      </w:r>
      <w:r w:rsidR="00463321">
        <w:t xml:space="preserve">, </w:t>
      </w:r>
      <w:r w:rsidR="00E214E7">
        <w:t xml:space="preserve">a major factor in this process is the </w:t>
      </w:r>
      <w:r w:rsidR="007863EF">
        <w:t>national con</w:t>
      </w:r>
      <w:r w:rsidR="00F63200">
        <w:t>text</w:t>
      </w:r>
      <w:r w:rsidR="00E214E7">
        <w:t xml:space="preserve">. </w:t>
      </w:r>
      <w:r w:rsidR="000F3C8E">
        <w:t>Included among the selection criteria for target countries was a demonstrated interest in INFF implementation.</w:t>
      </w:r>
      <w:r w:rsidR="00F01587">
        <w:rPr>
          <w:rStyle w:val="FootnoteReference"/>
        </w:rPr>
        <w:footnoteReference w:id="245"/>
      </w:r>
      <w:r w:rsidR="000F3C8E">
        <w:t xml:space="preserve"> </w:t>
      </w:r>
      <w:r w:rsidR="00591D65">
        <w:t xml:space="preserve">While </w:t>
      </w:r>
      <w:r w:rsidR="00C12E46">
        <w:t>there is logic to th</w:t>
      </w:r>
      <w:r w:rsidR="0020470D">
        <w:t xml:space="preserve">e establishment of this </w:t>
      </w:r>
      <w:r w:rsidR="00C12E46">
        <w:t xml:space="preserve">criterion from a project perspective, </w:t>
      </w:r>
      <w:r w:rsidR="005D79A6">
        <w:t>interest in INFF implementation does not function in</w:t>
      </w:r>
      <w:r w:rsidR="00C12E46">
        <w:t xml:space="preserve"> is</w:t>
      </w:r>
      <w:r w:rsidR="005D79A6">
        <w:t xml:space="preserve">olation at the country level. </w:t>
      </w:r>
      <w:r w:rsidR="0023466F">
        <w:t xml:space="preserve">National sustainable development priorities </w:t>
      </w:r>
      <w:r w:rsidR="00E562C9">
        <w:t xml:space="preserve">for policy uptake are informed by several factors, including but not limited to, </w:t>
      </w:r>
      <w:r w:rsidR="00362B13">
        <w:t>resource availability</w:t>
      </w:r>
      <w:r w:rsidR="003C3AF8">
        <w:t xml:space="preserve">; socio-political environment; </w:t>
      </w:r>
      <w:r w:rsidR="006B01EC">
        <w:t xml:space="preserve">etc. </w:t>
      </w:r>
    </w:p>
    <w:p w14:paraId="60F8ECC0" w14:textId="753CA0C1" w:rsidR="00205354" w:rsidRDefault="00D82042" w:rsidP="00394E49">
      <w:pPr>
        <w:pStyle w:val="BodyText"/>
      </w:pPr>
      <w:r>
        <w:t xml:space="preserve">To illustrate, Samoa completed two DFAs </w:t>
      </w:r>
      <w:r w:rsidR="00311E0D">
        <w:t xml:space="preserve">before being </w:t>
      </w:r>
      <w:r w:rsidR="00492DF4">
        <w:t xml:space="preserve">selected </w:t>
      </w:r>
      <w:r w:rsidR="00311E0D">
        <w:t>as a replacement target country for Indonesia.</w:t>
      </w:r>
      <w:r w:rsidR="00311E0D" w:rsidRPr="00311E0D">
        <w:rPr>
          <w:rStyle w:val="FootnoteReference"/>
        </w:rPr>
        <w:t xml:space="preserve"> </w:t>
      </w:r>
      <w:r w:rsidR="00311E0D">
        <w:rPr>
          <w:rStyle w:val="FootnoteReference"/>
        </w:rPr>
        <w:footnoteReference w:id="246"/>
      </w:r>
      <w:r w:rsidR="00311E0D">
        <w:t xml:space="preserve"> </w:t>
      </w:r>
      <w:r w:rsidR="009A7C00">
        <w:t xml:space="preserve">The country </w:t>
      </w:r>
      <w:r w:rsidR="00E555F5">
        <w:t xml:space="preserve">had </w:t>
      </w:r>
      <w:r w:rsidR="009A7C00">
        <w:t xml:space="preserve">also </w:t>
      </w:r>
      <w:r w:rsidR="000221DD">
        <w:t xml:space="preserve">been </w:t>
      </w:r>
      <w:r>
        <w:t xml:space="preserve">under consideration for INFF funding </w:t>
      </w:r>
      <w:r w:rsidR="00055BB7">
        <w:t xml:space="preserve">under </w:t>
      </w:r>
      <w:r>
        <w:t>the UNDESA FINS project</w:t>
      </w:r>
      <w:r w:rsidR="009A7C00">
        <w:t>.</w:t>
      </w:r>
      <w:r w:rsidR="001D541A">
        <w:rPr>
          <w:rStyle w:val="FootnoteReference"/>
        </w:rPr>
        <w:footnoteReference w:id="247"/>
      </w:r>
      <w:r w:rsidR="001F7279">
        <w:t xml:space="preserve"> </w:t>
      </w:r>
      <w:r w:rsidR="0011291B">
        <w:t>A</w:t>
      </w:r>
      <w:r w:rsidR="00A809EE">
        <w:t xml:space="preserve"> major challenge to project implementation</w:t>
      </w:r>
      <w:r w:rsidR="00C878E1">
        <w:t xml:space="preserve"> in Samoa</w:t>
      </w:r>
      <w:r w:rsidR="00A809EE">
        <w:t xml:space="preserve">, however, was </w:t>
      </w:r>
      <w:r w:rsidR="0044143F">
        <w:t xml:space="preserve">the human resource limitation </w:t>
      </w:r>
      <w:r w:rsidR="00537943">
        <w:t>within the public sector</w:t>
      </w:r>
      <w:r w:rsidR="00040F66">
        <w:t>.</w:t>
      </w:r>
      <w:r w:rsidR="00055BB7">
        <w:rPr>
          <w:rStyle w:val="FootnoteReference"/>
        </w:rPr>
        <w:footnoteReference w:id="248"/>
      </w:r>
      <w:r w:rsidR="00040F66">
        <w:t xml:space="preserve"> The coordination of</w:t>
      </w:r>
      <w:r w:rsidR="00040F66" w:rsidRPr="00040F66">
        <w:t xml:space="preserve"> </w:t>
      </w:r>
      <w:r w:rsidR="00040F66">
        <w:t xml:space="preserve">multiple </w:t>
      </w:r>
      <w:r w:rsidR="004160FC">
        <w:t xml:space="preserve">capacity-building </w:t>
      </w:r>
      <w:r w:rsidR="00040F66">
        <w:t>projects for development agencies</w:t>
      </w:r>
      <w:r w:rsidR="004160FC">
        <w:t xml:space="preserve">, including bilateral donors; </w:t>
      </w:r>
      <w:r w:rsidR="00831FE9">
        <w:t xml:space="preserve">multilateral development banks; and UN </w:t>
      </w:r>
      <w:r w:rsidR="00E2511A">
        <w:t>Agencies</w:t>
      </w:r>
      <w:r w:rsidR="00895A20">
        <w:t xml:space="preserve"> was the responsibility of a small administrative team. </w:t>
      </w:r>
      <w:r w:rsidR="00537943">
        <w:t>Th</w:t>
      </w:r>
      <w:r w:rsidR="004E541C">
        <w:t xml:space="preserve">e </w:t>
      </w:r>
      <w:r w:rsidR="00EC587C">
        <w:t xml:space="preserve">late engagement of </w:t>
      </w:r>
      <w:r w:rsidR="004E541C">
        <w:t xml:space="preserve">Samoa </w:t>
      </w:r>
      <w:r w:rsidR="00EC587C">
        <w:t xml:space="preserve">by the project </w:t>
      </w:r>
      <w:r w:rsidR="00D82A6C">
        <w:t xml:space="preserve">was a further constraint to effective </w:t>
      </w:r>
      <w:r w:rsidR="00205354">
        <w:t xml:space="preserve">project implementation. </w:t>
      </w:r>
    </w:p>
    <w:p w14:paraId="5C948087" w14:textId="09381387" w:rsidR="00061B08" w:rsidRDefault="005400EC" w:rsidP="00394E49">
      <w:pPr>
        <w:pStyle w:val="BodyText"/>
      </w:pPr>
      <w:r>
        <w:t>A similar challenge emerged in Pakistan when the</w:t>
      </w:r>
      <w:r w:rsidR="00350854">
        <w:t xml:space="preserve">re was a change of leadership and staff turn-over at </w:t>
      </w:r>
      <w:r w:rsidR="00F97F74">
        <w:t>the Federal Board of Revenue (</w:t>
      </w:r>
      <w:r w:rsidR="00350854">
        <w:t>FBR</w:t>
      </w:r>
      <w:r w:rsidR="00F97F74">
        <w:t>)</w:t>
      </w:r>
      <w:r w:rsidR="00350854">
        <w:t xml:space="preserve">. UNESCAP was unable to advance discussions </w:t>
      </w:r>
      <w:r w:rsidR="000A02C8">
        <w:t xml:space="preserve">with FBR </w:t>
      </w:r>
      <w:r w:rsidR="00FB4C18">
        <w:t xml:space="preserve">given the reassignment of </w:t>
      </w:r>
      <w:r w:rsidR="000A02C8">
        <w:t xml:space="preserve">the </w:t>
      </w:r>
      <w:r w:rsidR="00B74939">
        <w:t>Director General</w:t>
      </w:r>
      <w:r w:rsidR="00683AC0">
        <w:t>,</w:t>
      </w:r>
      <w:r w:rsidR="000A02C8">
        <w:t xml:space="preserve"> who had requested technical assistance </w:t>
      </w:r>
      <w:r w:rsidR="00FB4C18">
        <w:t xml:space="preserve">to </w:t>
      </w:r>
      <w:r w:rsidR="00B82AEC">
        <w:t>digitalis</w:t>
      </w:r>
      <w:r w:rsidR="00FB4C18">
        <w:t xml:space="preserve">e </w:t>
      </w:r>
      <w:r w:rsidR="00B82AEC">
        <w:t>the tax system</w:t>
      </w:r>
      <w:r w:rsidR="00FB4C18">
        <w:t xml:space="preserve">. </w:t>
      </w:r>
      <w:r w:rsidR="00A27D66">
        <w:t xml:space="preserve">The project focal point at the working level </w:t>
      </w:r>
      <w:r w:rsidR="00B82AEC">
        <w:t xml:space="preserve">had </w:t>
      </w:r>
      <w:r w:rsidR="00A27D66">
        <w:t>also taken</w:t>
      </w:r>
      <w:r>
        <w:t xml:space="preserve"> a leave of absence from</w:t>
      </w:r>
      <w:r w:rsidR="00B070D1">
        <w:t xml:space="preserve"> the agency.</w:t>
      </w:r>
      <w:r w:rsidR="00A27D66">
        <w:t xml:space="preserve"> </w:t>
      </w:r>
      <w:r w:rsidR="00412052">
        <w:t>As th</w:t>
      </w:r>
      <w:r w:rsidR="00061B08">
        <w:t xml:space="preserve">ere was no support for the project by the </w:t>
      </w:r>
      <w:r w:rsidR="00412052">
        <w:t>new leadership</w:t>
      </w:r>
      <w:r w:rsidR="00061B08">
        <w:t xml:space="preserve">, </w:t>
      </w:r>
      <w:r w:rsidR="002F1A31">
        <w:t xml:space="preserve">the </w:t>
      </w:r>
      <w:r w:rsidR="006624C2">
        <w:t>finalisation and publication o</w:t>
      </w:r>
      <w:r w:rsidR="003D7DCE">
        <w:t xml:space="preserve">f guidance material was only possible </w:t>
      </w:r>
      <w:r w:rsidR="002A5346">
        <w:t xml:space="preserve">upon the return of the focal point to </w:t>
      </w:r>
      <w:r w:rsidR="00F5062C">
        <w:t>office</w:t>
      </w:r>
      <w:r w:rsidR="00CC3499">
        <w:t>. The focal point also</w:t>
      </w:r>
      <w:r w:rsidR="00DE5820">
        <w:t xml:space="preserve"> facilitated </w:t>
      </w:r>
      <w:r w:rsidR="0031191B">
        <w:t xml:space="preserve">a </w:t>
      </w:r>
      <w:r w:rsidR="00DE5820">
        <w:t xml:space="preserve">connection </w:t>
      </w:r>
      <w:r w:rsidR="0031191B">
        <w:t xml:space="preserve">between the project and </w:t>
      </w:r>
      <w:r w:rsidR="00DE5820">
        <w:t xml:space="preserve">the new </w:t>
      </w:r>
      <w:r w:rsidR="00B74939">
        <w:t>Director General</w:t>
      </w:r>
      <w:r w:rsidR="00F5062C">
        <w:t>.</w:t>
      </w:r>
    </w:p>
    <w:p w14:paraId="086D05F6" w14:textId="25DC035F" w:rsidR="008122A6" w:rsidRDefault="008122A6" w:rsidP="00394E49">
      <w:pPr>
        <w:pStyle w:val="BodyText"/>
      </w:pPr>
      <w:r>
        <w:t xml:space="preserve">In Colombia and Costa Rica, there was evidence of </w:t>
      </w:r>
      <w:r w:rsidR="003976EB">
        <w:t xml:space="preserve">the </w:t>
      </w:r>
      <w:r w:rsidR="00AF5FEF">
        <w:t xml:space="preserve">national </w:t>
      </w:r>
      <w:r w:rsidR="003976EB">
        <w:t>prioritisation of</w:t>
      </w:r>
      <w:r w:rsidR="00A039AD">
        <w:t xml:space="preserve"> development financing through domestic resource mobilisation, and a consequent </w:t>
      </w:r>
      <w:r w:rsidR="005B666E">
        <w:t>i</w:t>
      </w:r>
      <w:r w:rsidR="00AF5FEF">
        <w:t xml:space="preserve">nterest </w:t>
      </w:r>
      <w:r>
        <w:t>in the INFF methodology.</w:t>
      </w:r>
      <w:r w:rsidR="005B666E">
        <w:rPr>
          <w:rStyle w:val="FootnoteReference"/>
        </w:rPr>
        <w:footnoteReference w:id="249"/>
      </w:r>
      <w:r>
        <w:t xml:space="preserve"> </w:t>
      </w:r>
      <w:r w:rsidR="005E338D">
        <w:t xml:space="preserve">As </w:t>
      </w:r>
      <w:r w:rsidR="00D626D0">
        <w:t xml:space="preserve">a result of a change </w:t>
      </w:r>
      <w:r w:rsidR="00AF5FEF">
        <w:t>of</w:t>
      </w:r>
      <w:r w:rsidR="00D626D0">
        <w:t xml:space="preserve"> government in both countries, however, there were delays to </w:t>
      </w:r>
      <w:r w:rsidR="008339C4">
        <w:t xml:space="preserve">project implementation. </w:t>
      </w:r>
      <w:r w:rsidR="0001597C">
        <w:t xml:space="preserve">While project implementation was able to </w:t>
      </w:r>
      <w:r w:rsidR="00AD4C9D">
        <w:t xml:space="preserve">recover </w:t>
      </w:r>
      <w:r w:rsidR="0001597C">
        <w:t>in Costa Rica</w:t>
      </w:r>
      <w:r w:rsidR="00AD4C9D">
        <w:t xml:space="preserve">, </w:t>
      </w:r>
      <w:r w:rsidR="00B030C3">
        <w:t xml:space="preserve">allowing for </w:t>
      </w:r>
      <w:r w:rsidR="00AD4C9D">
        <w:t xml:space="preserve">timely completion, </w:t>
      </w:r>
      <w:r w:rsidR="005E43A4">
        <w:t xml:space="preserve">the new government in Colombia </w:t>
      </w:r>
      <w:r w:rsidR="00B36489">
        <w:t xml:space="preserve">was unable to </w:t>
      </w:r>
      <w:r w:rsidR="00B030C3">
        <w:t xml:space="preserve">identify the priority areas </w:t>
      </w:r>
      <w:r w:rsidR="00B52849">
        <w:t xml:space="preserve">for technical assistance </w:t>
      </w:r>
      <w:r w:rsidR="00B36489">
        <w:t xml:space="preserve">within the required timeframe. </w:t>
      </w:r>
      <w:r w:rsidR="00D75BDD">
        <w:t xml:space="preserve">This delay </w:t>
      </w:r>
      <w:r w:rsidR="008339C4">
        <w:t xml:space="preserve">led to </w:t>
      </w:r>
      <w:r w:rsidR="00AF7E1C">
        <w:t xml:space="preserve">the </w:t>
      </w:r>
      <w:r w:rsidR="00D75BDD">
        <w:t>e</w:t>
      </w:r>
      <w:r w:rsidR="00AF7E1C">
        <w:t>ngagement of</w:t>
      </w:r>
      <w:r w:rsidR="00D75BDD">
        <w:t xml:space="preserve"> the</w:t>
      </w:r>
      <w:r w:rsidR="00AF7E1C">
        <w:t xml:space="preserve"> Dominican Republic as a replacement target country</w:t>
      </w:r>
      <w:r w:rsidR="0088580C">
        <w:t xml:space="preserve"> for Colombia</w:t>
      </w:r>
      <w:r w:rsidR="00AF7E1C">
        <w:t>.</w:t>
      </w:r>
      <w:r w:rsidR="00906F13">
        <w:t xml:space="preserve"> The issue f</w:t>
      </w:r>
      <w:r w:rsidR="00A83EB9">
        <w:t>or</w:t>
      </w:r>
      <w:r w:rsidR="00906F13">
        <w:t xml:space="preserve"> consideration pertains to the </w:t>
      </w:r>
      <w:r w:rsidR="00911E0D">
        <w:t xml:space="preserve">likelihood </w:t>
      </w:r>
      <w:r w:rsidR="000B5DF3">
        <w:t>for</w:t>
      </w:r>
      <w:r w:rsidR="009367F4">
        <w:t xml:space="preserve"> consequent delays to national contributions to the SDGs</w:t>
      </w:r>
      <w:r w:rsidR="00911E0D">
        <w:t xml:space="preserve"> as a result of a change of administration.</w:t>
      </w:r>
      <w:r w:rsidR="00B16038">
        <w:t xml:space="preserve"> </w:t>
      </w:r>
      <w:r w:rsidR="00911E0D">
        <w:t>As thi</w:t>
      </w:r>
      <w:r w:rsidR="002105F3">
        <w:t>s</w:t>
      </w:r>
      <w:r w:rsidR="00911E0D">
        <w:t xml:space="preserve"> development </w:t>
      </w:r>
      <w:r w:rsidR="00B16038">
        <w:t>co</w:t>
      </w:r>
      <w:r w:rsidR="002105F3">
        <w:t xml:space="preserve">ntradicts </w:t>
      </w:r>
      <w:r w:rsidR="00B16038">
        <w:t xml:space="preserve"> the </w:t>
      </w:r>
      <w:r w:rsidR="00451913">
        <w:t xml:space="preserve">potential for accelerated contributions </w:t>
      </w:r>
      <w:r w:rsidR="002105F3">
        <w:t xml:space="preserve">through </w:t>
      </w:r>
      <w:r w:rsidR="00A83EB9">
        <w:t>an</w:t>
      </w:r>
      <w:r w:rsidR="00451913">
        <w:t xml:space="preserve"> INFF</w:t>
      </w:r>
      <w:r w:rsidR="002105F3">
        <w:t xml:space="preserve">, </w:t>
      </w:r>
      <w:r w:rsidR="00285646">
        <w:t>it is also a challenge to results sustainability</w:t>
      </w:r>
      <w:r w:rsidR="00451913">
        <w:t>.</w:t>
      </w:r>
      <w:r w:rsidR="00AF7E1C">
        <w:t xml:space="preserve">  </w:t>
      </w:r>
    </w:p>
    <w:p w14:paraId="1937FF92" w14:textId="77777777" w:rsidR="00703B72" w:rsidRDefault="00703B72" w:rsidP="00394E49">
      <w:pPr>
        <w:pStyle w:val="BodyText"/>
      </w:pPr>
    </w:p>
    <w:p w14:paraId="0EFA22FC" w14:textId="77777777" w:rsidR="00EF74AA" w:rsidRDefault="00EF74AA" w:rsidP="00394E49">
      <w:pPr>
        <w:pStyle w:val="BodyText"/>
        <w:sectPr w:rsidR="00EF74AA" w:rsidSect="00CE05E0">
          <w:type w:val="continuous"/>
          <w:pgSz w:w="12240" w:h="15840" w:code="1"/>
          <w:pgMar w:top="1276" w:right="1276" w:bottom="1843" w:left="1276" w:header="720" w:footer="720" w:gutter="0"/>
          <w:cols w:num="2" w:space="397"/>
          <w:docGrid w:linePitch="360"/>
        </w:sectPr>
      </w:pPr>
    </w:p>
    <w:p w14:paraId="5E302910" w14:textId="0BD707C9" w:rsidR="002E2A57" w:rsidRPr="00D12632" w:rsidRDefault="002E2A57" w:rsidP="00896E95">
      <w:pPr>
        <w:pStyle w:val="Caption"/>
        <w:spacing w:before="240"/>
      </w:pPr>
      <w:bookmarkStart w:id="50" w:name="_Toc210730352"/>
      <w:r w:rsidRPr="00D12632">
        <w:lastRenderedPageBreak/>
        <w:t xml:space="preserve">Exhibit </w:t>
      </w:r>
      <w:r w:rsidRPr="00D12632">
        <w:fldChar w:fldCharType="begin"/>
      </w:r>
      <w:r w:rsidRPr="00D12632">
        <w:instrText xml:space="preserve"> SEQ Table \* ARABIC </w:instrText>
      </w:r>
      <w:r w:rsidRPr="00D12632">
        <w:fldChar w:fldCharType="separate"/>
      </w:r>
      <w:r w:rsidR="00DA27BC">
        <w:rPr>
          <w:noProof/>
        </w:rPr>
        <w:t>19</w:t>
      </w:r>
      <w:r w:rsidRPr="00D12632">
        <w:fldChar w:fldCharType="end"/>
      </w:r>
      <w:r w:rsidRPr="00D12632">
        <w:t xml:space="preserve"> </w:t>
      </w:r>
      <w:r w:rsidR="00811C42">
        <w:t>Adoption potential of INFF project tools</w:t>
      </w:r>
      <w:bookmarkEnd w:id="50"/>
    </w:p>
    <w:tbl>
      <w:tblPr>
        <w:tblStyle w:val="BlueTable"/>
        <w:tblW w:w="4971" w:type="pct"/>
        <w:jc w:val="center"/>
        <w:tblLayout w:type="fixed"/>
        <w:tblLook w:val="04A0" w:firstRow="1" w:lastRow="0" w:firstColumn="1" w:lastColumn="0" w:noHBand="0" w:noVBand="1"/>
      </w:tblPr>
      <w:tblGrid>
        <w:gridCol w:w="1693"/>
        <w:gridCol w:w="1320"/>
        <w:gridCol w:w="1321"/>
        <w:gridCol w:w="1320"/>
        <w:gridCol w:w="1321"/>
        <w:gridCol w:w="1320"/>
        <w:gridCol w:w="1321"/>
      </w:tblGrid>
      <w:tr w:rsidR="00484E98" w:rsidRPr="00421A4B" w14:paraId="61D68921" w14:textId="0B38DCFF" w:rsidTr="00484E98">
        <w:trPr>
          <w:cnfStyle w:val="100000000000" w:firstRow="1" w:lastRow="0" w:firstColumn="0" w:lastColumn="0" w:oddVBand="0" w:evenVBand="0" w:oddHBand="0" w:evenHBand="0" w:firstRowFirstColumn="0" w:firstRowLastColumn="0" w:lastRowFirstColumn="0" w:lastRowLastColumn="0"/>
          <w:trHeight w:val="264"/>
          <w:tblHeade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78A429F8" w14:textId="45F4C639" w:rsidR="008F0585" w:rsidRPr="00421A4B" w:rsidRDefault="008F0585" w:rsidP="00061670">
            <w:pPr>
              <w:rPr>
                <w:sz w:val="18"/>
                <w:szCs w:val="18"/>
              </w:rPr>
            </w:pPr>
            <w:r w:rsidRPr="00421A4B">
              <w:rPr>
                <w:sz w:val="18"/>
                <w:szCs w:val="18"/>
              </w:rPr>
              <w:t>Tools</w:t>
            </w:r>
            <w:r w:rsidR="00DB1DA1">
              <w:rPr>
                <w:sz w:val="18"/>
                <w:szCs w:val="18"/>
              </w:rPr>
              <w:t>/ Focus area</w:t>
            </w:r>
          </w:p>
        </w:tc>
        <w:tc>
          <w:tcPr>
            <w:tcW w:w="1320" w:type="dxa"/>
            <w:vAlign w:val="center"/>
          </w:tcPr>
          <w:p w14:paraId="4CEB0328" w14:textId="7E1EAFAF"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sidRPr="00421A4B">
              <w:rPr>
                <w:sz w:val="18"/>
                <w:szCs w:val="18"/>
              </w:rPr>
              <w:t>Relevance</w:t>
            </w:r>
          </w:p>
        </w:tc>
        <w:tc>
          <w:tcPr>
            <w:tcW w:w="1321" w:type="dxa"/>
            <w:vAlign w:val="center"/>
          </w:tcPr>
          <w:p w14:paraId="51A11A47" w14:textId="3B3B80F6"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sidRPr="00421A4B">
              <w:rPr>
                <w:sz w:val="18"/>
                <w:szCs w:val="18"/>
              </w:rPr>
              <w:t>Replicability</w:t>
            </w:r>
          </w:p>
        </w:tc>
        <w:tc>
          <w:tcPr>
            <w:tcW w:w="1320" w:type="dxa"/>
            <w:vAlign w:val="center"/>
          </w:tcPr>
          <w:p w14:paraId="73D85B60" w14:textId="39483B0B"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Adaptability</w:t>
            </w:r>
          </w:p>
        </w:tc>
        <w:tc>
          <w:tcPr>
            <w:tcW w:w="1321" w:type="dxa"/>
            <w:vAlign w:val="center"/>
          </w:tcPr>
          <w:p w14:paraId="3E19B421" w14:textId="34B301D8"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Accessibility</w:t>
            </w:r>
          </w:p>
        </w:tc>
        <w:tc>
          <w:tcPr>
            <w:tcW w:w="1320" w:type="dxa"/>
            <w:vAlign w:val="center"/>
          </w:tcPr>
          <w:p w14:paraId="57EE9AA9" w14:textId="7FE1F5BF"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Integration with global standards</w:t>
            </w:r>
          </w:p>
        </w:tc>
        <w:tc>
          <w:tcPr>
            <w:tcW w:w="1321" w:type="dxa"/>
            <w:vAlign w:val="center"/>
          </w:tcPr>
          <w:p w14:paraId="74AAD3CD" w14:textId="76F8D50F" w:rsidR="008F0585" w:rsidRPr="00421A4B" w:rsidRDefault="008F0585" w:rsidP="00061670">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Evidence of impact</w:t>
            </w:r>
          </w:p>
        </w:tc>
      </w:tr>
      <w:tr w:rsidR="00897152" w:rsidRPr="00421A4B" w14:paraId="26C84150" w14:textId="0537FF8A"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11399482" w14:textId="5AD6DDF4" w:rsidR="00897152" w:rsidRPr="004909C0" w:rsidRDefault="00897152" w:rsidP="00897152">
            <w:pPr>
              <w:rPr>
                <w:sz w:val="18"/>
                <w:szCs w:val="18"/>
              </w:rPr>
            </w:pPr>
            <w:r w:rsidRPr="004909C0">
              <w:rPr>
                <w:sz w:val="18"/>
                <w:szCs w:val="18"/>
              </w:rPr>
              <w:t>Global guidance material and Foundational assessments</w:t>
            </w:r>
          </w:p>
        </w:tc>
        <w:tc>
          <w:tcPr>
            <w:tcW w:w="1320" w:type="dxa"/>
            <w:vAlign w:val="center"/>
          </w:tcPr>
          <w:p w14:paraId="6902ECDB" w14:textId="3168C583"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3DD08C58" w14:textId="1FAF8184"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7D3B5161" w14:textId="158665D2"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5D44ABC7" w14:textId="5AD93177"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27CB55BB" w14:textId="594B928C"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1AED22D4" w14:textId="6B91417A"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r w:rsidR="00897152" w:rsidRPr="00421A4B" w14:paraId="55739643" w14:textId="7DD43D22"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B7E6450" w14:textId="3C3156A2" w:rsidR="00897152" w:rsidRPr="00421A4B" w:rsidRDefault="00897152" w:rsidP="00897152">
            <w:pPr>
              <w:rPr>
                <w:sz w:val="18"/>
                <w:szCs w:val="18"/>
              </w:rPr>
            </w:pPr>
            <w:r>
              <w:rPr>
                <w:sz w:val="18"/>
                <w:szCs w:val="18"/>
              </w:rPr>
              <w:t>Diagnostic and Financing gap analysis</w:t>
            </w:r>
          </w:p>
        </w:tc>
        <w:tc>
          <w:tcPr>
            <w:tcW w:w="1320" w:type="dxa"/>
            <w:vAlign w:val="center"/>
          </w:tcPr>
          <w:p w14:paraId="6ADB517D" w14:textId="68DF7E1F"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26061DF4" w14:textId="2B086CBC"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70839385" w14:textId="5FFCE60E"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4B2E88A" w14:textId="0E8FF271" w:rsidR="004B6D7F" w:rsidRDefault="004B6D7F"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Medium</w:t>
            </w:r>
          </w:p>
          <w:p w14:paraId="1A983667" w14:textId="435499B7" w:rsidR="00897152" w:rsidRPr="00421A4B" w:rsidRDefault="004B6D7F"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High</w:t>
            </w:r>
          </w:p>
        </w:tc>
        <w:tc>
          <w:tcPr>
            <w:tcW w:w="1320" w:type="dxa"/>
            <w:vAlign w:val="center"/>
          </w:tcPr>
          <w:p w14:paraId="471D0D67" w14:textId="3BFFC2EB" w:rsidR="00897152" w:rsidRPr="00421A4B" w:rsidRDefault="004B6D7F"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Medium</w:t>
            </w:r>
          </w:p>
        </w:tc>
        <w:tc>
          <w:tcPr>
            <w:tcW w:w="1321" w:type="dxa"/>
            <w:vAlign w:val="center"/>
          </w:tcPr>
          <w:p w14:paraId="17DE419D" w14:textId="3E89D124"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r w:rsidR="00897152" w:rsidRPr="00421A4B" w14:paraId="1CA7825D" w14:textId="77777777"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5037045A" w14:textId="4ADBA20F" w:rsidR="00897152" w:rsidRPr="00421A4B" w:rsidRDefault="00897152" w:rsidP="00897152">
            <w:pPr>
              <w:rPr>
                <w:sz w:val="18"/>
                <w:szCs w:val="18"/>
              </w:rPr>
            </w:pPr>
            <w:r>
              <w:rPr>
                <w:sz w:val="18"/>
                <w:szCs w:val="18"/>
              </w:rPr>
              <w:t>Capacity-building and Technical assistance</w:t>
            </w:r>
          </w:p>
        </w:tc>
        <w:tc>
          <w:tcPr>
            <w:tcW w:w="1320" w:type="dxa"/>
            <w:vAlign w:val="center"/>
          </w:tcPr>
          <w:p w14:paraId="69AED386" w14:textId="60F65582"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2F5ABEB" w14:textId="7D404295"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55D15A52" w14:textId="04128CD8"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F188985" w14:textId="77777777" w:rsidR="004B6D7F" w:rsidRDefault="004B6D7F" w:rsidP="004B6D7F">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Medium</w:t>
            </w:r>
          </w:p>
          <w:p w14:paraId="5B82D0AE" w14:textId="6B60B218" w:rsidR="00897152" w:rsidRPr="00421A4B" w:rsidRDefault="004B6D7F" w:rsidP="004B6D7F">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High</w:t>
            </w:r>
          </w:p>
        </w:tc>
        <w:tc>
          <w:tcPr>
            <w:tcW w:w="1320" w:type="dxa"/>
            <w:vAlign w:val="center"/>
          </w:tcPr>
          <w:p w14:paraId="6F48914A" w14:textId="77777777" w:rsidR="004B6D7F" w:rsidRDefault="004B6D7F" w:rsidP="004B6D7F">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Medium</w:t>
            </w:r>
          </w:p>
          <w:p w14:paraId="448C9BB2" w14:textId="4DFAAF08" w:rsidR="00897152" w:rsidRPr="00421A4B" w:rsidRDefault="004B6D7F" w:rsidP="004B6D7F">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High</w:t>
            </w:r>
          </w:p>
        </w:tc>
        <w:tc>
          <w:tcPr>
            <w:tcW w:w="1321" w:type="dxa"/>
            <w:vAlign w:val="center"/>
          </w:tcPr>
          <w:p w14:paraId="613DD880" w14:textId="48293A9A"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r w:rsidR="00897152" w:rsidRPr="00421A4B" w14:paraId="759629F9" w14:textId="77777777"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140F7C9" w14:textId="333961C9" w:rsidR="00897152" w:rsidRPr="00421A4B" w:rsidRDefault="00897152" w:rsidP="00897152">
            <w:pPr>
              <w:rPr>
                <w:sz w:val="18"/>
                <w:szCs w:val="18"/>
              </w:rPr>
            </w:pPr>
            <w:r>
              <w:rPr>
                <w:sz w:val="18"/>
                <w:szCs w:val="18"/>
              </w:rPr>
              <w:t>Reporting and Monitoring</w:t>
            </w:r>
          </w:p>
        </w:tc>
        <w:tc>
          <w:tcPr>
            <w:tcW w:w="1320" w:type="dxa"/>
            <w:vAlign w:val="center"/>
          </w:tcPr>
          <w:p w14:paraId="146EB73C" w14:textId="653B4BCB"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6782AC5" w14:textId="2547499D"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7B0DCDAF" w14:textId="56B1E135"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5B98B82C" w14:textId="4C873728"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0CDE44BB" w14:textId="7A5BD58A"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45FF7E1E" w14:textId="70BA0EB1"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r w:rsidR="00897152" w:rsidRPr="00421A4B" w14:paraId="43B9DD23" w14:textId="77777777" w:rsidTr="00484E98">
        <w:trPr>
          <w:jc w:val="center"/>
        </w:trPr>
        <w:tc>
          <w:tcPr>
            <w:cnfStyle w:val="001000000000" w:firstRow="0" w:lastRow="0" w:firstColumn="1" w:lastColumn="0" w:oddVBand="0" w:evenVBand="0" w:oddHBand="0" w:evenHBand="0" w:firstRowFirstColumn="0" w:firstRowLastColumn="0" w:lastRowFirstColumn="0" w:lastRowLastColumn="0"/>
            <w:tcW w:w="1693" w:type="dxa"/>
            <w:vAlign w:val="center"/>
          </w:tcPr>
          <w:p w14:paraId="648736F6" w14:textId="26AC624A" w:rsidR="00897152" w:rsidRPr="00421A4B" w:rsidRDefault="00897152" w:rsidP="00897152">
            <w:pPr>
              <w:rPr>
                <w:sz w:val="18"/>
                <w:szCs w:val="18"/>
              </w:rPr>
            </w:pPr>
            <w:r>
              <w:rPr>
                <w:sz w:val="18"/>
                <w:szCs w:val="18"/>
              </w:rPr>
              <w:t>Publications and Knowledge resources</w:t>
            </w:r>
          </w:p>
        </w:tc>
        <w:tc>
          <w:tcPr>
            <w:tcW w:w="1320" w:type="dxa"/>
            <w:vAlign w:val="center"/>
          </w:tcPr>
          <w:p w14:paraId="32545E59" w14:textId="2ED79658"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69B45425" w14:textId="3ADFCCB3"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460D0B26" w14:textId="01198493"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7D71865F" w14:textId="51C76978"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0" w:type="dxa"/>
            <w:vAlign w:val="center"/>
          </w:tcPr>
          <w:p w14:paraId="073CD4FD" w14:textId="6A25F15D"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c>
          <w:tcPr>
            <w:tcW w:w="1321" w:type="dxa"/>
            <w:vAlign w:val="center"/>
          </w:tcPr>
          <w:p w14:paraId="43C3A5BB" w14:textId="2CD299F5" w:rsidR="00897152" w:rsidRPr="00421A4B" w:rsidRDefault="00897152" w:rsidP="00897152">
            <w:pPr>
              <w:spacing w:after="60"/>
              <w:ind w:right="242"/>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High</w:t>
            </w:r>
          </w:p>
        </w:tc>
      </w:tr>
    </w:tbl>
    <w:p w14:paraId="0EFE252A" w14:textId="3BE5B410" w:rsidR="00EF74AA" w:rsidRDefault="00060B59" w:rsidP="00060B59">
      <w:pPr>
        <w:pStyle w:val="BodyText"/>
        <w:jc w:val="right"/>
      </w:pPr>
      <w:r>
        <w:t xml:space="preserve">Source: </w:t>
      </w:r>
      <w:r w:rsidR="009C4F25">
        <w:t xml:space="preserve">Parallel study on tool scalability, </w:t>
      </w:r>
      <w:r w:rsidR="00CE6804">
        <w:t>July 2025</w:t>
      </w:r>
      <w:r w:rsidR="00EF4639">
        <w:t>.</w:t>
      </w:r>
    </w:p>
    <w:p w14:paraId="6B3B1069" w14:textId="77777777" w:rsidR="00EF74AA" w:rsidRDefault="00EF74AA" w:rsidP="00394E49">
      <w:pPr>
        <w:pStyle w:val="BodyText"/>
      </w:pPr>
    </w:p>
    <w:p w14:paraId="44E7CC39" w14:textId="77777777" w:rsidR="00EF74AA" w:rsidRDefault="00EF74AA" w:rsidP="00394E49">
      <w:pPr>
        <w:pStyle w:val="BodyText"/>
        <w:sectPr w:rsidR="00EF74AA" w:rsidSect="00F666A1">
          <w:type w:val="continuous"/>
          <w:pgSz w:w="12240" w:h="15840" w:code="1"/>
          <w:pgMar w:top="1276" w:right="1276" w:bottom="2410" w:left="1276" w:header="720" w:footer="720" w:gutter="0"/>
          <w:cols w:space="397"/>
          <w:docGrid w:linePitch="360"/>
        </w:sectPr>
      </w:pPr>
    </w:p>
    <w:p w14:paraId="5F6A5437" w14:textId="2009B0AD" w:rsidR="00EF2FD5" w:rsidRDefault="00BE70EF" w:rsidP="00394E49">
      <w:pPr>
        <w:pStyle w:val="BodyText"/>
        <w:rPr>
          <w:b/>
          <w:bCs/>
        </w:rPr>
      </w:pPr>
      <w:r w:rsidRPr="00BE70EF">
        <w:rPr>
          <w:b/>
          <w:bCs/>
        </w:rPr>
        <w:t>Finding 1</w:t>
      </w:r>
      <w:r w:rsidR="00812FE0">
        <w:rPr>
          <w:b/>
          <w:bCs/>
        </w:rPr>
        <w:t>5</w:t>
      </w:r>
      <w:r w:rsidRPr="00BE70EF">
        <w:rPr>
          <w:b/>
          <w:bCs/>
        </w:rPr>
        <w:t xml:space="preserve">: </w:t>
      </w:r>
      <w:r w:rsidR="00BF3221" w:rsidRPr="00403B30">
        <w:t>Although follow-up</w:t>
      </w:r>
      <w:r w:rsidR="00B63E8C" w:rsidRPr="00403B30">
        <w:t xml:space="preserve"> </w:t>
      </w:r>
      <w:r w:rsidR="00BF3221" w:rsidRPr="00403B30">
        <w:t xml:space="preserve">technical </w:t>
      </w:r>
      <w:r w:rsidR="00B63E8C" w:rsidRPr="00403B30">
        <w:t xml:space="preserve">assistance </w:t>
      </w:r>
      <w:r w:rsidR="00080939" w:rsidRPr="00403B30">
        <w:t xml:space="preserve">to countries post-project is not guaranteed, </w:t>
      </w:r>
      <w:r w:rsidR="00FD1FA2" w:rsidRPr="00403B30">
        <w:t xml:space="preserve">the project </w:t>
      </w:r>
      <w:r w:rsidR="009C2C91" w:rsidRPr="00403B30">
        <w:t xml:space="preserve">facilitated </w:t>
      </w:r>
      <w:r w:rsidR="006321A6">
        <w:t>knowledge-exchange</w:t>
      </w:r>
      <w:r w:rsidR="008120B8" w:rsidRPr="00403B30">
        <w:t xml:space="preserve"> and </w:t>
      </w:r>
      <w:r w:rsidR="006321A6">
        <w:t>peer-learning</w:t>
      </w:r>
      <w:r w:rsidR="008120B8" w:rsidRPr="00403B30">
        <w:t xml:space="preserve"> to </w:t>
      </w:r>
      <w:r w:rsidR="00475A8A" w:rsidRPr="00403B30">
        <w:t xml:space="preserve">inform </w:t>
      </w:r>
      <w:r w:rsidR="00153297">
        <w:t xml:space="preserve">results sustainability </w:t>
      </w:r>
      <w:r w:rsidR="007A394D">
        <w:t xml:space="preserve">through </w:t>
      </w:r>
      <w:r w:rsidR="00475A8A" w:rsidRPr="00403B30">
        <w:t>national ownership of INFF facilitation.</w:t>
      </w:r>
    </w:p>
    <w:p w14:paraId="7205C3EF" w14:textId="2E4A0972" w:rsidR="00E2426E" w:rsidRDefault="00EE2D4E" w:rsidP="00394E49">
      <w:pPr>
        <w:pStyle w:val="BodyText"/>
      </w:pPr>
      <w:r>
        <w:t>Requests</w:t>
      </w:r>
      <w:r w:rsidR="00F31DA5">
        <w:t xml:space="preserve"> from non-project countries</w:t>
      </w:r>
      <w:r>
        <w:t xml:space="preserve"> for technical assista</w:t>
      </w:r>
      <w:r w:rsidR="00F31DA5">
        <w:t xml:space="preserve">nce during project implementation </w:t>
      </w:r>
      <w:r w:rsidR="00994899">
        <w:t xml:space="preserve">provide an initial indication of the potential for the replication of achieved results beyond the </w:t>
      </w:r>
      <w:r w:rsidR="00613ADE">
        <w:t xml:space="preserve">target countries. These requests </w:t>
      </w:r>
      <w:r w:rsidR="00E70533">
        <w:t>also</w:t>
      </w:r>
      <w:r w:rsidR="00903267">
        <w:t xml:space="preserve"> reflect the </w:t>
      </w:r>
      <w:r w:rsidR="00E70533">
        <w:t xml:space="preserve">interest </w:t>
      </w:r>
      <w:r w:rsidR="0070139B">
        <w:t>in the INFF methodology that ha</w:t>
      </w:r>
      <w:r w:rsidR="004D3121">
        <w:t>s</w:t>
      </w:r>
      <w:r w:rsidR="0070139B">
        <w:t xml:space="preserve"> been generated </w:t>
      </w:r>
      <w:r w:rsidR="00291730">
        <w:t>by project activities.</w:t>
      </w:r>
      <w:r w:rsidR="00EB4356">
        <w:t xml:space="preserve"> </w:t>
      </w:r>
      <w:r w:rsidR="00ED5F90">
        <w:t xml:space="preserve">Consultations at the level of the target countries have also </w:t>
      </w:r>
      <w:r w:rsidR="00743DC2">
        <w:t xml:space="preserve">indicated their interest in follow-up technical support </w:t>
      </w:r>
      <w:r w:rsidR="003E7A0B">
        <w:t>post-project, to further support the application of the INFF methodology in their respective national contexts.</w:t>
      </w:r>
    </w:p>
    <w:p w14:paraId="2D37D100" w14:textId="60B700AA" w:rsidR="00EF2FD5" w:rsidRDefault="005B341B" w:rsidP="00394E49">
      <w:pPr>
        <w:pStyle w:val="BodyText"/>
      </w:pPr>
      <w:r>
        <w:t xml:space="preserve">The </w:t>
      </w:r>
      <w:r w:rsidR="00EB4356">
        <w:t xml:space="preserve">INFF project was time-sensitive and </w:t>
      </w:r>
      <w:r w:rsidR="0090443E">
        <w:t xml:space="preserve">was funded through a </w:t>
      </w:r>
      <w:r w:rsidR="00E2426E">
        <w:t>limited</w:t>
      </w:r>
      <w:r w:rsidR="008E7A69">
        <w:t xml:space="preserve"> budget</w:t>
      </w:r>
      <w:r>
        <w:t>. As a result, there</w:t>
      </w:r>
      <w:r w:rsidR="00356C53">
        <w:t xml:space="preserve"> is no guarantee </w:t>
      </w:r>
      <w:r w:rsidR="00290074">
        <w:t xml:space="preserve">of resource availability for </w:t>
      </w:r>
      <w:r w:rsidR="008B6C84">
        <w:t>a second phase of project activities</w:t>
      </w:r>
      <w:r w:rsidR="00575C56">
        <w:t>,</w:t>
      </w:r>
      <w:r w:rsidR="008B6C84">
        <w:t xml:space="preserve"> involving f</w:t>
      </w:r>
      <w:r w:rsidR="00290074">
        <w:t xml:space="preserve">ollow-up technical assistance </w:t>
      </w:r>
      <w:r w:rsidR="008B6C84">
        <w:t xml:space="preserve">to countries </w:t>
      </w:r>
      <w:r w:rsidR="00E142C2">
        <w:t xml:space="preserve">and/ or the engagement of a </w:t>
      </w:r>
      <w:r w:rsidR="00E142C2">
        <w:t xml:space="preserve">new set of target countries. </w:t>
      </w:r>
      <w:r w:rsidR="00740F35">
        <w:t xml:space="preserve">At least two target countries (Dominican Republic and Samoa) </w:t>
      </w:r>
      <w:r w:rsidR="001E6B55">
        <w:t>will gain access</w:t>
      </w:r>
      <w:r w:rsidR="00006E3E">
        <w:t>, however,</w:t>
      </w:r>
      <w:r w:rsidR="001E6B55">
        <w:t xml:space="preserve"> to technical assistance for INFF implementation through the </w:t>
      </w:r>
      <w:r w:rsidR="00C86485">
        <w:t>UNDESA FINS project</w:t>
      </w:r>
      <w:r w:rsidR="001603EB">
        <w:t>.</w:t>
      </w:r>
      <w:r w:rsidR="000E2833">
        <w:rPr>
          <w:rStyle w:val="FootnoteReference"/>
        </w:rPr>
        <w:footnoteReference w:id="250"/>
      </w:r>
      <w:r w:rsidR="001603EB">
        <w:t xml:space="preserve"> </w:t>
      </w:r>
      <w:r w:rsidR="00F73F4F">
        <w:t xml:space="preserve">UNECE has also secured funding </w:t>
      </w:r>
      <w:r w:rsidR="009B35E6">
        <w:t>(under the 16</w:t>
      </w:r>
      <w:r w:rsidR="009B35E6" w:rsidRPr="009B35E6">
        <w:rPr>
          <w:vertAlign w:val="superscript"/>
        </w:rPr>
        <w:t>th</w:t>
      </w:r>
      <w:r w:rsidR="009B35E6">
        <w:t xml:space="preserve"> Tranche of the Development Account) </w:t>
      </w:r>
      <w:r w:rsidR="005B4992">
        <w:t xml:space="preserve">to support the dissemination of the PIERS Digital Platform in the UNECA/ Africa and UNECLAC/ Latin American and the Caribbean regions. </w:t>
      </w:r>
      <w:r w:rsidR="001D177E">
        <w:t>This follow-up support provides scope for results sustainability in these countries</w:t>
      </w:r>
      <w:r w:rsidR="005B4992">
        <w:t xml:space="preserve"> and regions</w:t>
      </w:r>
      <w:r w:rsidR="00650D58">
        <w:t>, including the application of resources and tools that were acquired through the INFF project</w:t>
      </w:r>
      <w:r w:rsidR="001D177E">
        <w:t>.</w:t>
      </w:r>
      <w:r w:rsidR="00EE210B">
        <w:t xml:space="preserve"> Two issues should also be considered.</w:t>
      </w:r>
    </w:p>
    <w:p w14:paraId="161C3970" w14:textId="4559B7A1" w:rsidR="00246895" w:rsidRDefault="005E0296" w:rsidP="00394E49">
      <w:pPr>
        <w:pStyle w:val="BodyText"/>
      </w:pPr>
      <w:r>
        <w:t xml:space="preserve">First, the INFF </w:t>
      </w:r>
      <w:r w:rsidR="00A568B2">
        <w:t xml:space="preserve">project served as a platform </w:t>
      </w:r>
      <w:r w:rsidR="00781D2A">
        <w:t>t</w:t>
      </w:r>
      <w:r w:rsidR="00E47F8F">
        <w:t xml:space="preserve">hat </w:t>
      </w:r>
      <w:r w:rsidR="002F2494">
        <w:t xml:space="preserve">created opportunities for </w:t>
      </w:r>
      <w:r w:rsidR="006321A6">
        <w:t>knowledge-exchange</w:t>
      </w:r>
      <w:r w:rsidR="002F2494">
        <w:t xml:space="preserve"> on the INFF methodology</w:t>
      </w:r>
      <w:r w:rsidR="00781D2A">
        <w:t xml:space="preserve">. It further supported peer-learning </w:t>
      </w:r>
      <w:r w:rsidR="00B3356E">
        <w:t xml:space="preserve">on the </w:t>
      </w:r>
      <w:r w:rsidR="00990C60">
        <w:t xml:space="preserve">experiences </w:t>
      </w:r>
      <w:r w:rsidR="002B7A4C">
        <w:t>o</w:t>
      </w:r>
      <w:r w:rsidR="00990C60">
        <w:t>f countries at the regional and global level</w:t>
      </w:r>
      <w:r w:rsidR="00FE20A7">
        <w:t>s</w:t>
      </w:r>
      <w:r w:rsidR="00990C60">
        <w:t xml:space="preserve"> in facilitating </w:t>
      </w:r>
      <w:r w:rsidR="00FE20A7">
        <w:t>INFF development</w:t>
      </w:r>
      <w:r w:rsidR="00990C60">
        <w:t>.</w:t>
      </w:r>
      <w:r w:rsidR="003C31D6">
        <w:t xml:space="preserve"> Both target and non-project countries also gained access to </w:t>
      </w:r>
      <w:r w:rsidR="007A5138">
        <w:t>UN entities</w:t>
      </w:r>
      <w:r w:rsidR="00794C7D">
        <w:t xml:space="preserve"> that provided specialised support</w:t>
      </w:r>
      <w:r w:rsidR="00FE20A7">
        <w:t>; UN RCOs</w:t>
      </w:r>
      <w:r w:rsidR="00343D90">
        <w:t xml:space="preserve">; and </w:t>
      </w:r>
      <w:r w:rsidR="00794C7D">
        <w:t xml:space="preserve">technical assistance and guidance to inform </w:t>
      </w:r>
      <w:r w:rsidR="00AA68C3">
        <w:t>the</w:t>
      </w:r>
      <w:r w:rsidR="00343D90">
        <w:t>ir</w:t>
      </w:r>
      <w:r w:rsidR="00AA68C3">
        <w:t xml:space="preserve"> capacity to apply the INFF methodology. </w:t>
      </w:r>
      <w:r w:rsidR="00EC6213">
        <w:t>Within thi</w:t>
      </w:r>
      <w:r w:rsidR="00AA68C3">
        <w:t xml:space="preserve">s </w:t>
      </w:r>
      <w:r w:rsidR="00AA68C3">
        <w:lastRenderedPageBreak/>
        <w:t>context,</w:t>
      </w:r>
      <w:r w:rsidR="006F58E3">
        <w:t xml:space="preserve"> </w:t>
      </w:r>
      <w:r w:rsidR="004129DF">
        <w:t xml:space="preserve">the national ownership of the INFF process </w:t>
      </w:r>
      <w:r w:rsidR="00EC6213">
        <w:t xml:space="preserve">contributed towards </w:t>
      </w:r>
      <w:r w:rsidR="00D869FD">
        <w:t xml:space="preserve">actions that were taken at the country level to implement the INFF </w:t>
      </w:r>
      <w:r w:rsidR="00B80E9C">
        <w:t>b</w:t>
      </w:r>
      <w:r w:rsidR="00F05FBC">
        <w:t>uilding blocks</w:t>
      </w:r>
      <w:r w:rsidR="00D869FD">
        <w:t xml:space="preserve">. This level of national ownership is equally </w:t>
      </w:r>
      <w:r w:rsidR="00422440">
        <w:t xml:space="preserve">important for </w:t>
      </w:r>
      <w:r w:rsidR="000C4EE7">
        <w:t xml:space="preserve">continued interface </w:t>
      </w:r>
      <w:r w:rsidR="00422440">
        <w:t xml:space="preserve">by </w:t>
      </w:r>
      <w:r w:rsidR="00CF0435">
        <w:t xml:space="preserve">target and non-project countries </w:t>
      </w:r>
      <w:r w:rsidR="000C4EE7">
        <w:t xml:space="preserve">with UNCTs and </w:t>
      </w:r>
      <w:r w:rsidR="00CF0435">
        <w:t xml:space="preserve">UN </w:t>
      </w:r>
      <w:r w:rsidR="000C4EE7">
        <w:t>RCOs post-project</w:t>
      </w:r>
      <w:r w:rsidR="00CF0435">
        <w:t>,</w:t>
      </w:r>
      <w:r w:rsidR="000C4EE7">
        <w:t xml:space="preserve"> to sustain </w:t>
      </w:r>
      <w:r w:rsidR="003E1942">
        <w:t xml:space="preserve">achieved </w:t>
      </w:r>
      <w:r w:rsidR="000C4EE7">
        <w:t>results</w:t>
      </w:r>
      <w:r w:rsidR="00DB5BF3">
        <w:t xml:space="preserve">, with a view towards </w:t>
      </w:r>
      <w:r w:rsidR="00EB441F">
        <w:t xml:space="preserve">continued INFF </w:t>
      </w:r>
      <w:r w:rsidR="003E1942">
        <w:t>development</w:t>
      </w:r>
      <w:r w:rsidR="00EB441F">
        <w:t xml:space="preserve">. </w:t>
      </w:r>
    </w:p>
    <w:p w14:paraId="69B97265" w14:textId="0C0087FA" w:rsidR="00812FE0" w:rsidRDefault="000D0C87" w:rsidP="00394E49">
      <w:pPr>
        <w:pStyle w:val="BodyText"/>
      </w:pPr>
      <w:r>
        <w:t xml:space="preserve">Second, </w:t>
      </w:r>
      <w:r w:rsidR="00314642">
        <w:t>the requests from target countries for follow-up technical assistance have been informed</w:t>
      </w:r>
      <w:r w:rsidR="00187849">
        <w:t xml:space="preserve">, in part, by the </w:t>
      </w:r>
      <w:r w:rsidR="002401A3">
        <w:t xml:space="preserve">generalised format of the </w:t>
      </w:r>
      <w:r w:rsidR="00DA5D57">
        <w:t xml:space="preserve">global INFF </w:t>
      </w:r>
      <w:r w:rsidR="002401A3">
        <w:t xml:space="preserve">guidance material </w:t>
      </w:r>
      <w:r w:rsidR="00DA5D57">
        <w:t>that was provided through the project</w:t>
      </w:r>
      <w:r w:rsidR="00E05DD3">
        <w:t xml:space="preserve">. </w:t>
      </w:r>
      <w:r w:rsidR="00E05DD3">
        <w:t xml:space="preserve">Although the guidance material </w:t>
      </w:r>
      <w:r w:rsidR="002847E8">
        <w:t xml:space="preserve">provides enumerated guidelines for </w:t>
      </w:r>
      <w:r w:rsidR="00CE5347">
        <w:t xml:space="preserve">the implementation process, they have not been </w:t>
      </w:r>
      <w:r w:rsidR="001D0DAC">
        <w:t xml:space="preserve">tailored to individual country contexts. </w:t>
      </w:r>
      <w:r w:rsidR="00226F65">
        <w:t xml:space="preserve">The </w:t>
      </w:r>
      <w:r w:rsidR="00FF4B2B">
        <w:t xml:space="preserve">availability of generalised guidelines </w:t>
      </w:r>
      <w:r w:rsidR="00226F65">
        <w:t xml:space="preserve">on INFF implementation </w:t>
      </w:r>
      <w:r w:rsidR="00FF4B2B">
        <w:t xml:space="preserve">is </w:t>
      </w:r>
      <w:r w:rsidR="00226F65">
        <w:t>rational</w:t>
      </w:r>
      <w:r w:rsidR="000A167A">
        <w:t xml:space="preserve">, given the </w:t>
      </w:r>
      <w:r w:rsidR="00226F65">
        <w:t xml:space="preserve">contextual </w:t>
      </w:r>
      <w:r w:rsidR="000A167A">
        <w:t>difference</w:t>
      </w:r>
      <w:r w:rsidR="00226F65">
        <w:t>s</w:t>
      </w:r>
      <w:r w:rsidR="000A167A">
        <w:t xml:space="preserve"> across countries and regions</w:t>
      </w:r>
      <w:r w:rsidR="00226F65">
        <w:t>.</w:t>
      </w:r>
      <w:r w:rsidR="00ED7AD1">
        <w:t xml:space="preserve"> I</w:t>
      </w:r>
      <w:r w:rsidR="00B51CC7">
        <w:t>t does not negate</w:t>
      </w:r>
      <w:r w:rsidR="00ED7AD1">
        <w:t>, however,</w:t>
      </w:r>
      <w:r w:rsidR="00B51CC7">
        <w:t xml:space="preserve"> the need for contextualised technical assistance by individual countries</w:t>
      </w:r>
      <w:r w:rsidR="00ED7AD1">
        <w:t xml:space="preserve"> to ensure effective implementation</w:t>
      </w:r>
      <w:r w:rsidR="00B51CC7">
        <w:t xml:space="preserve">. </w:t>
      </w:r>
      <w:r w:rsidR="00471625">
        <w:t xml:space="preserve">Significantly, </w:t>
      </w:r>
      <w:r w:rsidR="007D787D">
        <w:t xml:space="preserve">the challenge of a lack of access to contextualised guidance material </w:t>
      </w:r>
      <w:r w:rsidR="00FD5611">
        <w:t xml:space="preserve">is not insurmountable, given the </w:t>
      </w:r>
      <w:r w:rsidR="00F4558A">
        <w:t>connections that were established through the project during peer-learning</w:t>
      </w:r>
      <w:r w:rsidR="006C2E74">
        <w:t xml:space="preserve"> and collaboration with UNCTs.</w:t>
      </w:r>
    </w:p>
    <w:p w14:paraId="528A4524" w14:textId="77777777" w:rsidR="00CC779C" w:rsidRDefault="00CC779C" w:rsidP="00394E49">
      <w:pPr>
        <w:pStyle w:val="Heading1"/>
        <w:sectPr w:rsidR="00CC779C" w:rsidSect="00F666A1">
          <w:type w:val="continuous"/>
          <w:pgSz w:w="12240" w:h="15840" w:code="1"/>
          <w:pgMar w:top="1276" w:right="1276" w:bottom="2410" w:left="1276" w:header="720" w:footer="720" w:gutter="0"/>
          <w:cols w:num="2" w:space="397"/>
          <w:docGrid w:linePitch="360"/>
        </w:sectPr>
      </w:pPr>
    </w:p>
    <w:p w14:paraId="71CB7B08" w14:textId="71CA1033" w:rsidR="00875969" w:rsidRPr="00574F89" w:rsidRDefault="00875969" w:rsidP="00394E49">
      <w:pPr>
        <w:pStyle w:val="Heading1"/>
      </w:pPr>
      <w:bookmarkStart w:id="51" w:name="_Toc210730329"/>
      <w:r w:rsidRPr="00574F89">
        <w:lastRenderedPageBreak/>
        <w:t>Conclusions</w:t>
      </w:r>
      <w:bookmarkEnd w:id="51"/>
    </w:p>
    <w:p w14:paraId="1DB34E56" w14:textId="77777777" w:rsidR="005151BB" w:rsidRDefault="005151BB" w:rsidP="00993BB8">
      <w:pPr>
        <w:pStyle w:val="BodyText"/>
        <w:sectPr w:rsidR="005151BB" w:rsidSect="00F666A1">
          <w:type w:val="continuous"/>
          <w:pgSz w:w="12240" w:h="15840" w:code="1"/>
          <w:pgMar w:top="1276" w:right="1276" w:bottom="1588" w:left="1276" w:header="720" w:footer="720" w:gutter="0"/>
          <w:cols w:space="720"/>
          <w:docGrid w:linePitch="360"/>
        </w:sectPr>
      </w:pPr>
    </w:p>
    <w:p w14:paraId="0E3C0A21" w14:textId="58097F0B" w:rsidR="005E5F5E" w:rsidRDefault="005E5F5E" w:rsidP="0054136D">
      <w:pPr>
        <w:spacing w:before="120" w:after="120"/>
        <w:jc w:val="both"/>
      </w:pPr>
      <w:r>
        <w:t>The Towards INFF project was an ambitious intervention that was used to afford selected countries the opportunity to gain increased capacities to mobilise development financing through the INFF methodology. Project implementation buil</w:t>
      </w:r>
      <w:r w:rsidR="00AD1319">
        <w:t xml:space="preserve">t on country-level commitments to the international </w:t>
      </w:r>
      <w:r w:rsidR="00AC05BF">
        <w:t xml:space="preserve">sustainable </w:t>
      </w:r>
      <w:r w:rsidR="00AD1319">
        <w:t xml:space="preserve">development agenda, to support </w:t>
      </w:r>
      <w:r w:rsidR="00AC05BF">
        <w:t>national contributions to the SDGs. The projec</w:t>
      </w:r>
      <w:r w:rsidR="00D4255F">
        <w:t xml:space="preserve">t established a space for </w:t>
      </w:r>
      <w:r w:rsidR="006321A6">
        <w:t>knowledge-exchange</w:t>
      </w:r>
      <w:r w:rsidR="007B7E86">
        <w:t xml:space="preserve">; peer-learning; and the sharing of </w:t>
      </w:r>
      <w:r w:rsidR="00ED503A">
        <w:t>best practices and experiences</w:t>
      </w:r>
      <w:r w:rsidR="009657DA">
        <w:t>,</w:t>
      </w:r>
      <w:r w:rsidR="00ED503A">
        <w:t xml:space="preserve"> to equip countries with the resources; tools; and know-how for aligning national sustainable development priorities with the SDGs. </w:t>
      </w:r>
      <w:r w:rsidR="00707025">
        <w:t>Project implementation also facilitated co</w:t>
      </w:r>
      <w:r w:rsidR="005A7EAD">
        <w:t xml:space="preserve">llaboration </w:t>
      </w:r>
      <w:r w:rsidR="00806CDB">
        <w:t xml:space="preserve">among </w:t>
      </w:r>
      <w:r w:rsidR="00707025">
        <w:t>the cooperating executing entities, a</w:t>
      </w:r>
      <w:r w:rsidR="00806CDB">
        <w:t>s well as between the</w:t>
      </w:r>
      <w:r w:rsidR="005A7EAD">
        <w:t xml:space="preserve"> executing </w:t>
      </w:r>
      <w:r w:rsidR="00806CDB">
        <w:t>entities</w:t>
      </w:r>
      <w:r w:rsidR="005A7EAD">
        <w:t xml:space="preserve"> and </w:t>
      </w:r>
      <w:r w:rsidR="00806CDB">
        <w:t xml:space="preserve">country governments; </w:t>
      </w:r>
      <w:r w:rsidR="00523DE2">
        <w:t>cross-sectoral agencies</w:t>
      </w:r>
      <w:r w:rsidR="005A7EAD">
        <w:t xml:space="preserve">; </w:t>
      </w:r>
      <w:r w:rsidR="00523DE2">
        <w:t>and development partner organisations</w:t>
      </w:r>
      <w:r w:rsidR="0054136D">
        <w:t>, including other UN Agencies.</w:t>
      </w:r>
    </w:p>
    <w:p w14:paraId="658F1AFC" w14:textId="7EDC5749" w:rsidR="0054136D" w:rsidRDefault="00691FF6" w:rsidP="0054136D">
      <w:pPr>
        <w:spacing w:before="120" w:after="120"/>
        <w:jc w:val="both"/>
      </w:pPr>
      <w:r>
        <w:t>There has been evidence of the extended reach of the project to non-project countries</w:t>
      </w:r>
      <w:r w:rsidR="00467249">
        <w:t xml:space="preserve">, as well as a potential for sustainable impact through the policy uptake of the </w:t>
      </w:r>
      <w:r w:rsidR="004512B8">
        <w:t xml:space="preserve">INFF methodology. Although a follow-up phase of project activities is unconfirmed, participating countries </w:t>
      </w:r>
      <w:r w:rsidR="0058231B">
        <w:t xml:space="preserve">gained access to </w:t>
      </w:r>
      <w:r w:rsidR="006D2C9F">
        <w:t xml:space="preserve">UN </w:t>
      </w:r>
      <w:r w:rsidR="0058231B">
        <w:t xml:space="preserve">RCOs and UNCTs, in addition to the executing entities, to </w:t>
      </w:r>
      <w:r w:rsidR="00CF22D9">
        <w:t>inform follow-up interface for the cont</w:t>
      </w:r>
      <w:r w:rsidR="00071EE5">
        <w:t xml:space="preserve">extualisation of guidance </w:t>
      </w:r>
      <w:r w:rsidR="006D2C9F">
        <w:t xml:space="preserve">material </w:t>
      </w:r>
      <w:r w:rsidR="00A9240B">
        <w:t xml:space="preserve">on </w:t>
      </w:r>
      <w:r w:rsidR="000D7F1A">
        <w:t xml:space="preserve">the INFF </w:t>
      </w:r>
      <w:r w:rsidR="00B80E9C">
        <w:t>b</w:t>
      </w:r>
      <w:r w:rsidR="00F05FBC">
        <w:t>uilding blocks</w:t>
      </w:r>
      <w:r w:rsidR="000D7F1A">
        <w:t xml:space="preserve">. </w:t>
      </w:r>
      <w:r w:rsidR="00467249">
        <w:t xml:space="preserve"> </w:t>
      </w:r>
    </w:p>
    <w:p w14:paraId="569E2C9A" w14:textId="5601C927" w:rsidR="00A56EC4" w:rsidRDefault="00A9240B" w:rsidP="0054136D">
      <w:pPr>
        <w:pStyle w:val="BodyText"/>
      </w:pPr>
      <w:r>
        <w:t>Relatedly, t</w:t>
      </w:r>
      <w:r w:rsidR="00C21434">
        <w:t xml:space="preserve">here is scope </w:t>
      </w:r>
      <w:r w:rsidR="00196B4C">
        <w:t>for the strengthening of future similar interventions</w:t>
      </w:r>
      <w:r w:rsidR="00683DA1">
        <w:t>,</w:t>
      </w:r>
      <w:r w:rsidR="00196B4C">
        <w:t xml:space="preserve"> to ensure that target results </w:t>
      </w:r>
      <w:r w:rsidR="00C70C13">
        <w:t xml:space="preserve">and supporting measures of performance are adequate to accurately document the transformative effects of </w:t>
      </w:r>
      <w:r w:rsidR="003C478B">
        <w:t xml:space="preserve">project implementation. </w:t>
      </w:r>
      <w:r w:rsidR="00683DA1">
        <w:t>During th</w:t>
      </w:r>
      <w:r w:rsidR="00EB06C9">
        <w:t>is</w:t>
      </w:r>
      <w:r w:rsidR="00683DA1">
        <w:t xml:space="preserve"> process, there </w:t>
      </w:r>
      <w:r w:rsidR="00EB06C9">
        <w:t xml:space="preserve">will be </w:t>
      </w:r>
      <w:r w:rsidR="00A56EC4">
        <w:t xml:space="preserve">is a </w:t>
      </w:r>
      <w:r w:rsidR="00EB06C9">
        <w:t xml:space="preserve">conceivable </w:t>
      </w:r>
      <w:r w:rsidR="00A56EC4">
        <w:t>ro</w:t>
      </w:r>
      <w:r w:rsidR="00EB06C9">
        <w:t>le</w:t>
      </w:r>
      <w:r w:rsidR="008816B5">
        <w:t xml:space="preserve"> for </w:t>
      </w:r>
      <w:r w:rsidR="00A56EC4">
        <w:t>the lead ex</w:t>
      </w:r>
      <w:r w:rsidR="008816B5">
        <w:t xml:space="preserve">ecuting entity to </w:t>
      </w:r>
      <w:r w:rsidR="00ED4651">
        <w:t>assume</w:t>
      </w:r>
      <w:r w:rsidR="001E3283">
        <w:t xml:space="preserve"> greater managerial r</w:t>
      </w:r>
      <w:r w:rsidR="00EB06C9">
        <w:t>esponsi</w:t>
      </w:r>
      <w:r w:rsidR="00C01A1F">
        <w:t xml:space="preserve">bility. This will </w:t>
      </w:r>
      <w:r w:rsidR="009463AC">
        <w:t xml:space="preserve">allow for harmonised implementation </w:t>
      </w:r>
      <w:r w:rsidR="00D20541">
        <w:t>as a contribution towards achieved results.</w:t>
      </w:r>
    </w:p>
    <w:p w14:paraId="665F8BCF" w14:textId="4EB55A3A" w:rsidR="00D6322D" w:rsidRDefault="003C478B" w:rsidP="0054136D">
      <w:pPr>
        <w:pStyle w:val="BodyText"/>
      </w:pPr>
      <w:r>
        <w:t xml:space="preserve">The </w:t>
      </w:r>
      <w:r w:rsidR="00D20541">
        <w:t xml:space="preserve">conclusions of the evaluation are presented under the </w:t>
      </w:r>
      <w:r w:rsidR="00A66F72">
        <w:t xml:space="preserve">main assessment criteria to inform the next </w:t>
      </w:r>
      <w:r w:rsidR="00E1675D">
        <w:t>steps for programming.</w:t>
      </w:r>
    </w:p>
    <w:p w14:paraId="796B7BE1" w14:textId="02F7B3A0" w:rsidR="00FB0E8A" w:rsidRDefault="00FB0E8A" w:rsidP="00993BB8">
      <w:pPr>
        <w:pStyle w:val="BodyText"/>
        <w:rPr>
          <w:b/>
          <w:bCs/>
        </w:rPr>
      </w:pPr>
      <w:r w:rsidRPr="007B74CE">
        <w:rPr>
          <w:b/>
          <w:bCs/>
        </w:rPr>
        <w:t>Relevance:</w:t>
      </w:r>
      <w:r>
        <w:t xml:space="preserve"> </w:t>
      </w:r>
      <w:r w:rsidR="004317FC" w:rsidRPr="00440E4A">
        <w:t>The Towards INFF project was conceptually relevant to the situation of development financing within the target countries</w:t>
      </w:r>
      <w:r w:rsidR="006D2426" w:rsidRPr="00440E4A">
        <w:t xml:space="preserve">. Project activities addressed the need for </w:t>
      </w:r>
      <w:r w:rsidR="002D4EF4" w:rsidRPr="00440E4A">
        <w:t xml:space="preserve">enhanced capacities in development financing, to support </w:t>
      </w:r>
      <w:r w:rsidR="00933966" w:rsidRPr="00440E4A">
        <w:t xml:space="preserve">resource </w:t>
      </w:r>
      <w:r w:rsidR="00933966" w:rsidRPr="00440E4A">
        <w:t xml:space="preserve">mobilisation </w:t>
      </w:r>
      <w:r w:rsidR="00007E49" w:rsidRPr="00440E4A">
        <w:t xml:space="preserve">and create </w:t>
      </w:r>
      <w:r w:rsidR="00933966" w:rsidRPr="00440E4A">
        <w:t>alignment with national priorities for</w:t>
      </w:r>
      <w:r w:rsidR="00007E49" w:rsidRPr="00440E4A">
        <w:t xml:space="preserve"> sustainable development</w:t>
      </w:r>
      <w:r w:rsidR="004414A7" w:rsidRPr="00440E4A">
        <w:t>.</w:t>
      </w:r>
      <w:r w:rsidR="001A755B" w:rsidRPr="00440E4A">
        <w:t xml:space="preserve"> The</w:t>
      </w:r>
      <w:r w:rsidR="00952C17" w:rsidRPr="00440E4A">
        <w:t xml:space="preserve">re was also evidence of a strategic and functional alignment between the mandates of the </w:t>
      </w:r>
      <w:r w:rsidR="00DE21FA">
        <w:t>executing entities</w:t>
      </w:r>
      <w:r w:rsidR="00952C17" w:rsidRPr="00440E4A">
        <w:t xml:space="preserve"> and the core objectives of the project</w:t>
      </w:r>
      <w:r>
        <w:rPr>
          <w:b/>
          <w:bCs/>
        </w:rPr>
        <w:t xml:space="preserve"> (Related to Findings: #1</w:t>
      </w:r>
      <w:r w:rsidR="00A34B79">
        <w:rPr>
          <w:b/>
          <w:bCs/>
        </w:rPr>
        <w:t xml:space="preserve"> and</w:t>
      </w:r>
      <w:r>
        <w:rPr>
          <w:b/>
          <w:bCs/>
        </w:rPr>
        <w:t xml:space="preserve"> #</w:t>
      </w:r>
      <w:r w:rsidR="004317FC">
        <w:rPr>
          <w:b/>
          <w:bCs/>
        </w:rPr>
        <w:t>2</w:t>
      </w:r>
      <w:r>
        <w:rPr>
          <w:b/>
          <w:bCs/>
        </w:rPr>
        <w:t>).</w:t>
      </w:r>
    </w:p>
    <w:p w14:paraId="5D005436" w14:textId="4954EA88" w:rsidR="00FB0E8A" w:rsidRDefault="00FB0E8A" w:rsidP="00993BB8">
      <w:pPr>
        <w:pStyle w:val="BodyText"/>
      </w:pPr>
      <w:r w:rsidRPr="007B74CE">
        <w:rPr>
          <w:b/>
          <w:bCs/>
        </w:rPr>
        <w:t>Coherence:</w:t>
      </w:r>
      <w:r>
        <w:t xml:space="preserve"> </w:t>
      </w:r>
      <w:r w:rsidR="002C23CF" w:rsidRPr="00F170FC">
        <w:t>T</w:t>
      </w:r>
      <w:r w:rsidR="00FC374F" w:rsidRPr="00F170FC">
        <w:t>here was strong evidence of coherence between the project and similar initiatives</w:t>
      </w:r>
      <w:r w:rsidR="006B36BF">
        <w:t xml:space="preserve"> in INFF development within </w:t>
      </w:r>
      <w:r w:rsidR="00FC374F" w:rsidRPr="00F170FC">
        <w:t xml:space="preserve">the target countries, </w:t>
      </w:r>
      <w:r w:rsidR="00A95560" w:rsidRPr="00F170FC">
        <w:t>as well as an</w:t>
      </w:r>
      <w:r w:rsidR="00FC374F" w:rsidRPr="00F170FC">
        <w:t xml:space="preserve"> alignment </w:t>
      </w:r>
      <w:r w:rsidR="00A95560" w:rsidRPr="00F170FC">
        <w:t>with</w:t>
      </w:r>
      <w:r w:rsidR="00FC374F" w:rsidRPr="00F170FC">
        <w:t xml:space="preserve"> the international development agenda, including the agenda for FfD</w:t>
      </w:r>
      <w:r w:rsidR="00A95560" w:rsidRPr="00F170FC">
        <w:t xml:space="preserve">. </w:t>
      </w:r>
      <w:r w:rsidR="00460676" w:rsidRPr="00F170FC">
        <w:t>In line with the commitment of S</w:t>
      </w:r>
      <w:r w:rsidR="00D33FF3">
        <w:t>tate</w:t>
      </w:r>
      <w:r w:rsidR="00320BAE">
        <w:t>s</w:t>
      </w:r>
      <w:r w:rsidR="00460676" w:rsidRPr="00F170FC">
        <w:t xml:space="preserve"> to </w:t>
      </w:r>
      <w:r w:rsidR="003C2694">
        <w:t xml:space="preserve">the 2030 </w:t>
      </w:r>
      <w:r w:rsidR="00320BAE">
        <w:t>Agenda</w:t>
      </w:r>
      <w:r w:rsidR="003C2694">
        <w:t>,</w:t>
      </w:r>
      <w:r w:rsidR="00460676" w:rsidRPr="00F170FC">
        <w:t xml:space="preserve"> p</w:t>
      </w:r>
      <w:r w:rsidR="00FC374F" w:rsidRPr="00F170FC">
        <w:t xml:space="preserve">roject activities </w:t>
      </w:r>
      <w:r w:rsidR="00D33FF3">
        <w:t xml:space="preserve">contributed towards </w:t>
      </w:r>
      <w:r w:rsidR="00FC374F" w:rsidRPr="00F170FC">
        <w:t xml:space="preserve">a conducive environment for </w:t>
      </w:r>
      <w:r w:rsidR="006321A6">
        <w:t>knowledge-exchange</w:t>
      </w:r>
      <w:r w:rsidR="00FC374F" w:rsidRPr="00F170FC">
        <w:t xml:space="preserve"> and </w:t>
      </w:r>
      <w:r w:rsidR="006321A6">
        <w:t>peer-learning</w:t>
      </w:r>
      <w:r w:rsidR="00FC374F" w:rsidRPr="00F170FC">
        <w:t xml:space="preserve"> across target and non-project countrie</w:t>
      </w:r>
      <w:r w:rsidR="00460676" w:rsidRPr="00F170FC">
        <w:t>s</w:t>
      </w:r>
      <w:r w:rsidR="00FC374F" w:rsidRPr="00F170FC">
        <w:t xml:space="preserve">. </w:t>
      </w:r>
      <w:r w:rsidR="00E0066C">
        <w:t xml:space="preserve">There was some evidence, however, of activity duplication between the INFF project and </w:t>
      </w:r>
      <w:r w:rsidR="001A4F50">
        <w:t xml:space="preserve">projects that were implemented under the Joint SDG Fund Programme </w:t>
      </w:r>
      <w:r>
        <w:rPr>
          <w:b/>
          <w:bCs/>
        </w:rPr>
        <w:t>(Related to Findings #</w:t>
      </w:r>
      <w:r w:rsidR="002C23CF">
        <w:rPr>
          <w:b/>
          <w:bCs/>
        </w:rPr>
        <w:t>3</w:t>
      </w:r>
      <w:r>
        <w:rPr>
          <w:b/>
          <w:bCs/>
        </w:rPr>
        <w:t xml:space="preserve"> and #</w:t>
      </w:r>
      <w:r w:rsidR="002C23CF">
        <w:rPr>
          <w:b/>
          <w:bCs/>
        </w:rPr>
        <w:t>4</w:t>
      </w:r>
      <w:r>
        <w:rPr>
          <w:b/>
          <w:bCs/>
        </w:rPr>
        <w:t>)</w:t>
      </w:r>
      <w:r w:rsidR="00677E4A">
        <w:rPr>
          <w:b/>
          <w:bCs/>
        </w:rPr>
        <w:t>.</w:t>
      </w:r>
    </w:p>
    <w:p w14:paraId="5B328690" w14:textId="336A8EAB" w:rsidR="00FB0E8A" w:rsidRPr="0088727F" w:rsidRDefault="00FB0E8A" w:rsidP="00993BB8">
      <w:pPr>
        <w:pStyle w:val="BodyText"/>
      </w:pPr>
      <w:r w:rsidRPr="007B74CE">
        <w:rPr>
          <w:b/>
          <w:bCs/>
        </w:rPr>
        <w:t>Effectiveness:</w:t>
      </w:r>
      <w:r>
        <w:t xml:space="preserve"> </w:t>
      </w:r>
      <w:r w:rsidR="007C73ED" w:rsidRPr="005053B9">
        <w:t>T</w:t>
      </w:r>
      <w:r w:rsidR="003B5831" w:rsidRPr="005053B9">
        <w:t xml:space="preserve">arget countries gained </w:t>
      </w:r>
      <w:r w:rsidR="007C73ED" w:rsidRPr="005053B9">
        <w:t>increased access to technical assistance, including tailored resources, to strengthen their national capacities for sustainable development financing. The</w:t>
      </w:r>
      <w:r w:rsidR="003B5831" w:rsidRPr="005053B9">
        <w:t xml:space="preserve"> acquired </w:t>
      </w:r>
      <w:r w:rsidR="007C73ED" w:rsidRPr="005053B9">
        <w:t xml:space="preserve">capacities </w:t>
      </w:r>
      <w:r w:rsidR="000A05FA" w:rsidRPr="005053B9">
        <w:t>are useful for</w:t>
      </w:r>
      <w:r w:rsidR="007C73ED" w:rsidRPr="005053B9">
        <w:t xml:space="preserve"> national recovery from the effects of COVID-19</w:t>
      </w:r>
      <w:r w:rsidR="000A05FA" w:rsidRPr="005053B9">
        <w:t xml:space="preserve"> and </w:t>
      </w:r>
      <w:r w:rsidR="007C73ED" w:rsidRPr="005053B9">
        <w:t>resilience</w:t>
      </w:r>
      <w:r w:rsidR="00ED1C6A" w:rsidRPr="005053B9">
        <w:t xml:space="preserve"> </w:t>
      </w:r>
      <w:r w:rsidR="007C73ED" w:rsidRPr="005053B9">
        <w:t xml:space="preserve">to mitigate the effects of future similar crises. </w:t>
      </w:r>
      <w:r w:rsidR="0096347E" w:rsidRPr="005053B9">
        <w:t xml:space="preserve">By creating regional spaces for </w:t>
      </w:r>
      <w:r w:rsidR="006321A6">
        <w:t>knowledge-exchange</w:t>
      </w:r>
      <w:r w:rsidR="0096347E" w:rsidRPr="005053B9">
        <w:t xml:space="preserve"> and peer-learning on INFFs, the project </w:t>
      </w:r>
      <w:r w:rsidR="00AB168A" w:rsidRPr="005053B9">
        <w:t>contributed towards strengthened national capacities</w:t>
      </w:r>
      <w:r w:rsidR="00E02EBC" w:rsidRPr="005053B9">
        <w:t xml:space="preserve">, as well as </w:t>
      </w:r>
      <w:r w:rsidR="00002299" w:rsidRPr="005053B9">
        <w:t xml:space="preserve">a </w:t>
      </w:r>
      <w:r w:rsidR="00E02EBC" w:rsidRPr="005053B9">
        <w:t>demand for contextualised technical assistance on INFFs from target and non-project countries</w:t>
      </w:r>
      <w:r w:rsidR="00002299" w:rsidRPr="005053B9">
        <w:t xml:space="preserve">. </w:t>
      </w:r>
      <w:r w:rsidR="0075506F">
        <w:t>The s</w:t>
      </w:r>
      <w:r w:rsidR="00650636">
        <w:t xml:space="preserve">trategic </w:t>
      </w:r>
      <w:r w:rsidR="0072458E">
        <w:t xml:space="preserve">engagement </w:t>
      </w:r>
      <w:r w:rsidR="0075506F">
        <w:t>of</w:t>
      </w:r>
      <w:r w:rsidR="0072458E">
        <w:t xml:space="preserve"> </w:t>
      </w:r>
      <w:r w:rsidR="005B5F19">
        <w:t xml:space="preserve">UN </w:t>
      </w:r>
      <w:r w:rsidR="00002299" w:rsidRPr="005053B9">
        <w:t>RCOs and UNCTs ha</w:t>
      </w:r>
      <w:r w:rsidR="0072458E">
        <w:t xml:space="preserve">s also </w:t>
      </w:r>
      <w:r w:rsidR="00002299" w:rsidRPr="005053B9">
        <w:t>contributed towards an effective response by the project to the</w:t>
      </w:r>
      <w:r w:rsidR="005053B9" w:rsidRPr="005053B9">
        <w:t>se</w:t>
      </w:r>
      <w:r w:rsidR="00002299" w:rsidRPr="005053B9">
        <w:t xml:space="preserve"> requests</w:t>
      </w:r>
      <w:r w:rsidR="005053B9" w:rsidRPr="005053B9">
        <w:t xml:space="preserve"> </w:t>
      </w:r>
      <w:r>
        <w:rPr>
          <w:b/>
          <w:bCs/>
        </w:rPr>
        <w:t>(Related to Findings #</w:t>
      </w:r>
      <w:r w:rsidR="00640AF8">
        <w:rPr>
          <w:b/>
          <w:bCs/>
        </w:rPr>
        <w:t>5</w:t>
      </w:r>
      <w:r>
        <w:rPr>
          <w:b/>
          <w:bCs/>
        </w:rPr>
        <w:t xml:space="preserve"> </w:t>
      </w:r>
      <w:r w:rsidR="00A34B79">
        <w:rPr>
          <w:b/>
          <w:bCs/>
        </w:rPr>
        <w:t>and</w:t>
      </w:r>
      <w:r>
        <w:rPr>
          <w:b/>
          <w:bCs/>
        </w:rPr>
        <w:t xml:space="preserve"> #</w:t>
      </w:r>
      <w:r w:rsidR="00640AF8">
        <w:rPr>
          <w:b/>
          <w:bCs/>
        </w:rPr>
        <w:t>6</w:t>
      </w:r>
      <w:r>
        <w:rPr>
          <w:b/>
          <w:bCs/>
        </w:rPr>
        <w:t>).</w:t>
      </w:r>
    </w:p>
    <w:p w14:paraId="61AB9143" w14:textId="1FB6968C" w:rsidR="00FB0E8A" w:rsidRPr="000C2F6D" w:rsidRDefault="00FB0E8A" w:rsidP="00993BB8">
      <w:pPr>
        <w:pStyle w:val="BodyText"/>
      </w:pPr>
      <w:r w:rsidRPr="007B74CE">
        <w:rPr>
          <w:b/>
          <w:bCs/>
        </w:rPr>
        <w:t>Efficiency:</w:t>
      </w:r>
      <w:r>
        <w:t xml:space="preserve"> </w:t>
      </w:r>
      <w:r w:rsidR="003D3BE3" w:rsidRPr="00D64E34">
        <w:t>The</w:t>
      </w:r>
      <w:r w:rsidR="00A32777" w:rsidRPr="00D64E34">
        <w:t xml:space="preserve"> project provided </w:t>
      </w:r>
      <w:r w:rsidR="003D3BE3" w:rsidRPr="00D64E34">
        <w:t xml:space="preserve">added value to target and non-project countries and </w:t>
      </w:r>
      <w:r w:rsidR="00A32777" w:rsidRPr="00D64E34">
        <w:t xml:space="preserve">contributed towards </w:t>
      </w:r>
      <w:r w:rsidR="003D3BE3" w:rsidRPr="00D64E34">
        <w:t xml:space="preserve">value for money. </w:t>
      </w:r>
      <w:r w:rsidR="004F2EEB" w:rsidRPr="00D64E34">
        <w:t xml:space="preserve">There was a lack of sufficient clarity, however, </w:t>
      </w:r>
      <w:r w:rsidR="00344F33" w:rsidRPr="00D64E34">
        <w:t>in results expectations at the level of project impact.</w:t>
      </w:r>
      <w:r w:rsidR="00477F63" w:rsidRPr="00D64E34">
        <w:t xml:space="preserve"> Project conceptualisation </w:t>
      </w:r>
      <w:r w:rsidR="00477AA4" w:rsidRPr="00D64E34">
        <w:t>also underestimated the disruptive effects of geopolitic</w:t>
      </w:r>
      <w:r w:rsidR="005A59BE" w:rsidRPr="00D64E34">
        <w:t xml:space="preserve">al factors on project implementation. Although there was effective collaboration between the </w:t>
      </w:r>
      <w:r w:rsidR="001C3C8B" w:rsidRPr="00D64E34">
        <w:t>project executing entities</w:t>
      </w:r>
      <w:r w:rsidR="00A32726" w:rsidRPr="00D64E34">
        <w:t xml:space="preserve"> and a clearly articulated </w:t>
      </w:r>
      <w:r w:rsidR="00D64E34" w:rsidRPr="00D64E34">
        <w:t>role for the Project Coordination Team</w:t>
      </w:r>
      <w:r w:rsidR="00214D5E">
        <w:t>,</w:t>
      </w:r>
      <w:r w:rsidR="001C3C8B" w:rsidRPr="00D64E34">
        <w:t xml:space="preserve"> the management function of </w:t>
      </w:r>
      <w:r w:rsidR="001C3C8B" w:rsidRPr="00D64E34">
        <w:lastRenderedPageBreak/>
        <w:t xml:space="preserve">UNDESA-FSDO was not </w:t>
      </w:r>
      <w:r w:rsidR="00D065AB" w:rsidRPr="00D64E34">
        <w:t>clarified</w:t>
      </w:r>
      <w:r w:rsidR="00310C5B">
        <w:t xml:space="preserve"> </w:t>
      </w:r>
      <w:r>
        <w:rPr>
          <w:b/>
          <w:bCs/>
        </w:rPr>
        <w:t>(Related to Findings #</w:t>
      </w:r>
      <w:r w:rsidR="00340197">
        <w:rPr>
          <w:b/>
          <w:bCs/>
        </w:rPr>
        <w:t>7</w:t>
      </w:r>
      <w:r>
        <w:rPr>
          <w:b/>
          <w:bCs/>
        </w:rPr>
        <w:t xml:space="preserve"> - #1</w:t>
      </w:r>
      <w:r w:rsidR="00340197">
        <w:rPr>
          <w:b/>
          <w:bCs/>
        </w:rPr>
        <w:t>1</w:t>
      </w:r>
      <w:r>
        <w:rPr>
          <w:b/>
          <w:bCs/>
        </w:rPr>
        <w:t>).</w:t>
      </w:r>
    </w:p>
    <w:p w14:paraId="04310221" w14:textId="77777777" w:rsidR="00404791" w:rsidRDefault="00FB0E8A" w:rsidP="00993BB8">
      <w:pPr>
        <w:pStyle w:val="BodyText"/>
      </w:pPr>
      <w:r w:rsidRPr="007B74CE">
        <w:rPr>
          <w:b/>
          <w:bCs/>
        </w:rPr>
        <w:t>Impact:</w:t>
      </w:r>
      <w:r w:rsidR="007F0FF3">
        <w:t xml:space="preserve"> </w:t>
      </w:r>
    </w:p>
    <w:p w14:paraId="60541FE3" w14:textId="36A394FB" w:rsidR="00FB0E8A" w:rsidRPr="007F0FF3" w:rsidRDefault="00575DAD" w:rsidP="00993BB8">
      <w:pPr>
        <w:pStyle w:val="BodyText"/>
        <w:rPr>
          <w:b/>
          <w:bCs/>
        </w:rPr>
      </w:pPr>
      <w:r w:rsidRPr="002D5078">
        <w:t>The project has had an extended reach beyond the target countries to non-project countries</w:t>
      </w:r>
      <w:r w:rsidR="000E3C39" w:rsidRPr="002D5078">
        <w:t>, in which the</w:t>
      </w:r>
      <w:r w:rsidR="007E2AFE" w:rsidRPr="002D5078">
        <w:t>r</w:t>
      </w:r>
      <w:r w:rsidR="000E3C39" w:rsidRPr="002D5078">
        <w:t xml:space="preserve">e has been significant interest in the contextual application of </w:t>
      </w:r>
      <w:r w:rsidR="00F36203">
        <w:t xml:space="preserve">the </w:t>
      </w:r>
      <w:r w:rsidR="000E3C39" w:rsidRPr="002D5078">
        <w:t>INFF</w:t>
      </w:r>
      <w:r w:rsidR="00F36203">
        <w:t xml:space="preserve"> methodology</w:t>
      </w:r>
      <w:r w:rsidR="00C66737" w:rsidRPr="002D5078">
        <w:t>.</w:t>
      </w:r>
      <w:r w:rsidR="00DF3DFF" w:rsidRPr="002D5078">
        <w:t xml:space="preserve"> Relatedly, t</w:t>
      </w:r>
      <w:r w:rsidR="00597310" w:rsidRPr="002D5078">
        <w:t xml:space="preserve">he responsiveness of UN entities to country-level requests for </w:t>
      </w:r>
      <w:r w:rsidR="00371166" w:rsidRPr="002D5078">
        <w:t xml:space="preserve">technical assistance has built on the momentum of </w:t>
      </w:r>
      <w:r w:rsidR="00965E10" w:rsidRPr="002D5078">
        <w:t>the inception workshops</w:t>
      </w:r>
      <w:r w:rsidR="002D5078" w:rsidRPr="002D5078">
        <w:t xml:space="preserve">. </w:t>
      </w:r>
      <w:r w:rsidR="00B62C9E" w:rsidRPr="002D5078">
        <w:t xml:space="preserve">Although the 2025 Sevilla Commitment emerged </w:t>
      </w:r>
      <w:r w:rsidR="00664320" w:rsidRPr="002D5078">
        <w:t>pos</w:t>
      </w:r>
      <w:r w:rsidR="003C4420" w:rsidRPr="002D5078">
        <w:t>t-</w:t>
      </w:r>
      <w:r w:rsidR="00B62C9E" w:rsidRPr="002D5078">
        <w:t>project</w:t>
      </w:r>
      <w:r w:rsidR="003C4420" w:rsidRPr="002D5078">
        <w:t xml:space="preserve">, achieved results </w:t>
      </w:r>
      <w:r w:rsidR="00B62C9E" w:rsidRPr="002D5078">
        <w:t xml:space="preserve">at the level of project impact </w:t>
      </w:r>
      <w:r w:rsidR="00C725F1">
        <w:t xml:space="preserve">have </w:t>
      </w:r>
      <w:r w:rsidR="00B62C9E" w:rsidRPr="002D5078">
        <w:t>aligned with its resolutions</w:t>
      </w:r>
      <w:r w:rsidR="002D5078">
        <w:t xml:space="preserve"> </w:t>
      </w:r>
      <w:r w:rsidR="00FB0E8A" w:rsidRPr="007F0FF3">
        <w:rPr>
          <w:b/>
          <w:bCs/>
        </w:rPr>
        <w:t>(Related to Finding #1</w:t>
      </w:r>
      <w:r w:rsidR="00B62C9E">
        <w:rPr>
          <w:b/>
          <w:bCs/>
        </w:rPr>
        <w:t>2</w:t>
      </w:r>
      <w:r w:rsidR="00FB0E8A" w:rsidRPr="007F0FF3">
        <w:rPr>
          <w:b/>
          <w:bCs/>
        </w:rPr>
        <w:t>).</w:t>
      </w:r>
    </w:p>
    <w:p w14:paraId="1B1EC02C" w14:textId="559C1053" w:rsidR="00FB0E8A" w:rsidRPr="00720D14" w:rsidRDefault="00FB0E8A" w:rsidP="00993BB8">
      <w:pPr>
        <w:pStyle w:val="BodyText"/>
      </w:pPr>
      <w:r w:rsidRPr="007B74CE">
        <w:rPr>
          <w:b/>
          <w:bCs/>
        </w:rPr>
        <w:t>Gender, disability inclusion and human rights:</w:t>
      </w:r>
      <w:r>
        <w:t xml:space="preserve"> </w:t>
      </w:r>
      <w:r w:rsidR="000327AD" w:rsidRPr="00A54E8A">
        <w:t>T</w:t>
      </w:r>
      <w:r w:rsidR="003C1959" w:rsidRPr="00A54E8A">
        <w:t xml:space="preserve">here </w:t>
      </w:r>
      <w:r w:rsidR="000327AD" w:rsidRPr="00A54E8A">
        <w:t xml:space="preserve">was </w:t>
      </w:r>
      <w:r w:rsidR="003C1959" w:rsidRPr="00A54E8A">
        <w:t xml:space="preserve">some evidence of the integration of </w:t>
      </w:r>
      <w:r w:rsidR="000327AD" w:rsidRPr="00A54E8A">
        <w:t>considerations for gender equality; human rights and disability inclusion into project activi</w:t>
      </w:r>
      <w:r w:rsidR="003C1959" w:rsidRPr="00A54E8A">
        <w:t>t</w:t>
      </w:r>
      <w:r w:rsidR="0073378E" w:rsidRPr="00A54E8A">
        <w:t>i</w:t>
      </w:r>
      <w:r w:rsidR="003C1959" w:rsidRPr="00A54E8A">
        <w:t>e</w:t>
      </w:r>
      <w:r w:rsidR="0073378E" w:rsidRPr="00A54E8A">
        <w:t xml:space="preserve">s. </w:t>
      </w:r>
      <w:r w:rsidR="00477C4A" w:rsidRPr="00A54E8A">
        <w:t xml:space="preserve">A systematic approach to </w:t>
      </w:r>
      <w:r w:rsidR="004226CB">
        <w:t>integration</w:t>
      </w:r>
      <w:r w:rsidR="002C36FD">
        <w:t xml:space="preserve"> </w:t>
      </w:r>
      <w:r w:rsidR="00477C4A" w:rsidRPr="00A54E8A">
        <w:t>was no</w:t>
      </w:r>
      <w:r w:rsidR="00A54E8A" w:rsidRPr="00A54E8A">
        <w:t>t</w:t>
      </w:r>
      <w:r w:rsidR="002C36FD">
        <w:t>, however,</w:t>
      </w:r>
      <w:r w:rsidR="00A54E8A" w:rsidRPr="00A54E8A">
        <w:t xml:space="preserve"> evident</w:t>
      </w:r>
      <w:r w:rsidRPr="00720D14">
        <w:t xml:space="preserve"> </w:t>
      </w:r>
      <w:r w:rsidR="00FD5319" w:rsidRPr="00CC386E">
        <w:rPr>
          <w:b/>
          <w:bCs/>
        </w:rPr>
        <w:t>(Related to Finding #1</w:t>
      </w:r>
      <w:r w:rsidR="002D5078">
        <w:rPr>
          <w:b/>
          <w:bCs/>
        </w:rPr>
        <w:t>3</w:t>
      </w:r>
      <w:r w:rsidR="00FD5319" w:rsidRPr="00CC386E">
        <w:rPr>
          <w:b/>
          <w:bCs/>
        </w:rPr>
        <w:t>)</w:t>
      </w:r>
      <w:r w:rsidRPr="00CC386E">
        <w:rPr>
          <w:b/>
          <w:bCs/>
        </w:rPr>
        <w:t>.</w:t>
      </w:r>
      <w:r w:rsidRPr="00720D14">
        <w:t xml:space="preserve"> </w:t>
      </w:r>
    </w:p>
    <w:p w14:paraId="47DE1241" w14:textId="19ADEF66" w:rsidR="00B35875" w:rsidRPr="00993BB8" w:rsidRDefault="00FB0E8A" w:rsidP="00993BB8">
      <w:pPr>
        <w:pStyle w:val="BodyText"/>
        <w:rPr>
          <w:b/>
          <w:bCs/>
        </w:rPr>
      </w:pPr>
      <w:r w:rsidRPr="007B74CE">
        <w:rPr>
          <w:b/>
          <w:bCs/>
        </w:rPr>
        <w:t>Sustainability</w:t>
      </w:r>
      <w:r w:rsidR="00FD5319" w:rsidRPr="007B74CE">
        <w:rPr>
          <w:b/>
          <w:bCs/>
        </w:rPr>
        <w:t>:</w:t>
      </w:r>
      <w:r w:rsidR="00FD5319">
        <w:t xml:space="preserve"> </w:t>
      </w:r>
      <w:r w:rsidR="002213ED">
        <w:t>Based on the incorpora</w:t>
      </w:r>
      <w:r w:rsidR="004C7814">
        <w:t xml:space="preserve">tion of sustainability planning into the project design, there is scope for the </w:t>
      </w:r>
      <w:r w:rsidR="00F42781">
        <w:t xml:space="preserve">sustainability of achieved results. The project facilitated access to resources and tools that can be </w:t>
      </w:r>
      <w:r w:rsidR="00F42781" w:rsidRPr="007709A6">
        <w:t xml:space="preserve">replicated and contextualised, as applicable, to inform INFF </w:t>
      </w:r>
      <w:r w:rsidR="006255B4">
        <w:t>development</w:t>
      </w:r>
      <w:r w:rsidR="00F42781" w:rsidRPr="007709A6">
        <w:t>.</w:t>
      </w:r>
      <w:r w:rsidR="000E4A77" w:rsidRPr="007709A6">
        <w:t xml:space="preserve"> Project implementation also created an interface between UNCTs and individual countries that allows for further collaboration.</w:t>
      </w:r>
      <w:r w:rsidR="00166EE1" w:rsidRPr="007709A6">
        <w:t xml:space="preserve"> Central to the collaborative process, however, is the national prioritisation of sustainable development financing, including the use of </w:t>
      </w:r>
      <w:r w:rsidR="007709A6" w:rsidRPr="007709A6">
        <w:t>the INFF</w:t>
      </w:r>
      <w:r w:rsidR="007709A6">
        <w:t xml:space="preserve"> </w:t>
      </w:r>
      <w:r w:rsidR="00D61CE0">
        <w:rPr>
          <w:b/>
          <w:bCs/>
        </w:rPr>
        <w:t>(Related to Finding #1</w:t>
      </w:r>
      <w:r w:rsidR="00A54E8A">
        <w:rPr>
          <w:b/>
          <w:bCs/>
        </w:rPr>
        <w:t>4</w:t>
      </w:r>
      <w:r w:rsidR="00D61CE0">
        <w:rPr>
          <w:b/>
          <w:bCs/>
        </w:rPr>
        <w:t xml:space="preserve"> and #1</w:t>
      </w:r>
      <w:r w:rsidR="00A54E8A">
        <w:rPr>
          <w:b/>
          <w:bCs/>
        </w:rPr>
        <w:t>5</w:t>
      </w:r>
      <w:r w:rsidR="00D61CE0">
        <w:rPr>
          <w:b/>
          <w:bCs/>
        </w:rPr>
        <w:t>).</w:t>
      </w:r>
    </w:p>
    <w:p w14:paraId="02D0F617" w14:textId="77777777" w:rsidR="005151BB" w:rsidRDefault="005151BB" w:rsidP="00993BB8">
      <w:pPr>
        <w:pStyle w:val="Heading1"/>
        <w:sectPr w:rsidR="005151BB" w:rsidSect="00F666A1">
          <w:type w:val="continuous"/>
          <w:pgSz w:w="12240" w:h="15840" w:code="1"/>
          <w:pgMar w:top="1276" w:right="1276" w:bottom="1588" w:left="1276" w:header="720" w:footer="720" w:gutter="0"/>
          <w:cols w:num="2" w:space="397"/>
          <w:docGrid w:linePitch="360"/>
        </w:sectPr>
      </w:pPr>
    </w:p>
    <w:p w14:paraId="6D97C26C" w14:textId="2EB6B361" w:rsidR="00875969" w:rsidRPr="007D6564" w:rsidRDefault="00875969" w:rsidP="00993BB8">
      <w:pPr>
        <w:pStyle w:val="Heading1"/>
      </w:pPr>
      <w:bookmarkStart w:id="52" w:name="_Toc210730330"/>
      <w:r w:rsidRPr="007D6564">
        <w:lastRenderedPageBreak/>
        <w:t>Recommendations</w:t>
      </w:r>
      <w:bookmarkEnd w:id="52"/>
    </w:p>
    <w:p w14:paraId="257D705A" w14:textId="77777777" w:rsidR="005151BB" w:rsidRDefault="005151BB" w:rsidP="00250296">
      <w:pPr>
        <w:pStyle w:val="BodyText"/>
        <w:sectPr w:rsidR="005151BB" w:rsidSect="00F666A1">
          <w:type w:val="continuous"/>
          <w:pgSz w:w="12240" w:h="15840" w:code="1"/>
          <w:pgMar w:top="1276" w:right="1276" w:bottom="1588" w:left="1276" w:header="720" w:footer="720" w:gutter="0"/>
          <w:cols w:space="720"/>
          <w:docGrid w:linePitch="360"/>
        </w:sectPr>
      </w:pPr>
    </w:p>
    <w:p w14:paraId="226AE0C5" w14:textId="1D45617C" w:rsidR="00BE47EA" w:rsidRDefault="00BE60A1" w:rsidP="00250296">
      <w:pPr>
        <w:pStyle w:val="BodyText"/>
      </w:pPr>
      <w:r w:rsidRPr="00277932">
        <w:t xml:space="preserve">The recommendations </w:t>
      </w:r>
      <w:r w:rsidR="00CD7EC2">
        <w:t xml:space="preserve">of the evaluation have </w:t>
      </w:r>
      <w:r w:rsidR="004F7B79">
        <w:t xml:space="preserve">emerged from </w:t>
      </w:r>
      <w:r w:rsidR="00CD7EC2">
        <w:t xml:space="preserve">the main findings and conclusions </w:t>
      </w:r>
      <w:r w:rsidR="004F7B79">
        <w:t xml:space="preserve">of the exercise. </w:t>
      </w:r>
      <w:r w:rsidR="00BE47EA">
        <w:t xml:space="preserve">They are presented as optional actions to </w:t>
      </w:r>
      <w:r w:rsidR="004F7B79">
        <w:t xml:space="preserve">inform the </w:t>
      </w:r>
      <w:r w:rsidR="006020D3">
        <w:t xml:space="preserve">next </w:t>
      </w:r>
      <w:r w:rsidR="004F7B79">
        <w:t xml:space="preserve">steps for </w:t>
      </w:r>
      <w:r w:rsidR="006E3748">
        <w:t xml:space="preserve">programming. As it is unconfirmed whether there will be a second phase of the project, </w:t>
      </w:r>
      <w:r w:rsidR="007C5464">
        <w:t xml:space="preserve">each recommendation has been broadly assigned to the </w:t>
      </w:r>
      <w:r w:rsidR="007B3BC0">
        <w:t xml:space="preserve">most suitable </w:t>
      </w:r>
      <w:r w:rsidR="00FA675A">
        <w:t>parties</w:t>
      </w:r>
      <w:r w:rsidR="006020D3">
        <w:t>,</w:t>
      </w:r>
      <w:r w:rsidR="00FA675A">
        <w:t xml:space="preserve"> </w:t>
      </w:r>
      <w:r w:rsidR="007B3BC0">
        <w:t xml:space="preserve">based on the </w:t>
      </w:r>
      <w:r w:rsidR="006B389E">
        <w:t xml:space="preserve">roles that were associated with the </w:t>
      </w:r>
      <w:r w:rsidR="007B3BC0">
        <w:t>evaluated project.</w:t>
      </w:r>
      <w:r w:rsidR="00FA675A">
        <w:t xml:space="preserve"> </w:t>
      </w:r>
    </w:p>
    <w:p w14:paraId="66DD73E2" w14:textId="6FD53B94" w:rsidR="00E40AD0" w:rsidRPr="00C10714" w:rsidRDefault="00BE60A1" w:rsidP="00250296">
      <w:pPr>
        <w:pStyle w:val="BodyText"/>
      </w:pPr>
      <w:r w:rsidRPr="00277932">
        <w:rPr>
          <w:b/>
          <w:bCs/>
        </w:rPr>
        <w:t xml:space="preserve">Recommendation 1: </w:t>
      </w:r>
      <w:r w:rsidR="006A033A" w:rsidRPr="00045AF1">
        <w:t xml:space="preserve">Project conceptualisation should be preceded by a scoping session and/ or </w:t>
      </w:r>
      <w:r w:rsidR="00D23173" w:rsidRPr="00045AF1">
        <w:t xml:space="preserve">planning meeting between </w:t>
      </w:r>
      <w:r w:rsidR="00560404">
        <w:t xml:space="preserve">the executing </w:t>
      </w:r>
      <w:r w:rsidR="00D23173" w:rsidRPr="00045AF1">
        <w:t>entities</w:t>
      </w:r>
      <w:r w:rsidR="00B97F21">
        <w:t>,</w:t>
      </w:r>
      <w:r w:rsidR="00814F1C">
        <w:t xml:space="preserve"> an</w:t>
      </w:r>
      <w:r w:rsidR="00C847AF">
        <w:t>d the cooperating entities,</w:t>
      </w:r>
      <w:r w:rsidR="00D23173" w:rsidRPr="00045AF1">
        <w:t xml:space="preserve"> to </w:t>
      </w:r>
      <w:r w:rsidR="00045AF1" w:rsidRPr="00045AF1">
        <w:t>establish synergies</w:t>
      </w:r>
      <w:r w:rsidR="00495F01">
        <w:t>;</w:t>
      </w:r>
      <w:r w:rsidR="00DB4127">
        <w:t xml:space="preserve"> </w:t>
      </w:r>
      <w:r w:rsidR="00495F01">
        <w:t>enhance relevance;</w:t>
      </w:r>
      <w:r w:rsidR="00045AF1" w:rsidRPr="00045AF1">
        <w:t xml:space="preserve"> and </w:t>
      </w:r>
      <w:r w:rsidR="00B62B9D" w:rsidRPr="00045AF1">
        <w:t xml:space="preserve">minimise </w:t>
      </w:r>
      <w:r w:rsidR="002D4D27">
        <w:t xml:space="preserve">risk, including </w:t>
      </w:r>
      <w:r w:rsidR="00B62B9D" w:rsidRPr="00045AF1">
        <w:t>the po</w:t>
      </w:r>
      <w:r w:rsidR="006A033A" w:rsidRPr="00045AF1">
        <w:t>s</w:t>
      </w:r>
      <w:r w:rsidR="00B62B9D" w:rsidRPr="00045AF1">
        <w:t xml:space="preserve">sibility for and perception of duplicated </w:t>
      </w:r>
      <w:r w:rsidR="00045AF1" w:rsidRPr="00045AF1">
        <w:t>efforts</w:t>
      </w:r>
      <w:r w:rsidR="00C10714">
        <w:t>.</w:t>
      </w:r>
      <w:r w:rsidR="00045AF1">
        <w:t xml:space="preserve"> </w:t>
      </w:r>
      <w:r w:rsidR="00045AF1" w:rsidRPr="009F0551">
        <w:rPr>
          <w:b/>
          <w:bCs/>
        </w:rPr>
        <w:t>(Related to Findings</w:t>
      </w:r>
      <w:r w:rsidR="00495F01">
        <w:rPr>
          <w:b/>
          <w:bCs/>
        </w:rPr>
        <w:t xml:space="preserve"> #3; #9</w:t>
      </w:r>
      <w:r w:rsidR="002552C8">
        <w:rPr>
          <w:b/>
          <w:bCs/>
        </w:rPr>
        <w:t>; and #14</w:t>
      </w:r>
      <w:r w:rsidR="00045AF1" w:rsidRPr="009F0551">
        <w:rPr>
          <w:b/>
          <w:bCs/>
        </w:rPr>
        <w:t>).</w:t>
      </w:r>
    </w:p>
    <w:p w14:paraId="2B4FC412" w14:textId="56EBC323" w:rsidR="00C816A4" w:rsidRDefault="00592118" w:rsidP="00250296">
      <w:pPr>
        <w:pStyle w:val="BodyText"/>
      </w:pPr>
      <w:r>
        <w:t xml:space="preserve">The </w:t>
      </w:r>
      <w:r w:rsidR="004D56C8">
        <w:t xml:space="preserve">project design was informed by a situation analysis and country assessment </w:t>
      </w:r>
      <w:r w:rsidR="001059FC">
        <w:t xml:space="preserve">of </w:t>
      </w:r>
      <w:r w:rsidR="00235065">
        <w:t xml:space="preserve">the context of development financing in </w:t>
      </w:r>
      <w:r w:rsidR="00DB1820">
        <w:t xml:space="preserve">prospective target countries. </w:t>
      </w:r>
      <w:r w:rsidR="001456E1">
        <w:t>This exercise was conducted by desk review</w:t>
      </w:r>
      <w:r w:rsidR="003A52D5">
        <w:t xml:space="preserve"> and provided </w:t>
      </w:r>
      <w:r w:rsidR="004838F4">
        <w:t>reliable</w:t>
      </w:r>
      <w:r w:rsidR="002552C8">
        <w:t xml:space="preserve"> but incomplete</w:t>
      </w:r>
      <w:r w:rsidR="004838F4">
        <w:t xml:space="preserve"> informa</w:t>
      </w:r>
      <w:r w:rsidR="00AB5538">
        <w:t>tion</w:t>
      </w:r>
      <w:r w:rsidR="005723CF">
        <w:t xml:space="preserve">. </w:t>
      </w:r>
      <w:r w:rsidR="008B1054">
        <w:t xml:space="preserve">First, the </w:t>
      </w:r>
      <w:r w:rsidR="00D279E4">
        <w:t xml:space="preserve">role of UNDP in </w:t>
      </w:r>
      <w:r w:rsidR="00011F14">
        <w:t>supporting INFF develop</w:t>
      </w:r>
      <w:r w:rsidR="00417390">
        <w:t xml:space="preserve">ment was not factored into the project document. </w:t>
      </w:r>
      <w:r w:rsidR="00D44D9A">
        <w:t>As UNDP was providing INFF-related support to identified target countries during the project</w:t>
      </w:r>
      <w:r w:rsidR="000644C6">
        <w:t>, there were instances of latent tension</w:t>
      </w:r>
      <w:r w:rsidR="00174190">
        <w:t>, as well as confusion</w:t>
      </w:r>
      <w:r w:rsidR="00BD4EA1">
        <w:t>,</w:t>
      </w:r>
      <w:r w:rsidR="00174190">
        <w:t xml:space="preserve"> because of a perception of </w:t>
      </w:r>
      <w:r w:rsidR="00F9297C">
        <w:t>duplicati</w:t>
      </w:r>
      <w:r w:rsidR="004230A5">
        <w:t xml:space="preserve">on. Second, </w:t>
      </w:r>
      <w:r w:rsidR="00610E92">
        <w:t xml:space="preserve">because of </w:t>
      </w:r>
      <w:r w:rsidR="00705C11">
        <w:t xml:space="preserve">the possible </w:t>
      </w:r>
      <w:r w:rsidR="00610E92">
        <w:t>implications for results achi</w:t>
      </w:r>
      <w:r w:rsidR="00705C11">
        <w:t>evement, it was necessary to replace two target countries.</w:t>
      </w:r>
      <w:r w:rsidR="003F540E">
        <w:t xml:space="preserve"> While </w:t>
      </w:r>
      <w:r w:rsidR="0057522E">
        <w:t xml:space="preserve">Samoa </w:t>
      </w:r>
      <w:r w:rsidR="003F540E">
        <w:t>met the criteria</w:t>
      </w:r>
      <w:r w:rsidR="00BD4EA1">
        <w:t xml:space="preserve"> for selection as one of the replacement countries</w:t>
      </w:r>
      <w:r w:rsidR="00462644">
        <w:t>,</w:t>
      </w:r>
      <w:r w:rsidR="005B6121">
        <w:t xml:space="preserve"> it is known to be challenged by human resource constrai</w:t>
      </w:r>
      <w:r w:rsidR="00B10401">
        <w:t xml:space="preserve">nts in public administration. </w:t>
      </w:r>
      <w:r w:rsidR="00897667">
        <w:t>Third, although it is not possible to accurately for</w:t>
      </w:r>
      <w:r w:rsidR="00261A28">
        <w:t>e</w:t>
      </w:r>
      <w:r w:rsidR="00897667">
        <w:t>see emergent risks</w:t>
      </w:r>
      <w:r w:rsidR="00261A28">
        <w:t xml:space="preserve">, the workings of the electoral system in </w:t>
      </w:r>
      <w:r w:rsidR="0045700A">
        <w:t xml:space="preserve">Latin America and the Caribbean, with emphasis on changes in </w:t>
      </w:r>
      <w:r w:rsidR="007612A1">
        <w:t>government</w:t>
      </w:r>
      <w:r w:rsidR="00D73232">
        <w:t xml:space="preserve"> (although not unique to the region)</w:t>
      </w:r>
      <w:r w:rsidR="00BE0B7C">
        <w:t>,</w:t>
      </w:r>
      <w:r w:rsidR="0045700A">
        <w:t xml:space="preserve"> are known to the REC for the region.</w:t>
      </w:r>
      <w:r w:rsidR="00BF3D86">
        <w:t xml:space="preserve"> </w:t>
      </w:r>
      <w:r w:rsidR="00F2700C">
        <w:t>T</w:t>
      </w:r>
      <w:r w:rsidR="00FF5C81">
        <w:t xml:space="preserve">he </w:t>
      </w:r>
      <w:r w:rsidR="00937705">
        <w:t xml:space="preserve">REC is </w:t>
      </w:r>
      <w:r w:rsidR="00FF5C81">
        <w:t xml:space="preserve">further </w:t>
      </w:r>
      <w:r w:rsidR="00937705">
        <w:t>aware th</w:t>
      </w:r>
      <w:r w:rsidR="00E9432D">
        <w:t xml:space="preserve">at </w:t>
      </w:r>
      <w:r w:rsidR="00FF5C81">
        <w:t xml:space="preserve">a </w:t>
      </w:r>
      <w:r w:rsidR="00E9432D">
        <w:t>chang</w:t>
      </w:r>
      <w:r w:rsidR="00FF5C81">
        <w:t xml:space="preserve">e in government administration </w:t>
      </w:r>
      <w:r w:rsidR="00C73AA1">
        <w:t xml:space="preserve">is likely to contribute towards delayed project implementation and results achievement </w:t>
      </w:r>
      <w:r w:rsidR="008C374C">
        <w:t xml:space="preserve">while </w:t>
      </w:r>
      <w:r w:rsidR="00C73AA1">
        <w:t>project implementers build a relationship with new government</w:t>
      </w:r>
      <w:r w:rsidR="008C374C">
        <w:t>s</w:t>
      </w:r>
      <w:r w:rsidR="00C73AA1">
        <w:t xml:space="preserve">. </w:t>
      </w:r>
      <w:r w:rsidR="00B21BDC">
        <w:t xml:space="preserve">A scoping </w:t>
      </w:r>
      <w:r w:rsidR="00556DB0">
        <w:t>exercise</w:t>
      </w:r>
      <w:r w:rsidR="00B21BDC">
        <w:t>, involving consultation</w:t>
      </w:r>
      <w:r w:rsidR="00556DB0">
        <w:t>s</w:t>
      </w:r>
      <w:r w:rsidR="00B21BDC">
        <w:t xml:space="preserve"> with the </w:t>
      </w:r>
      <w:r w:rsidR="003D385B">
        <w:t>executing entities</w:t>
      </w:r>
      <w:r w:rsidR="00893F23">
        <w:t xml:space="preserve"> (within this context, the </w:t>
      </w:r>
      <w:r w:rsidR="003D385B">
        <w:t>RECs</w:t>
      </w:r>
      <w:r w:rsidR="00893F23">
        <w:t>)</w:t>
      </w:r>
      <w:r w:rsidR="00BE0B7C">
        <w:t xml:space="preserve">; </w:t>
      </w:r>
      <w:r w:rsidR="0075093C">
        <w:t>a proposal planning meeting with UNDP</w:t>
      </w:r>
      <w:r w:rsidR="00BE0B7C">
        <w:t>;</w:t>
      </w:r>
      <w:r w:rsidR="00C247B3">
        <w:t xml:space="preserve"> and the identification of </w:t>
      </w:r>
      <w:r w:rsidR="00B605C0">
        <w:t xml:space="preserve">potential </w:t>
      </w:r>
      <w:r w:rsidR="00C247B3">
        <w:t>replacement countries with the capacit</w:t>
      </w:r>
      <w:r w:rsidR="00CC0F1A">
        <w:t xml:space="preserve">y for effective project </w:t>
      </w:r>
      <w:r w:rsidR="00CC0F1A">
        <w:t>engagement</w:t>
      </w:r>
      <w:r w:rsidR="001E14C6">
        <w:t>,</w:t>
      </w:r>
      <w:r w:rsidR="00CC0F1A">
        <w:t xml:space="preserve"> could have been </w:t>
      </w:r>
      <w:r w:rsidR="00135364">
        <w:t xml:space="preserve">used </w:t>
      </w:r>
      <w:r w:rsidR="00CC0F1A">
        <w:t>to minimise th</w:t>
      </w:r>
      <w:r w:rsidR="00E358C4">
        <w:t>e challenge</w:t>
      </w:r>
      <w:r w:rsidR="00F75626">
        <w:t>s</w:t>
      </w:r>
      <w:r w:rsidR="00E358C4">
        <w:t xml:space="preserve"> </w:t>
      </w:r>
      <w:r w:rsidR="00CC0F1A">
        <w:t>to results achievement</w:t>
      </w:r>
      <w:r w:rsidR="00380311">
        <w:t>.</w:t>
      </w:r>
      <w:r w:rsidR="007260FB">
        <w:t xml:space="preserve"> </w:t>
      </w:r>
      <w:r w:rsidR="009C01E7">
        <w:t xml:space="preserve">The </w:t>
      </w:r>
      <w:r w:rsidR="007260FB">
        <w:t>combination</w:t>
      </w:r>
      <w:r w:rsidR="009C01E7">
        <w:t xml:space="preserve"> of </w:t>
      </w:r>
      <w:r w:rsidR="00933DB2">
        <w:t xml:space="preserve">scoping exercise and planning meeting would have </w:t>
      </w:r>
      <w:r w:rsidR="00AA3122">
        <w:t xml:space="preserve">informed </w:t>
      </w:r>
      <w:r w:rsidR="00933DB2">
        <w:t xml:space="preserve">the establishment of a project timeframe </w:t>
      </w:r>
      <w:r w:rsidR="00AA4F4B">
        <w:t xml:space="preserve">that was in parallel with </w:t>
      </w:r>
      <w:r w:rsidR="00A115CF">
        <w:t>the admin</w:t>
      </w:r>
      <w:r w:rsidR="0076775E">
        <w:t xml:space="preserve">istrative </w:t>
      </w:r>
      <w:r w:rsidR="00FA0A5B">
        <w:t xml:space="preserve">term </w:t>
      </w:r>
      <w:r w:rsidR="0076775E">
        <w:t>of sitting governments.</w:t>
      </w:r>
      <w:r w:rsidR="00AA4F4B">
        <w:t xml:space="preserve"> </w:t>
      </w:r>
    </w:p>
    <w:tbl>
      <w:tblPr>
        <w:tblStyle w:val="BlueTable"/>
        <w:tblW w:w="0" w:type="auto"/>
        <w:tblLook w:val="0420" w:firstRow="1" w:lastRow="0" w:firstColumn="0" w:lastColumn="0" w:noHBand="0" w:noVBand="1"/>
      </w:tblPr>
      <w:tblGrid>
        <w:gridCol w:w="1977"/>
        <w:gridCol w:w="1134"/>
        <w:gridCol w:w="1518"/>
      </w:tblGrid>
      <w:tr w:rsidR="00BE60A1" w:rsidRPr="00250296" w14:paraId="1156EF5B"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346D85B9" w14:textId="77777777" w:rsidR="00BE60A1" w:rsidRPr="00250296" w:rsidRDefault="00BE60A1" w:rsidP="00C469CD">
            <w:pPr>
              <w:rPr>
                <w:rFonts w:eastAsiaTheme="minorHAnsi"/>
              </w:rPr>
            </w:pPr>
            <w:r w:rsidRPr="00250296">
              <w:rPr>
                <w:rFonts w:eastAsiaTheme="minorHAnsi"/>
              </w:rPr>
              <w:t>Responsible party</w:t>
            </w:r>
          </w:p>
        </w:tc>
        <w:tc>
          <w:tcPr>
            <w:tcW w:w="1134" w:type="dxa"/>
            <w:vAlign w:val="center"/>
          </w:tcPr>
          <w:p w14:paraId="68AFD85B" w14:textId="77777777" w:rsidR="00BE60A1" w:rsidRPr="00250296" w:rsidRDefault="00BE60A1" w:rsidP="00813CC4">
            <w:pPr>
              <w:jc w:val="center"/>
              <w:rPr>
                <w:rFonts w:eastAsiaTheme="minorHAnsi"/>
              </w:rPr>
            </w:pPr>
            <w:r w:rsidRPr="00250296">
              <w:rPr>
                <w:rFonts w:eastAsiaTheme="minorHAnsi"/>
              </w:rPr>
              <w:t>Priority</w:t>
            </w:r>
          </w:p>
        </w:tc>
        <w:tc>
          <w:tcPr>
            <w:tcW w:w="1518" w:type="dxa"/>
            <w:vAlign w:val="center"/>
          </w:tcPr>
          <w:p w14:paraId="3D0C0635" w14:textId="77777777" w:rsidR="00BE60A1" w:rsidRPr="00250296" w:rsidRDefault="00BE60A1" w:rsidP="00813CC4">
            <w:pPr>
              <w:jc w:val="center"/>
              <w:rPr>
                <w:rFonts w:eastAsiaTheme="minorHAnsi"/>
              </w:rPr>
            </w:pPr>
            <w:r w:rsidRPr="00250296">
              <w:rPr>
                <w:rFonts w:eastAsiaTheme="minorHAnsi"/>
              </w:rPr>
              <w:t>Estimated resource requirements</w:t>
            </w:r>
          </w:p>
        </w:tc>
      </w:tr>
      <w:tr w:rsidR="00BE60A1" w:rsidRPr="00250296" w14:paraId="57E0F579" w14:textId="77777777" w:rsidTr="00C469CD">
        <w:tc>
          <w:tcPr>
            <w:tcW w:w="1977" w:type="dxa"/>
          </w:tcPr>
          <w:p w14:paraId="4F293034" w14:textId="49DEB131" w:rsidR="00BE60A1" w:rsidRPr="00250296" w:rsidRDefault="009F0551" w:rsidP="00250296">
            <w:pPr>
              <w:rPr>
                <w:rFonts w:eastAsiaTheme="minorHAnsi"/>
              </w:rPr>
            </w:pPr>
            <w:r w:rsidRPr="00250296">
              <w:rPr>
                <w:rFonts w:eastAsiaTheme="minorHAnsi"/>
              </w:rPr>
              <w:t>Pro</w:t>
            </w:r>
            <w:r w:rsidR="00153D94">
              <w:rPr>
                <w:rFonts w:eastAsiaTheme="minorHAnsi"/>
              </w:rPr>
              <w:t>posal writer/ Project</w:t>
            </w:r>
            <w:r w:rsidRPr="00250296">
              <w:rPr>
                <w:rFonts w:eastAsiaTheme="minorHAnsi"/>
              </w:rPr>
              <w:t xml:space="preserve"> Manager</w:t>
            </w:r>
          </w:p>
        </w:tc>
        <w:tc>
          <w:tcPr>
            <w:tcW w:w="1134" w:type="dxa"/>
          </w:tcPr>
          <w:p w14:paraId="7A2B12EE" w14:textId="77777777" w:rsidR="00BE60A1" w:rsidRPr="00250296" w:rsidRDefault="00BE60A1" w:rsidP="00250296">
            <w:pPr>
              <w:rPr>
                <w:rFonts w:eastAsiaTheme="minorHAnsi"/>
              </w:rPr>
            </w:pPr>
            <w:r w:rsidRPr="00250296">
              <w:rPr>
                <w:rFonts w:eastAsiaTheme="minorHAnsi"/>
              </w:rPr>
              <w:t>High</w:t>
            </w:r>
          </w:p>
        </w:tc>
        <w:tc>
          <w:tcPr>
            <w:tcW w:w="1518" w:type="dxa"/>
          </w:tcPr>
          <w:p w14:paraId="61821EB5" w14:textId="000440E8" w:rsidR="00BE60A1" w:rsidRPr="00250296" w:rsidRDefault="00BE60A1" w:rsidP="00250296">
            <w:pPr>
              <w:rPr>
                <w:rFonts w:eastAsiaTheme="minorHAnsi"/>
              </w:rPr>
            </w:pPr>
            <w:r w:rsidRPr="00250296">
              <w:rPr>
                <w:rFonts w:eastAsiaTheme="minorHAnsi"/>
              </w:rPr>
              <w:t>Low</w:t>
            </w:r>
            <w:r w:rsidR="00341754">
              <w:rPr>
                <w:rFonts w:eastAsiaTheme="minorHAnsi"/>
              </w:rPr>
              <w:t xml:space="preserve"> - Medium</w:t>
            </w:r>
          </w:p>
        </w:tc>
      </w:tr>
    </w:tbl>
    <w:p w14:paraId="29F2D58F" w14:textId="600F3413" w:rsidR="001044DE" w:rsidRPr="00277932" w:rsidRDefault="001044DE" w:rsidP="001E14C6">
      <w:pPr>
        <w:pStyle w:val="BodyText"/>
        <w:spacing w:before="240"/>
        <w:rPr>
          <w:b/>
          <w:bCs/>
        </w:rPr>
      </w:pPr>
      <w:r w:rsidRPr="00277932">
        <w:rPr>
          <w:b/>
          <w:bCs/>
        </w:rPr>
        <w:t xml:space="preserve">Recommendation 2: </w:t>
      </w:r>
      <w:r w:rsidR="00B25020" w:rsidRPr="00003C45">
        <w:t xml:space="preserve">Clarified </w:t>
      </w:r>
      <w:r w:rsidR="00523DD6" w:rsidRPr="00003C45">
        <w:t>roles and responsibilit</w:t>
      </w:r>
      <w:r w:rsidR="00B25020" w:rsidRPr="00003C45">
        <w:t xml:space="preserve">ies at the level of project </w:t>
      </w:r>
      <w:r w:rsidR="00F8756F" w:rsidRPr="00003C45">
        <w:t xml:space="preserve">management and </w:t>
      </w:r>
      <w:r w:rsidR="00D24F97">
        <w:t>activity</w:t>
      </w:r>
      <w:r w:rsidR="008B6EFC" w:rsidRPr="00003C45">
        <w:t xml:space="preserve"> </w:t>
      </w:r>
      <w:r w:rsidR="00F8756F" w:rsidRPr="00003C45">
        <w:t xml:space="preserve">coordination should be established to </w:t>
      </w:r>
      <w:r w:rsidR="008515B7" w:rsidRPr="00003C45">
        <w:t xml:space="preserve">allow for efficient oversight </w:t>
      </w:r>
      <w:r w:rsidR="00BF1C7D" w:rsidRPr="00003C45">
        <w:t>throughout the implementation timeframe</w:t>
      </w:r>
      <w:r w:rsidR="00003C45">
        <w:t xml:space="preserve"> </w:t>
      </w:r>
      <w:r w:rsidRPr="009F0551">
        <w:rPr>
          <w:b/>
          <w:bCs/>
        </w:rPr>
        <w:t xml:space="preserve">(Related to </w:t>
      </w:r>
      <w:r w:rsidR="009F0551" w:rsidRPr="009F0551">
        <w:rPr>
          <w:b/>
          <w:bCs/>
        </w:rPr>
        <w:t xml:space="preserve">All </w:t>
      </w:r>
      <w:r w:rsidRPr="009F0551">
        <w:rPr>
          <w:b/>
          <w:bCs/>
        </w:rPr>
        <w:t>Findings</w:t>
      </w:r>
      <w:r w:rsidR="009F0551" w:rsidRPr="009F0551">
        <w:rPr>
          <w:b/>
          <w:bCs/>
        </w:rPr>
        <w:t>).</w:t>
      </w:r>
    </w:p>
    <w:p w14:paraId="02206E78" w14:textId="6ACE604C" w:rsidR="00CD7EC2" w:rsidRDefault="007C427A" w:rsidP="00250296">
      <w:pPr>
        <w:pStyle w:val="BodyText"/>
      </w:pPr>
      <w:r>
        <w:t xml:space="preserve">The </w:t>
      </w:r>
      <w:r w:rsidR="00AE4C52">
        <w:t xml:space="preserve">role of the Project Coordination Team, including the specific responsibilities of identified members, was </w:t>
      </w:r>
      <w:r w:rsidR="007A0EF0">
        <w:t xml:space="preserve">clearly articulated within the project document. There was no specific indication, however, of the </w:t>
      </w:r>
      <w:r w:rsidR="005A60D9">
        <w:t>designated responsibilities for project management, which are distinct from project coordination.</w:t>
      </w:r>
      <w:r w:rsidR="00E72324">
        <w:t xml:space="preserve"> As a result, the level of management oversight that was required to address inherent challenges to the project was lacking. These challenges include</w:t>
      </w:r>
      <w:r w:rsidR="00F57B4E">
        <w:t>d</w:t>
      </w:r>
      <w:r w:rsidR="00E72324">
        <w:t xml:space="preserve">, inter alia, limited human resources within the </w:t>
      </w:r>
      <w:r w:rsidR="000D7E1A">
        <w:t xml:space="preserve">core project team; </w:t>
      </w:r>
      <w:r w:rsidR="00437201">
        <w:t xml:space="preserve">and </w:t>
      </w:r>
      <w:r w:rsidR="000D7E1A">
        <w:t xml:space="preserve">decentralised implementation that </w:t>
      </w:r>
      <w:r w:rsidR="00976550">
        <w:t>countered</w:t>
      </w:r>
      <w:r w:rsidR="00437201">
        <w:t xml:space="preserve"> the facilitation of</w:t>
      </w:r>
      <w:r w:rsidR="00976550">
        <w:t xml:space="preserve"> a harmonised approach </w:t>
      </w:r>
      <w:r w:rsidR="002C543E">
        <w:t xml:space="preserve">to capacity-strengthening </w:t>
      </w:r>
      <w:r w:rsidR="000531BE">
        <w:t xml:space="preserve">on the </w:t>
      </w:r>
      <w:r w:rsidR="002C543E">
        <w:t xml:space="preserve">INFF </w:t>
      </w:r>
      <w:r w:rsidR="000531BE">
        <w:t>methodology</w:t>
      </w:r>
      <w:r w:rsidR="00C815CF">
        <w:t>.</w:t>
      </w:r>
      <w:r w:rsidR="002C543E">
        <w:t xml:space="preserve"> </w:t>
      </w:r>
      <w:r w:rsidR="00B43FED">
        <w:t>A clearly defined project management rol</w:t>
      </w:r>
      <w:r w:rsidR="00812950">
        <w:t>e</w:t>
      </w:r>
      <w:r w:rsidR="00B43FED">
        <w:t xml:space="preserve"> would have allowed UNDESA-FSDO to control the pace and format of project implementation. </w:t>
      </w:r>
    </w:p>
    <w:tbl>
      <w:tblPr>
        <w:tblStyle w:val="BlueTable"/>
        <w:tblW w:w="0" w:type="auto"/>
        <w:tblInd w:w="-3" w:type="dxa"/>
        <w:tblLook w:val="0420" w:firstRow="1" w:lastRow="0" w:firstColumn="0" w:lastColumn="0" w:noHBand="0" w:noVBand="1"/>
      </w:tblPr>
      <w:tblGrid>
        <w:gridCol w:w="1977"/>
        <w:gridCol w:w="1134"/>
        <w:gridCol w:w="1518"/>
      </w:tblGrid>
      <w:tr w:rsidR="00C469CD" w:rsidRPr="00250296" w14:paraId="0F473D42"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50AFFC4D" w14:textId="77777777" w:rsidR="00C469CD" w:rsidRPr="00250296" w:rsidRDefault="00C469CD" w:rsidP="00C53C99">
            <w:pPr>
              <w:rPr>
                <w:rFonts w:eastAsiaTheme="minorHAnsi"/>
              </w:rPr>
            </w:pPr>
            <w:r w:rsidRPr="00250296">
              <w:rPr>
                <w:rFonts w:eastAsiaTheme="minorHAnsi"/>
              </w:rPr>
              <w:t>Responsible party</w:t>
            </w:r>
          </w:p>
        </w:tc>
        <w:tc>
          <w:tcPr>
            <w:tcW w:w="1134" w:type="dxa"/>
            <w:vAlign w:val="center"/>
          </w:tcPr>
          <w:p w14:paraId="0A6EFC1A" w14:textId="77777777" w:rsidR="00C469CD" w:rsidRPr="00250296" w:rsidRDefault="00C469CD" w:rsidP="00813CC4">
            <w:pPr>
              <w:jc w:val="center"/>
              <w:rPr>
                <w:rFonts w:eastAsiaTheme="minorHAnsi"/>
              </w:rPr>
            </w:pPr>
            <w:r w:rsidRPr="00250296">
              <w:rPr>
                <w:rFonts w:eastAsiaTheme="minorHAnsi"/>
              </w:rPr>
              <w:t>Priority</w:t>
            </w:r>
          </w:p>
        </w:tc>
        <w:tc>
          <w:tcPr>
            <w:tcW w:w="1518" w:type="dxa"/>
            <w:vAlign w:val="center"/>
          </w:tcPr>
          <w:p w14:paraId="5ECA3B06" w14:textId="77777777" w:rsidR="00C469CD" w:rsidRPr="00250296" w:rsidRDefault="00C469CD" w:rsidP="00813CC4">
            <w:pPr>
              <w:jc w:val="center"/>
              <w:rPr>
                <w:rFonts w:eastAsiaTheme="minorHAnsi"/>
              </w:rPr>
            </w:pPr>
            <w:r w:rsidRPr="00250296">
              <w:rPr>
                <w:rFonts w:eastAsiaTheme="minorHAnsi"/>
              </w:rPr>
              <w:t>Estimated resource requirements</w:t>
            </w:r>
          </w:p>
        </w:tc>
      </w:tr>
      <w:tr w:rsidR="00C469CD" w:rsidRPr="00250296" w14:paraId="03DC8CE5" w14:textId="77777777" w:rsidTr="00C469CD">
        <w:tc>
          <w:tcPr>
            <w:tcW w:w="1977" w:type="dxa"/>
          </w:tcPr>
          <w:p w14:paraId="37A64BC0" w14:textId="77777777" w:rsidR="002168F5" w:rsidRDefault="0046579E" w:rsidP="00C469CD">
            <w:pPr>
              <w:rPr>
                <w:rFonts w:eastAsiaTheme="minorHAnsi"/>
              </w:rPr>
            </w:pPr>
            <w:r>
              <w:rPr>
                <w:rFonts w:eastAsiaTheme="minorHAnsi"/>
              </w:rPr>
              <w:t xml:space="preserve">UNDESA </w:t>
            </w:r>
          </w:p>
          <w:p w14:paraId="3B05CBEB" w14:textId="28FCE7EC" w:rsidR="00C469CD" w:rsidRPr="00250296" w:rsidRDefault="0046579E" w:rsidP="00C469CD">
            <w:pPr>
              <w:rPr>
                <w:rFonts w:eastAsiaTheme="minorHAnsi"/>
              </w:rPr>
            </w:pPr>
            <w:r>
              <w:rPr>
                <w:rFonts w:eastAsiaTheme="minorHAnsi"/>
              </w:rPr>
              <w:t>(</w:t>
            </w:r>
            <w:r w:rsidR="002168F5">
              <w:rPr>
                <w:rFonts w:eastAsiaTheme="minorHAnsi"/>
              </w:rPr>
              <w:t xml:space="preserve">Proposal writer/ </w:t>
            </w:r>
            <w:r w:rsidR="00C469CD" w:rsidRPr="00250296">
              <w:rPr>
                <w:rFonts w:eastAsiaTheme="minorHAnsi"/>
              </w:rPr>
              <w:t>Responsible Part</w:t>
            </w:r>
            <w:r w:rsidR="002168F5">
              <w:rPr>
                <w:rFonts w:eastAsiaTheme="minorHAnsi"/>
              </w:rPr>
              <w:t xml:space="preserve">y </w:t>
            </w:r>
            <w:r w:rsidR="00C469CD" w:rsidRPr="00250296">
              <w:rPr>
                <w:rFonts w:eastAsiaTheme="minorHAnsi"/>
              </w:rPr>
              <w:t xml:space="preserve">for proposal </w:t>
            </w:r>
            <w:r>
              <w:rPr>
                <w:rFonts w:eastAsiaTheme="minorHAnsi"/>
              </w:rPr>
              <w:t>approval)</w:t>
            </w:r>
          </w:p>
        </w:tc>
        <w:tc>
          <w:tcPr>
            <w:tcW w:w="1134" w:type="dxa"/>
          </w:tcPr>
          <w:p w14:paraId="686CC006" w14:textId="4F4D5889" w:rsidR="00C469CD" w:rsidRPr="00250296" w:rsidRDefault="00C469CD" w:rsidP="00847093">
            <w:pPr>
              <w:jc w:val="center"/>
              <w:rPr>
                <w:rFonts w:eastAsiaTheme="minorHAnsi"/>
              </w:rPr>
            </w:pPr>
            <w:r w:rsidRPr="00250296">
              <w:rPr>
                <w:rFonts w:eastAsiaTheme="minorHAnsi"/>
              </w:rPr>
              <w:t>High</w:t>
            </w:r>
          </w:p>
        </w:tc>
        <w:tc>
          <w:tcPr>
            <w:tcW w:w="1518" w:type="dxa"/>
          </w:tcPr>
          <w:p w14:paraId="2F0F953A" w14:textId="718A59C3" w:rsidR="00C469CD" w:rsidRPr="00250296" w:rsidRDefault="00C469CD" w:rsidP="00847093">
            <w:pPr>
              <w:jc w:val="center"/>
              <w:rPr>
                <w:rFonts w:eastAsiaTheme="minorHAnsi"/>
              </w:rPr>
            </w:pPr>
            <w:r w:rsidRPr="00250296">
              <w:rPr>
                <w:rFonts w:eastAsiaTheme="minorHAnsi"/>
              </w:rPr>
              <w:t>Low</w:t>
            </w:r>
          </w:p>
        </w:tc>
      </w:tr>
    </w:tbl>
    <w:p w14:paraId="5FCBEDF4" w14:textId="77777777" w:rsidR="00DA27BC" w:rsidRDefault="00DA27BC">
      <w:pPr>
        <w:rPr>
          <w:b/>
          <w:bCs/>
        </w:rPr>
      </w:pPr>
    </w:p>
    <w:p w14:paraId="2FDB78C8" w14:textId="20BBCD9E" w:rsidR="00812950" w:rsidRDefault="00812950">
      <w:pPr>
        <w:rPr>
          <w:rFonts w:eastAsiaTheme="minorHAnsi"/>
          <w:b/>
          <w:bCs/>
          <w:kern w:val="2"/>
          <w:szCs w:val="22"/>
          <w:lang w:val="en-CA" w:eastAsia="en-US"/>
          <w14:ligatures w14:val="standardContextual"/>
        </w:rPr>
      </w:pPr>
      <w:r>
        <w:rPr>
          <w:b/>
          <w:bCs/>
        </w:rPr>
        <w:br w:type="page"/>
      </w:r>
    </w:p>
    <w:p w14:paraId="1B680F96" w14:textId="3D87D858" w:rsidR="000531BE" w:rsidRDefault="001044DE" w:rsidP="00057B33">
      <w:pPr>
        <w:pStyle w:val="BodyText"/>
        <w:spacing w:before="240"/>
        <w:rPr>
          <w:b/>
          <w:bCs/>
        </w:rPr>
      </w:pPr>
      <w:r w:rsidRPr="00E81FB9">
        <w:rPr>
          <w:b/>
          <w:bCs/>
        </w:rPr>
        <w:lastRenderedPageBreak/>
        <w:t xml:space="preserve">Recommendation 3: </w:t>
      </w:r>
      <w:r w:rsidR="00916065" w:rsidRPr="00222C8A">
        <w:t>Guid</w:t>
      </w:r>
      <w:r w:rsidR="00645338" w:rsidRPr="00222C8A">
        <w:t xml:space="preserve">ance documents </w:t>
      </w:r>
      <w:r w:rsidR="003E31CE">
        <w:t xml:space="preserve">on </w:t>
      </w:r>
      <w:r w:rsidR="00645338" w:rsidRPr="00222C8A">
        <w:t>the INFF methodology should provide detailed</w:t>
      </w:r>
      <w:r w:rsidR="005407F1" w:rsidRPr="00222C8A">
        <w:t xml:space="preserve">, step-by-step guidelines that can be easily contextualised </w:t>
      </w:r>
      <w:r w:rsidR="00222C8A" w:rsidRPr="00222C8A">
        <w:t>by the implementing country</w:t>
      </w:r>
      <w:r w:rsidR="00DF16B0">
        <w:t>.</w:t>
      </w:r>
    </w:p>
    <w:p w14:paraId="7B3A843D" w14:textId="37555841" w:rsidR="001044DE" w:rsidRDefault="008056BB" w:rsidP="00DF16B0">
      <w:pPr>
        <w:pStyle w:val="BodyText"/>
      </w:pPr>
      <w:r w:rsidRPr="00E86993">
        <w:t xml:space="preserve">A major component of the </w:t>
      </w:r>
      <w:r w:rsidR="00DF16B0">
        <w:t xml:space="preserve">INFF </w:t>
      </w:r>
      <w:r w:rsidRPr="00E86993">
        <w:t xml:space="preserve">project was the development and dissemination of guidance documents </w:t>
      </w:r>
      <w:r w:rsidR="00513138" w:rsidRPr="00E86993">
        <w:t>on the INFF methodology</w:t>
      </w:r>
      <w:r w:rsidR="00D40496" w:rsidRPr="00E86993">
        <w:t xml:space="preserve"> to target and non-project countries</w:t>
      </w:r>
      <w:r w:rsidR="00513138" w:rsidRPr="00E86993">
        <w:t>, to inform co</w:t>
      </w:r>
      <w:r w:rsidR="00E86993" w:rsidRPr="00E86993">
        <w:t xml:space="preserve">untry-level </w:t>
      </w:r>
      <w:r w:rsidR="00513138" w:rsidRPr="00E86993">
        <w:t>application.</w:t>
      </w:r>
      <w:r w:rsidR="00D46282" w:rsidRPr="00E86993">
        <w:t xml:space="preserve"> </w:t>
      </w:r>
      <w:r w:rsidR="00E86993">
        <w:t xml:space="preserve">The project facilitated stakeholder access to </w:t>
      </w:r>
      <w:r w:rsidR="003C5A76">
        <w:t>guidance documents in several thematic areas that provide</w:t>
      </w:r>
      <w:r w:rsidR="00B22D3D">
        <w:t>d</w:t>
      </w:r>
      <w:r w:rsidR="003C5A76">
        <w:t xml:space="preserve"> an overview </w:t>
      </w:r>
      <w:r w:rsidR="00887B3B">
        <w:t xml:space="preserve">of key issues in INFF </w:t>
      </w:r>
      <w:r w:rsidR="008D1547">
        <w:t xml:space="preserve">design and </w:t>
      </w:r>
      <w:r w:rsidR="00887B3B">
        <w:t xml:space="preserve">implementation, including a link to the INFF </w:t>
      </w:r>
      <w:r w:rsidR="00B80E9C">
        <w:t>b</w:t>
      </w:r>
      <w:r w:rsidR="00F05FBC">
        <w:t>uilding blocks</w:t>
      </w:r>
      <w:r w:rsidR="00887B3B">
        <w:t>. As the guidance documents have global</w:t>
      </w:r>
      <w:r w:rsidR="004F4742">
        <w:t xml:space="preserve"> applicability</w:t>
      </w:r>
      <w:r w:rsidR="005811D1">
        <w:t xml:space="preserve">, they </w:t>
      </w:r>
      <w:r w:rsidR="00F4634F">
        <w:t xml:space="preserve">were not designed to </w:t>
      </w:r>
      <w:r w:rsidR="009D26F4">
        <w:t>suit individual country contexts.</w:t>
      </w:r>
      <w:r w:rsidR="00547088">
        <w:t xml:space="preserve"> A guidance document that provides step-by-step guidelines </w:t>
      </w:r>
      <w:r w:rsidR="00B04A17">
        <w:t>would allow for easier contextualisation and implementation</w:t>
      </w:r>
      <w:r w:rsidR="00535EB3">
        <w:t xml:space="preserve"> by individual countries</w:t>
      </w:r>
      <w:r w:rsidR="00776747">
        <w:t>. Stakeholders within the target countries have requested this level of assistance</w:t>
      </w:r>
      <w:r w:rsidR="00535EB3">
        <w:t xml:space="preserve"> </w:t>
      </w:r>
      <w:r w:rsidR="00F617C8" w:rsidRPr="00E81FB9">
        <w:rPr>
          <w:b/>
          <w:bCs/>
        </w:rPr>
        <w:t>(Related to Finding #1</w:t>
      </w:r>
      <w:r>
        <w:rPr>
          <w:b/>
          <w:bCs/>
        </w:rPr>
        <w:t>5</w:t>
      </w:r>
      <w:r w:rsidR="00F617C8" w:rsidRPr="00E81FB9">
        <w:rPr>
          <w:b/>
          <w:bCs/>
        </w:rPr>
        <w:t>).</w:t>
      </w:r>
      <w:r w:rsidR="006C354C">
        <w:t xml:space="preserve"> </w:t>
      </w:r>
    </w:p>
    <w:tbl>
      <w:tblPr>
        <w:tblStyle w:val="BlueTable"/>
        <w:tblW w:w="0" w:type="auto"/>
        <w:tblInd w:w="-3" w:type="dxa"/>
        <w:tblLook w:val="0420" w:firstRow="1" w:lastRow="0" w:firstColumn="0" w:lastColumn="0" w:noHBand="0" w:noVBand="1"/>
      </w:tblPr>
      <w:tblGrid>
        <w:gridCol w:w="1977"/>
        <w:gridCol w:w="1134"/>
        <w:gridCol w:w="1518"/>
      </w:tblGrid>
      <w:tr w:rsidR="00C469CD" w:rsidRPr="00250296" w14:paraId="58CC25D2"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208BC76D" w14:textId="77777777" w:rsidR="00C469CD" w:rsidRPr="00250296" w:rsidRDefault="00C469CD" w:rsidP="00C53C99">
            <w:pPr>
              <w:rPr>
                <w:rFonts w:eastAsiaTheme="minorHAnsi"/>
              </w:rPr>
            </w:pPr>
            <w:r w:rsidRPr="00250296">
              <w:rPr>
                <w:rFonts w:eastAsiaTheme="minorHAnsi"/>
              </w:rPr>
              <w:t>Responsible party</w:t>
            </w:r>
          </w:p>
        </w:tc>
        <w:tc>
          <w:tcPr>
            <w:tcW w:w="1134" w:type="dxa"/>
            <w:vAlign w:val="center"/>
          </w:tcPr>
          <w:p w14:paraId="2D6E7186" w14:textId="77777777" w:rsidR="00C469CD" w:rsidRPr="00250296" w:rsidRDefault="00C469CD" w:rsidP="00813CC4">
            <w:pPr>
              <w:jc w:val="center"/>
              <w:rPr>
                <w:rFonts w:eastAsiaTheme="minorHAnsi"/>
              </w:rPr>
            </w:pPr>
            <w:r w:rsidRPr="00250296">
              <w:rPr>
                <w:rFonts w:eastAsiaTheme="minorHAnsi"/>
              </w:rPr>
              <w:t>Priority</w:t>
            </w:r>
          </w:p>
        </w:tc>
        <w:tc>
          <w:tcPr>
            <w:tcW w:w="1518" w:type="dxa"/>
            <w:vAlign w:val="center"/>
          </w:tcPr>
          <w:p w14:paraId="0105DBC1" w14:textId="77777777" w:rsidR="00C469CD" w:rsidRPr="00250296" w:rsidRDefault="00C469CD" w:rsidP="00813CC4">
            <w:pPr>
              <w:jc w:val="center"/>
              <w:rPr>
                <w:rFonts w:eastAsiaTheme="minorHAnsi"/>
              </w:rPr>
            </w:pPr>
            <w:r w:rsidRPr="00250296">
              <w:rPr>
                <w:rFonts w:eastAsiaTheme="minorHAnsi"/>
              </w:rPr>
              <w:t>Estimated resource requirements</w:t>
            </w:r>
          </w:p>
        </w:tc>
      </w:tr>
      <w:tr w:rsidR="00C469CD" w:rsidRPr="00250296" w14:paraId="6CB7F412" w14:textId="77777777" w:rsidTr="00C469CD">
        <w:tc>
          <w:tcPr>
            <w:tcW w:w="1977" w:type="dxa"/>
          </w:tcPr>
          <w:p w14:paraId="2AD3D7A9" w14:textId="25ECDB9B" w:rsidR="00C469CD" w:rsidRPr="00250296" w:rsidRDefault="00C469CD" w:rsidP="00C469CD">
            <w:pPr>
              <w:rPr>
                <w:rFonts w:eastAsiaTheme="minorHAnsi"/>
              </w:rPr>
            </w:pPr>
            <w:r w:rsidRPr="00BF2CAA">
              <w:t>UNDESA</w:t>
            </w:r>
            <w:r w:rsidR="001441BF">
              <w:t xml:space="preserve">-FSDO </w:t>
            </w:r>
          </w:p>
        </w:tc>
        <w:tc>
          <w:tcPr>
            <w:tcW w:w="1134" w:type="dxa"/>
          </w:tcPr>
          <w:p w14:paraId="1C0542B1" w14:textId="2B5D3E2E" w:rsidR="00C469CD" w:rsidRPr="00250296" w:rsidRDefault="00C469CD" w:rsidP="00847093">
            <w:pPr>
              <w:jc w:val="center"/>
              <w:rPr>
                <w:rFonts w:eastAsiaTheme="minorHAnsi"/>
              </w:rPr>
            </w:pPr>
            <w:r w:rsidRPr="00BF2CAA">
              <w:t>High</w:t>
            </w:r>
          </w:p>
        </w:tc>
        <w:tc>
          <w:tcPr>
            <w:tcW w:w="1518" w:type="dxa"/>
          </w:tcPr>
          <w:p w14:paraId="10DC410B" w14:textId="08E24704" w:rsidR="00C469CD" w:rsidRPr="00250296" w:rsidRDefault="00C469CD" w:rsidP="00847093">
            <w:pPr>
              <w:jc w:val="center"/>
              <w:rPr>
                <w:rFonts w:eastAsiaTheme="minorHAnsi"/>
              </w:rPr>
            </w:pPr>
            <w:r w:rsidRPr="00BF2CAA">
              <w:t>Medium</w:t>
            </w:r>
          </w:p>
        </w:tc>
      </w:tr>
    </w:tbl>
    <w:p w14:paraId="17C01456" w14:textId="340F7125" w:rsidR="005A5D1E" w:rsidRDefault="001044DE" w:rsidP="005A5D1E">
      <w:pPr>
        <w:pStyle w:val="BodyText"/>
        <w:spacing w:before="240"/>
        <w:rPr>
          <w:b/>
          <w:bCs/>
        </w:rPr>
      </w:pPr>
      <w:r w:rsidRPr="00277932">
        <w:rPr>
          <w:b/>
          <w:bCs/>
        </w:rPr>
        <w:t xml:space="preserve">Recommendation </w:t>
      </w:r>
      <w:r w:rsidR="00693B6C" w:rsidRPr="00277932">
        <w:rPr>
          <w:b/>
          <w:bCs/>
        </w:rPr>
        <w:t>4</w:t>
      </w:r>
      <w:r w:rsidRPr="00277932">
        <w:rPr>
          <w:b/>
          <w:bCs/>
        </w:rPr>
        <w:t xml:space="preserve">: </w:t>
      </w:r>
      <w:r w:rsidR="00673DAB" w:rsidRPr="00E72B51">
        <w:t>The</w:t>
      </w:r>
      <w:r w:rsidR="003D64BA" w:rsidRPr="00E72B51">
        <w:t xml:space="preserve"> FINS projec</w:t>
      </w:r>
      <w:r w:rsidR="00E33BF0" w:rsidRPr="00E72B51">
        <w:t xml:space="preserve">t should be scaled up to provide post-project technical assistance to </w:t>
      </w:r>
      <w:r w:rsidR="00C75BC1" w:rsidRPr="00E72B51">
        <w:t xml:space="preserve">target and non-target countries </w:t>
      </w:r>
      <w:r w:rsidR="00DD79D3" w:rsidRPr="00E72B51">
        <w:t>in response to their request</w:t>
      </w:r>
      <w:r w:rsidR="00C01942">
        <w:t>s</w:t>
      </w:r>
      <w:r w:rsidR="00DD79D3" w:rsidRPr="00E72B51">
        <w:t xml:space="preserve"> for </w:t>
      </w:r>
      <w:r w:rsidR="0002256F">
        <w:t xml:space="preserve">context-specific </w:t>
      </w:r>
      <w:r w:rsidR="00B96470" w:rsidRPr="00E72B51">
        <w:t xml:space="preserve">support </w:t>
      </w:r>
      <w:r w:rsidR="00C01942">
        <w:t xml:space="preserve">for </w:t>
      </w:r>
      <w:r w:rsidR="00B96470" w:rsidRPr="00E72B51">
        <w:t>INFF</w:t>
      </w:r>
      <w:r w:rsidR="0002256F">
        <w:t xml:space="preserve"> </w:t>
      </w:r>
      <w:r w:rsidR="00C01942">
        <w:t>implementation</w:t>
      </w:r>
      <w:r w:rsidR="0031097C">
        <w:t xml:space="preserve"> </w:t>
      </w:r>
      <w:r w:rsidR="00E72B51" w:rsidRPr="00734334">
        <w:rPr>
          <w:b/>
          <w:bCs/>
        </w:rPr>
        <w:t>(Related to Findings #</w:t>
      </w:r>
      <w:r w:rsidR="00604438">
        <w:rPr>
          <w:b/>
          <w:bCs/>
        </w:rPr>
        <w:t>6</w:t>
      </w:r>
      <w:r w:rsidR="00E72B51" w:rsidRPr="00734334">
        <w:rPr>
          <w:b/>
          <w:bCs/>
        </w:rPr>
        <w:t xml:space="preserve"> and #1</w:t>
      </w:r>
      <w:r w:rsidR="00604438">
        <w:rPr>
          <w:b/>
          <w:bCs/>
        </w:rPr>
        <w:t>2</w:t>
      </w:r>
      <w:r w:rsidR="00E72B51" w:rsidRPr="00734334">
        <w:rPr>
          <w:b/>
          <w:bCs/>
        </w:rPr>
        <w:t>).</w:t>
      </w:r>
    </w:p>
    <w:p w14:paraId="755E28CA" w14:textId="371805F1" w:rsidR="00CD5D35" w:rsidRDefault="003A54D6" w:rsidP="0074023D">
      <w:pPr>
        <w:pStyle w:val="BodyText"/>
      </w:pPr>
      <w:r>
        <w:t>Further to the regional and country-specific workshops, the executing a</w:t>
      </w:r>
      <w:r w:rsidR="007F414A">
        <w:t xml:space="preserve">gencies received </w:t>
      </w:r>
      <w:r w:rsidR="006657F2">
        <w:t xml:space="preserve">several </w:t>
      </w:r>
      <w:r w:rsidR="007F414A">
        <w:t>requests for technical assistance from target, as well as non-project countries</w:t>
      </w:r>
      <w:r w:rsidR="003445D7">
        <w:t>.</w:t>
      </w:r>
      <w:r w:rsidR="00890785">
        <w:t xml:space="preserve"> </w:t>
      </w:r>
      <w:r w:rsidR="00394E6B">
        <w:t>The</w:t>
      </w:r>
      <w:r w:rsidR="000539AC">
        <w:t>se</w:t>
      </w:r>
      <w:r w:rsidR="00394E6B">
        <w:t xml:space="preserve"> </w:t>
      </w:r>
      <w:r w:rsidR="009C4C24">
        <w:t xml:space="preserve">requests were based on </w:t>
      </w:r>
      <w:r w:rsidR="003D0CD2">
        <w:t xml:space="preserve">a perceived </w:t>
      </w:r>
      <w:r w:rsidR="00C01942">
        <w:t xml:space="preserve">need </w:t>
      </w:r>
      <w:r w:rsidR="009C4C24">
        <w:t xml:space="preserve">for further guidance </w:t>
      </w:r>
      <w:r w:rsidR="003D0CD2">
        <w:t xml:space="preserve">on </w:t>
      </w:r>
      <w:r w:rsidR="009C4C24">
        <w:t>the contextual implementation of INFFs</w:t>
      </w:r>
      <w:r w:rsidR="00E86FFE">
        <w:t xml:space="preserve">. </w:t>
      </w:r>
      <w:r w:rsidR="000539AC">
        <w:t>T</w:t>
      </w:r>
      <w:r w:rsidR="00390CF4">
        <w:t xml:space="preserve">he </w:t>
      </w:r>
      <w:r w:rsidR="00E86FFE">
        <w:t xml:space="preserve">UNDESA FINS pilot project </w:t>
      </w:r>
      <w:r w:rsidR="00390CF4">
        <w:t xml:space="preserve">has </w:t>
      </w:r>
      <w:r w:rsidR="002D5CDA">
        <w:t>provided</w:t>
      </w:r>
      <w:r w:rsidR="00AB3167">
        <w:t xml:space="preserve"> </w:t>
      </w:r>
      <w:r w:rsidR="00CD5D35">
        <w:t xml:space="preserve">individual States with </w:t>
      </w:r>
      <w:r w:rsidR="000539AC">
        <w:t xml:space="preserve">specialised </w:t>
      </w:r>
      <w:r w:rsidR="00AB3167">
        <w:t xml:space="preserve">technical assistance for </w:t>
      </w:r>
      <w:r w:rsidR="00390CF4">
        <w:t>INFF implementation</w:t>
      </w:r>
      <w:r w:rsidR="00AF7251">
        <w:t xml:space="preserve">, with emergent evidence of </w:t>
      </w:r>
      <w:r w:rsidR="00045F07">
        <w:t>progress towards INFF development</w:t>
      </w:r>
      <w:r w:rsidR="00CD5D35">
        <w:t xml:space="preserve">. </w:t>
      </w:r>
      <w:r w:rsidR="00283B22">
        <w:t xml:space="preserve">In support of post-project follow-up, it would be feasible for UNDESA to scale-up the FINS project to </w:t>
      </w:r>
      <w:r w:rsidR="00097C25">
        <w:t xml:space="preserve">support </w:t>
      </w:r>
      <w:r w:rsidR="006657F2">
        <w:t>the contextual implementation of INFFs at th</w:t>
      </w:r>
      <w:r w:rsidR="002D5CDA">
        <w:t>e</w:t>
      </w:r>
      <w:r w:rsidR="006657F2">
        <w:t xml:space="preserve"> </w:t>
      </w:r>
      <w:r w:rsidR="002D5CDA">
        <w:t>country</w:t>
      </w:r>
      <w:r w:rsidR="006657F2">
        <w:t>-level.</w:t>
      </w:r>
    </w:p>
    <w:tbl>
      <w:tblPr>
        <w:tblStyle w:val="BlueTable"/>
        <w:tblW w:w="0" w:type="auto"/>
        <w:tblInd w:w="-6" w:type="dxa"/>
        <w:tblLook w:val="0420" w:firstRow="1" w:lastRow="0" w:firstColumn="0" w:lastColumn="0" w:noHBand="0" w:noVBand="1"/>
      </w:tblPr>
      <w:tblGrid>
        <w:gridCol w:w="1977"/>
        <w:gridCol w:w="1134"/>
        <w:gridCol w:w="1518"/>
      </w:tblGrid>
      <w:tr w:rsidR="00C469CD" w:rsidRPr="00250296" w14:paraId="351AC4F1"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64185F42" w14:textId="77777777" w:rsidR="00C469CD" w:rsidRPr="00250296" w:rsidRDefault="00C469CD" w:rsidP="00C53C99">
            <w:pPr>
              <w:rPr>
                <w:rFonts w:eastAsiaTheme="minorHAnsi"/>
              </w:rPr>
            </w:pPr>
            <w:r w:rsidRPr="00250296">
              <w:rPr>
                <w:rFonts w:eastAsiaTheme="minorHAnsi"/>
              </w:rPr>
              <w:t>Responsible party</w:t>
            </w:r>
          </w:p>
        </w:tc>
        <w:tc>
          <w:tcPr>
            <w:tcW w:w="1134" w:type="dxa"/>
            <w:vAlign w:val="center"/>
          </w:tcPr>
          <w:p w14:paraId="160B4444" w14:textId="77777777" w:rsidR="00C469CD" w:rsidRPr="00250296" w:rsidRDefault="00C469CD" w:rsidP="00813CC4">
            <w:pPr>
              <w:jc w:val="center"/>
              <w:rPr>
                <w:rFonts w:eastAsiaTheme="minorHAnsi"/>
              </w:rPr>
            </w:pPr>
            <w:r w:rsidRPr="00250296">
              <w:rPr>
                <w:rFonts w:eastAsiaTheme="minorHAnsi"/>
              </w:rPr>
              <w:t>Priority</w:t>
            </w:r>
          </w:p>
        </w:tc>
        <w:tc>
          <w:tcPr>
            <w:tcW w:w="1518" w:type="dxa"/>
            <w:vAlign w:val="center"/>
          </w:tcPr>
          <w:p w14:paraId="49469DA6" w14:textId="77777777" w:rsidR="00C469CD" w:rsidRPr="00250296" w:rsidRDefault="00C469CD" w:rsidP="00813CC4">
            <w:pPr>
              <w:jc w:val="center"/>
              <w:rPr>
                <w:rFonts w:eastAsiaTheme="minorHAnsi"/>
              </w:rPr>
            </w:pPr>
            <w:r w:rsidRPr="00250296">
              <w:rPr>
                <w:rFonts w:eastAsiaTheme="minorHAnsi"/>
              </w:rPr>
              <w:t>Estimated resource requirements</w:t>
            </w:r>
          </w:p>
        </w:tc>
      </w:tr>
      <w:tr w:rsidR="00C469CD" w:rsidRPr="00250296" w14:paraId="4DE5B3C3" w14:textId="77777777" w:rsidTr="00C469CD">
        <w:tc>
          <w:tcPr>
            <w:tcW w:w="1977" w:type="dxa"/>
          </w:tcPr>
          <w:p w14:paraId="5F023102" w14:textId="45A5F55C" w:rsidR="00C469CD" w:rsidRPr="00250296" w:rsidRDefault="00C469CD" w:rsidP="00C469CD">
            <w:pPr>
              <w:rPr>
                <w:rFonts w:eastAsiaTheme="minorHAnsi"/>
              </w:rPr>
            </w:pPr>
            <w:r w:rsidRPr="00A92F33">
              <w:t>UNDESA</w:t>
            </w:r>
            <w:r w:rsidR="002D5CDA">
              <w:t>-FSDO</w:t>
            </w:r>
          </w:p>
        </w:tc>
        <w:tc>
          <w:tcPr>
            <w:tcW w:w="1134" w:type="dxa"/>
          </w:tcPr>
          <w:p w14:paraId="721F034C" w14:textId="34947A97" w:rsidR="00C469CD" w:rsidRPr="00250296" w:rsidRDefault="00C469CD" w:rsidP="002D5CDA">
            <w:pPr>
              <w:jc w:val="center"/>
              <w:rPr>
                <w:rFonts w:eastAsiaTheme="minorHAnsi"/>
              </w:rPr>
            </w:pPr>
            <w:r w:rsidRPr="00A92F33">
              <w:t>High</w:t>
            </w:r>
          </w:p>
        </w:tc>
        <w:tc>
          <w:tcPr>
            <w:tcW w:w="1518" w:type="dxa"/>
          </w:tcPr>
          <w:p w14:paraId="2ACE7831" w14:textId="725971D9" w:rsidR="00C469CD" w:rsidRPr="00250296" w:rsidRDefault="002D5CDA" w:rsidP="002D5CDA">
            <w:pPr>
              <w:jc w:val="center"/>
              <w:rPr>
                <w:rFonts w:eastAsiaTheme="minorHAnsi"/>
              </w:rPr>
            </w:pPr>
            <w:r>
              <w:t>High</w:t>
            </w:r>
          </w:p>
        </w:tc>
      </w:tr>
    </w:tbl>
    <w:p w14:paraId="2CB1BD31" w14:textId="7ECDB1D9" w:rsidR="001044DE" w:rsidRPr="00277932" w:rsidRDefault="001044DE" w:rsidP="00454EB2">
      <w:pPr>
        <w:pStyle w:val="BodyText"/>
        <w:spacing w:before="240"/>
        <w:rPr>
          <w:b/>
          <w:bCs/>
        </w:rPr>
      </w:pPr>
      <w:r w:rsidRPr="00277932">
        <w:rPr>
          <w:b/>
          <w:bCs/>
        </w:rPr>
        <w:t xml:space="preserve">Recommendation </w:t>
      </w:r>
      <w:r w:rsidR="005A4CCD">
        <w:rPr>
          <w:b/>
          <w:bCs/>
        </w:rPr>
        <w:t>5</w:t>
      </w:r>
      <w:r w:rsidRPr="00277932">
        <w:rPr>
          <w:b/>
          <w:bCs/>
        </w:rPr>
        <w:t xml:space="preserve">: </w:t>
      </w:r>
      <w:r w:rsidR="00045F07" w:rsidRPr="00045F07">
        <w:t>A s</w:t>
      </w:r>
      <w:r w:rsidR="00F02D38" w:rsidRPr="00F87199">
        <w:t>trengthen</w:t>
      </w:r>
      <w:r w:rsidR="00045F07">
        <w:t>ing of</w:t>
      </w:r>
      <w:r w:rsidR="00F02D38" w:rsidRPr="00F87199">
        <w:t xml:space="preserve"> the process for finalising and approving the project results framework </w:t>
      </w:r>
      <w:r w:rsidR="00045F07">
        <w:t xml:space="preserve">should be initiated, </w:t>
      </w:r>
      <w:r w:rsidR="00F02D38" w:rsidRPr="00F87199">
        <w:t xml:space="preserve">to </w:t>
      </w:r>
      <w:r w:rsidR="00434C9E" w:rsidRPr="00F87199">
        <w:t xml:space="preserve">ensure that appropriate results targets and </w:t>
      </w:r>
      <w:r w:rsidR="005403E1" w:rsidRPr="00F87199">
        <w:t>performance measurement indicators are established</w:t>
      </w:r>
      <w:r w:rsidR="00C05E52" w:rsidRPr="00F87199">
        <w:t xml:space="preserve"> to increase the usefulness of </w:t>
      </w:r>
      <w:r w:rsidR="00045F07">
        <w:t>achieved</w:t>
      </w:r>
      <w:r w:rsidR="00F87199" w:rsidRPr="00F87199">
        <w:t xml:space="preserve"> </w:t>
      </w:r>
      <w:r w:rsidR="00C05E52" w:rsidRPr="00F87199">
        <w:t>result</w:t>
      </w:r>
      <w:r w:rsidR="00F87199" w:rsidRPr="00F87199">
        <w:t>s</w:t>
      </w:r>
      <w:r w:rsidR="00D94AC8">
        <w:rPr>
          <w:b/>
          <w:bCs/>
        </w:rPr>
        <w:t xml:space="preserve"> (Related to Finding #</w:t>
      </w:r>
      <w:r w:rsidR="00F87199">
        <w:rPr>
          <w:b/>
          <w:bCs/>
        </w:rPr>
        <w:t>7</w:t>
      </w:r>
      <w:r w:rsidR="00D94AC8">
        <w:rPr>
          <w:b/>
          <w:bCs/>
        </w:rPr>
        <w:t xml:space="preserve">). </w:t>
      </w:r>
    </w:p>
    <w:p w14:paraId="5EF44329" w14:textId="19178C46" w:rsidR="001044DE" w:rsidRDefault="00905293" w:rsidP="00847825">
      <w:pPr>
        <w:pStyle w:val="BodyText"/>
      </w:pPr>
      <w:r>
        <w:t xml:space="preserve">While the targets and indicators of the project results </w:t>
      </w:r>
      <w:r w:rsidR="00925FA0">
        <w:t xml:space="preserve">framework </w:t>
      </w:r>
      <w:r>
        <w:t xml:space="preserve">were realistic and measurable, they </w:t>
      </w:r>
      <w:r w:rsidR="00DF2A45">
        <w:t xml:space="preserve">required </w:t>
      </w:r>
      <w:r>
        <w:t xml:space="preserve">refinement </w:t>
      </w:r>
      <w:r w:rsidR="00DF2A45">
        <w:t xml:space="preserve">to </w:t>
      </w:r>
      <w:r>
        <w:t>accurate</w:t>
      </w:r>
      <w:r w:rsidR="00DF2A45">
        <w:t>ly</w:t>
      </w:r>
      <w:r>
        <w:t xml:space="preserve"> document the effect of project activities on </w:t>
      </w:r>
      <w:r w:rsidR="0039789F">
        <w:t xml:space="preserve">target and project </w:t>
      </w:r>
      <w:r>
        <w:t xml:space="preserve">countries. </w:t>
      </w:r>
      <w:r w:rsidR="00DF2A45">
        <w:t>As conside</w:t>
      </w:r>
      <w:r w:rsidR="00F967B4">
        <w:t xml:space="preserve">rations for </w:t>
      </w:r>
      <w:r w:rsidR="00DF2A45">
        <w:t>cross-cutti</w:t>
      </w:r>
      <w:r w:rsidR="00F967B4">
        <w:t>ng t</w:t>
      </w:r>
      <w:r w:rsidR="00DF2A45">
        <w:t xml:space="preserve">hemes </w:t>
      </w:r>
      <w:r w:rsidR="00F967B4">
        <w:t xml:space="preserve">should be applied to all UNDESA projects, the </w:t>
      </w:r>
      <w:r w:rsidR="00585E48">
        <w:t xml:space="preserve">project </w:t>
      </w:r>
      <w:r w:rsidR="00224943">
        <w:t xml:space="preserve">results framework should </w:t>
      </w:r>
      <w:r w:rsidR="001D55EF">
        <w:t xml:space="preserve">also </w:t>
      </w:r>
      <w:r w:rsidR="00224943">
        <w:t xml:space="preserve">be designed to </w:t>
      </w:r>
      <w:r w:rsidR="009551EE">
        <w:t xml:space="preserve">measure </w:t>
      </w:r>
      <w:r w:rsidR="00224943">
        <w:t>the extent to which each theme was integrated into project desig</w:t>
      </w:r>
      <w:r w:rsidR="008256D2">
        <w:t xml:space="preserve">n and </w:t>
      </w:r>
      <w:r w:rsidR="00224943">
        <w:t>implementation</w:t>
      </w:r>
      <w:r w:rsidR="008256D2">
        <w:t>, including results monitoring</w:t>
      </w:r>
      <w:r w:rsidR="00224943">
        <w:t>.</w:t>
      </w:r>
      <w:r w:rsidR="00D4376B">
        <w:t xml:space="preserve"> This</w:t>
      </w:r>
      <w:r w:rsidR="009551EE">
        <w:t xml:space="preserve"> </w:t>
      </w:r>
      <w:r w:rsidR="0039789F">
        <w:t>activity should be</w:t>
      </w:r>
      <w:r w:rsidR="009551EE">
        <w:t xml:space="preserve"> linked to a quality assurance process that assesses the </w:t>
      </w:r>
      <w:r w:rsidR="00F80EA4">
        <w:t>logic of the results framework</w:t>
      </w:r>
      <w:r w:rsidR="00022AC2">
        <w:t>.</w:t>
      </w:r>
    </w:p>
    <w:tbl>
      <w:tblPr>
        <w:tblStyle w:val="BlueTable"/>
        <w:tblW w:w="0" w:type="auto"/>
        <w:tblInd w:w="-12" w:type="dxa"/>
        <w:tblLook w:val="0420" w:firstRow="1" w:lastRow="0" w:firstColumn="0" w:lastColumn="0" w:noHBand="0" w:noVBand="1"/>
      </w:tblPr>
      <w:tblGrid>
        <w:gridCol w:w="1977"/>
        <w:gridCol w:w="1134"/>
        <w:gridCol w:w="1518"/>
      </w:tblGrid>
      <w:tr w:rsidR="00C469CD" w:rsidRPr="00250296" w14:paraId="075F1935" w14:textId="77777777" w:rsidTr="00C469CD">
        <w:trPr>
          <w:cnfStyle w:val="100000000000" w:firstRow="1" w:lastRow="0" w:firstColumn="0" w:lastColumn="0" w:oddVBand="0" w:evenVBand="0" w:oddHBand="0" w:evenHBand="0" w:firstRowFirstColumn="0" w:firstRowLastColumn="0" w:lastRowFirstColumn="0" w:lastRowLastColumn="0"/>
        </w:trPr>
        <w:tc>
          <w:tcPr>
            <w:tcW w:w="1977" w:type="dxa"/>
            <w:vAlign w:val="center"/>
          </w:tcPr>
          <w:p w14:paraId="53F40C66" w14:textId="77777777" w:rsidR="00C469CD" w:rsidRPr="00250296" w:rsidRDefault="00C469CD" w:rsidP="00C53C99">
            <w:pPr>
              <w:rPr>
                <w:rFonts w:eastAsiaTheme="minorHAnsi"/>
              </w:rPr>
            </w:pPr>
            <w:r w:rsidRPr="00250296">
              <w:rPr>
                <w:rFonts w:eastAsiaTheme="minorHAnsi"/>
              </w:rPr>
              <w:t>Responsible party</w:t>
            </w:r>
          </w:p>
        </w:tc>
        <w:tc>
          <w:tcPr>
            <w:tcW w:w="1134" w:type="dxa"/>
            <w:vAlign w:val="center"/>
          </w:tcPr>
          <w:p w14:paraId="548C9525" w14:textId="77777777" w:rsidR="00C469CD" w:rsidRPr="00250296" w:rsidRDefault="00C469CD" w:rsidP="00813CC4">
            <w:pPr>
              <w:jc w:val="center"/>
              <w:rPr>
                <w:rFonts w:eastAsiaTheme="minorHAnsi"/>
              </w:rPr>
            </w:pPr>
            <w:r w:rsidRPr="00250296">
              <w:rPr>
                <w:rFonts w:eastAsiaTheme="minorHAnsi"/>
              </w:rPr>
              <w:t>Priority</w:t>
            </w:r>
          </w:p>
        </w:tc>
        <w:tc>
          <w:tcPr>
            <w:tcW w:w="1518" w:type="dxa"/>
            <w:vAlign w:val="center"/>
          </w:tcPr>
          <w:p w14:paraId="3042A274" w14:textId="77777777" w:rsidR="00C469CD" w:rsidRPr="00250296" w:rsidRDefault="00C469CD" w:rsidP="00813CC4">
            <w:pPr>
              <w:jc w:val="center"/>
              <w:rPr>
                <w:rFonts w:eastAsiaTheme="minorHAnsi"/>
              </w:rPr>
            </w:pPr>
            <w:r w:rsidRPr="00250296">
              <w:rPr>
                <w:rFonts w:eastAsiaTheme="minorHAnsi"/>
              </w:rPr>
              <w:t>Estimated resource requirements</w:t>
            </w:r>
          </w:p>
        </w:tc>
      </w:tr>
      <w:tr w:rsidR="00C469CD" w:rsidRPr="00250296" w14:paraId="48B16A7B" w14:textId="77777777" w:rsidTr="00C469CD">
        <w:tc>
          <w:tcPr>
            <w:tcW w:w="1977" w:type="dxa"/>
          </w:tcPr>
          <w:p w14:paraId="38D64EC6" w14:textId="77777777" w:rsidR="0084267F" w:rsidRDefault="0084267F" w:rsidP="0084267F">
            <w:pPr>
              <w:rPr>
                <w:rFonts w:eastAsiaTheme="minorHAnsi"/>
              </w:rPr>
            </w:pPr>
            <w:r>
              <w:rPr>
                <w:rFonts w:eastAsiaTheme="minorHAnsi"/>
              </w:rPr>
              <w:t xml:space="preserve">UNDESA </w:t>
            </w:r>
          </w:p>
          <w:p w14:paraId="6656AA4B" w14:textId="1098D22E" w:rsidR="00C469CD" w:rsidRPr="00250296" w:rsidRDefault="0084267F" w:rsidP="0084267F">
            <w:pPr>
              <w:rPr>
                <w:rFonts w:eastAsiaTheme="minorHAnsi"/>
              </w:rPr>
            </w:pPr>
            <w:r>
              <w:rPr>
                <w:rFonts w:eastAsiaTheme="minorHAnsi"/>
              </w:rPr>
              <w:t xml:space="preserve">(Proposal writer/ </w:t>
            </w:r>
            <w:r w:rsidRPr="00250296">
              <w:rPr>
                <w:rFonts w:eastAsiaTheme="minorHAnsi"/>
              </w:rPr>
              <w:t>Responsible Part</w:t>
            </w:r>
            <w:r>
              <w:rPr>
                <w:rFonts w:eastAsiaTheme="minorHAnsi"/>
              </w:rPr>
              <w:t xml:space="preserve">y </w:t>
            </w:r>
            <w:r w:rsidRPr="00250296">
              <w:rPr>
                <w:rFonts w:eastAsiaTheme="minorHAnsi"/>
              </w:rPr>
              <w:t xml:space="preserve">for proposal </w:t>
            </w:r>
            <w:r>
              <w:rPr>
                <w:rFonts w:eastAsiaTheme="minorHAnsi"/>
              </w:rPr>
              <w:t>approval)</w:t>
            </w:r>
          </w:p>
        </w:tc>
        <w:tc>
          <w:tcPr>
            <w:tcW w:w="1134" w:type="dxa"/>
          </w:tcPr>
          <w:p w14:paraId="25CFE740" w14:textId="4283CE5B" w:rsidR="00C469CD" w:rsidRPr="00250296" w:rsidRDefault="00C469CD" w:rsidP="008F4E61">
            <w:pPr>
              <w:jc w:val="center"/>
              <w:rPr>
                <w:rFonts w:eastAsiaTheme="minorHAnsi"/>
              </w:rPr>
            </w:pPr>
            <w:r w:rsidRPr="00C364A8">
              <w:t>High</w:t>
            </w:r>
          </w:p>
        </w:tc>
        <w:tc>
          <w:tcPr>
            <w:tcW w:w="1518" w:type="dxa"/>
          </w:tcPr>
          <w:p w14:paraId="33E73A39" w14:textId="1BFA1C8A" w:rsidR="00C469CD" w:rsidRPr="00250296" w:rsidRDefault="00C469CD" w:rsidP="008F4E61">
            <w:pPr>
              <w:jc w:val="center"/>
              <w:rPr>
                <w:rFonts w:eastAsiaTheme="minorHAnsi"/>
              </w:rPr>
            </w:pPr>
            <w:r w:rsidRPr="00C364A8">
              <w:t>Low</w:t>
            </w:r>
          </w:p>
        </w:tc>
      </w:tr>
    </w:tbl>
    <w:p w14:paraId="1D1BF0DD" w14:textId="77777777" w:rsidR="00C469CD" w:rsidRDefault="00C469CD" w:rsidP="00847825">
      <w:pPr>
        <w:pStyle w:val="BodyText"/>
      </w:pPr>
    </w:p>
    <w:p w14:paraId="5CA7F488" w14:textId="77777777" w:rsidR="002E3D8E" w:rsidRDefault="002E3D8E" w:rsidP="00847825">
      <w:pPr>
        <w:pStyle w:val="BodyText"/>
      </w:pPr>
    </w:p>
    <w:p w14:paraId="32BBE53A" w14:textId="77777777" w:rsidR="002E3D8E" w:rsidRDefault="002E3D8E" w:rsidP="00847825">
      <w:pPr>
        <w:pStyle w:val="BodyText"/>
      </w:pPr>
    </w:p>
    <w:p w14:paraId="0DDA2287" w14:textId="77777777" w:rsidR="002E3D8E" w:rsidRDefault="002E3D8E" w:rsidP="00847825">
      <w:pPr>
        <w:pStyle w:val="BodyText"/>
      </w:pPr>
    </w:p>
    <w:p w14:paraId="20FDFCAF" w14:textId="77777777" w:rsidR="002E3D8E" w:rsidRDefault="002E3D8E" w:rsidP="00847825">
      <w:pPr>
        <w:pStyle w:val="BodyText"/>
      </w:pPr>
    </w:p>
    <w:p w14:paraId="2EDA6DC2" w14:textId="77777777" w:rsidR="002E3D8E" w:rsidRDefault="002E3D8E" w:rsidP="00847825">
      <w:pPr>
        <w:pStyle w:val="BodyText"/>
      </w:pPr>
    </w:p>
    <w:p w14:paraId="0D6BF31B" w14:textId="77777777" w:rsidR="002E3D8E" w:rsidRDefault="002E3D8E" w:rsidP="00847825">
      <w:pPr>
        <w:pStyle w:val="BodyText"/>
      </w:pPr>
    </w:p>
    <w:p w14:paraId="77D2179E" w14:textId="77777777" w:rsidR="002E3D8E" w:rsidRDefault="002E3D8E" w:rsidP="00847825">
      <w:pPr>
        <w:pStyle w:val="BodyText"/>
      </w:pPr>
    </w:p>
    <w:p w14:paraId="3EA6F52A" w14:textId="77777777" w:rsidR="002E3D8E" w:rsidRDefault="002E3D8E" w:rsidP="00847825">
      <w:pPr>
        <w:pStyle w:val="BodyText"/>
      </w:pPr>
    </w:p>
    <w:p w14:paraId="097727DE" w14:textId="77777777" w:rsidR="002E3D8E" w:rsidRDefault="002E3D8E" w:rsidP="00847825">
      <w:pPr>
        <w:pStyle w:val="BodyText"/>
      </w:pPr>
    </w:p>
    <w:p w14:paraId="4CC7F5FA" w14:textId="77777777" w:rsidR="002E3D8E" w:rsidRDefault="002E3D8E" w:rsidP="00847825">
      <w:pPr>
        <w:pStyle w:val="BodyText"/>
      </w:pPr>
    </w:p>
    <w:p w14:paraId="1081E236" w14:textId="77777777" w:rsidR="005151BB" w:rsidRDefault="005151BB" w:rsidP="00847825">
      <w:pPr>
        <w:rPr>
          <w:rFonts w:eastAsiaTheme="minorHAnsi"/>
        </w:rPr>
      </w:pPr>
    </w:p>
    <w:p w14:paraId="584BF5AD" w14:textId="77777777" w:rsidR="000B1CE6" w:rsidRDefault="000B1CE6" w:rsidP="00847825">
      <w:pPr>
        <w:rPr>
          <w:rFonts w:eastAsiaTheme="minorHAnsi"/>
        </w:rPr>
        <w:sectPr w:rsidR="000B1CE6" w:rsidSect="00F666A1">
          <w:type w:val="continuous"/>
          <w:pgSz w:w="12240" w:h="15840" w:code="1"/>
          <w:pgMar w:top="1276" w:right="1276" w:bottom="851" w:left="1276" w:header="720" w:footer="720" w:gutter="0"/>
          <w:cols w:num="2" w:space="397"/>
          <w:docGrid w:linePitch="360"/>
        </w:sectPr>
      </w:pPr>
    </w:p>
    <w:p w14:paraId="11F9804E" w14:textId="7327BDF0" w:rsidR="00081F7C" w:rsidRPr="00627770" w:rsidRDefault="00081F7C" w:rsidP="00847825">
      <w:pPr>
        <w:pStyle w:val="Heading1"/>
      </w:pPr>
      <w:bookmarkStart w:id="53" w:name="_Toc210730331"/>
      <w:r w:rsidRPr="00627770">
        <w:lastRenderedPageBreak/>
        <w:t>Lessons learned and good practices</w:t>
      </w:r>
      <w:bookmarkEnd w:id="53"/>
    </w:p>
    <w:p w14:paraId="6F1F3A56" w14:textId="77777777" w:rsidR="005151BB" w:rsidRPr="00627770" w:rsidRDefault="005151BB" w:rsidP="00847825">
      <w:pPr>
        <w:pStyle w:val="Heading2"/>
        <w:sectPr w:rsidR="005151BB" w:rsidRPr="00627770" w:rsidSect="00F666A1">
          <w:type w:val="continuous"/>
          <w:pgSz w:w="12240" w:h="15840" w:code="1"/>
          <w:pgMar w:top="1276" w:right="1276" w:bottom="1588" w:left="1276" w:header="720" w:footer="720" w:gutter="0"/>
          <w:cols w:space="720"/>
          <w:docGrid w:linePitch="360"/>
        </w:sectPr>
      </w:pPr>
    </w:p>
    <w:p w14:paraId="245C5F93" w14:textId="77777777" w:rsidR="00666D45" w:rsidRDefault="00D52246" w:rsidP="000F0763">
      <w:pPr>
        <w:pStyle w:val="Heading2"/>
        <w:spacing w:before="120"/>
        <w:sectPr w:rsidR="00666D45" w:rsidSect="00F666A1">
          <w:type w:val="continuous"/>
          <w:pgSz w:w="12240" w:h="15840" w:code="1"/>
          <w:pgMar w:top="1276" w:right="1276" w:bottom="1588" w:left="1276" w:header="720" w:footer="720" w:gutter="0"/>
          <w:cols w:num="2" w:space="397"/>
          <w:docGrid w:linePitch="360"/>
        </w:sectPr>
      </w:pPr>
      <w:bookmarkStart w:id="54" w:name="_Toc210730332"/>
      <w:r w:rsidRPr="00847825">
        <w:t>Lessons learned</w:t>
      </w:r>
      <w:bookmarkEnd w:id="54"/>
    </w:p>
    <w:p w14:paraId="141CAC28" w14:textId="3C566426" w:rsidR="00C8341B" w:rsidRDefault="0030483E" w:rsidP="00847825">
      <w:pPr>
        <w:pStyle w:val="BodyText"/>
      </w:pPr>
      <w:r w:rsidRPr="00F522D8">
        <w:t xml:space="preserve">The </w:t>
      </w:r>
      <w:r w:rsidR="003B37F1">
        <w:t>l</w:t>
      </w:r>
      <w:r w:rsidRPr="00F522D8">
        <w:t xml:space="preserve">essons </w:t>
      </w:r>
      <w:r w:rsidR="003B37F1">
        <w:t>that have been acquired from the</w:t>
      </w:r>
      <w:r w:rsidR="00D60BB1">
        <w:t xml:space="preserve"> </w:t>
      </w:r>
      <w:r w:rsidR="00F522D8">
        <w:t xml:space="preserve">project </w:t>
      </w:r>
      <w:r w:rsidR="007234E4">
        <w:t xml:space="preserve">will be </w:t>
      </w:r>
      <w:r w:rsidR="00094A82">
        <w:t xml:space="preserve">useful for </w:t>
      </w:r>
      <w:r w:rsidR="007234E4">
        <w:t>future similar interventions and/ or a</w:t>
      </w:r>
      <w:r w:rsidR="00841DC8">
        <w:t xml:space="preserve">nother phase of project implementation. </w:t>
      </w:r>
      <w:r w:rsidR="00C8341B">
        <w:t xml:space="preserve">The key lessons of the project </w:t>
      </w:r>
      <w:r w:rsidR="00D60BB1">
        <w:t xml:space="preserve">are </w:t>
      </w:r>
      <w:r w:rsidR="00C8341B">
        <w:t xml:space="preserve">as follows: </w:t>
      </w:r>
    </w:p>
    <w:p w14:paraId="663AC83B" w14:textId="3FAA2033" w:rsidR="005B0F58" w:rsidRPr="00692C86" w:rsidRDefault="00D55526" w:rsidP="003B672F">
      <w:pPr>
        <w:pStyle w:val="ListNumber"/>
        <w:numPr>
          <w:ilvl w:val="0"/>
          <w:numId w:val="8"/>
        </w:numPr>
        <w:rPr>
          <w:b/>
          <w:bCs/>
        </w:rPr>
      </w:pPr>
      <w:r w:rsidRPr="00692C86">
        <w:rPr>
          <w:b/>
          <w:bCs/>
        </w:rPr>
        <w:t xml:space="preserve">The project development phase needs to be reliably informed by </w:t>
      </w:r>
      <w:r w:rsidR="00993E01" w:rsidRPr="00692C86">
        <w:rPr>
          <w:b/>
          <w:bCs/>
        </w:rPr>
        <w:t>a detailed assessment of risk; parallel intervention</w:t>
      </w:r>
      <w:r w:rsidR="00286D59" w:rsidRPr="00692C86">
        <w:rPr>
          <w:b/>
          <w:bCs/>
        </w:rPr>
        <w:t>s; and the contextual situation in the countries of intervention focus.</w:t>
      </w:r>
      <w:r w:rsidR="00692C86">
        <w:rPr>
          <w:b/>
          <w:bCs/>
        </w:rPr>
        <w:t xml:space="preserve"> </w:t>
      </w:r>
    </w:p>
    <w:p w14:paraId="682CAD7C" w14:textId="47A63629" w:rsidR="00E549B8" w:rsidRDefault="00091F1F" w:rsidP="00DD2DDC">
      <w:pPr>
        <w:pStyle w:val="ListNumber"/>
        <w:numPr>
          <w:ilvl w:val="0"/>
          <w:numId w:val="117"/>
        </w:numPr>
      </w:pPr>
      <w:r>
        <w:t xml:space="preserve">Project design should be informed by a </w:t>
      </w:r>
      <w:r w:rsidR="007D12FC">
        <w:t xml:space="preserve">situational </w:t>
      </w:r>
      <w:r>
        <w:t xml:space="preserve">assessment </w:t>
      </w:r>
      <w:r w:rsidR="00C3276F">
        <w:t xml:space="preserve">of the targeted intervention countries to </w:t>
      </w:r>
      <w:r w:rsidR="007D12FC">
        <w:t xml:space="preserve">allow </w:t>
      </w:r>
      <w:r w:rsidR="00F20509">
        <w:t xml:space="preserve">project </w:t>
      </w:r>
      <w:r w:rsidR="007D12FC">
        <w:t xml:space="preserve">implementation to be </w:t>
      </w:r>
      <w:r w:rsidR="00F20509">
        <w:t xml:space="preserve">guided by </w:t>
      </w:r>
      <w:r w:rsidR="00751C90">
        <w:t>the country-level cont</w:t>
      </w:r>
      <w:r w:rsidR="006F16E9">
        <w:t>ext. Th</w:t>
      </w:r>
      <w:r w:rsidR="0056218C">
        <w:t xml:space="preserve">is </w:t>
      </w:r>
      <w:r w:rsidR="005E6784">
        <w:t xml:space="preserve">approach supports </w:t>
      </w:r>
      <w:r w:rsidR="00035094">
        <w:t xml:space="preserve">the identification of possible risks to results achievement </w:t>
      </w:r>
      <w:r w:rsidR="00F1473A">
        <w:t xml:space="preserve">and the establishment of a mitigation plan. The process should </w:t>
      </w:r>
      <w:r w:rsidR="00B568C7">
        <w:t xml:space="preserve">also take account of </w:t>
      </w:r>
      <w:r w:rsidR="0056448A">
        <w:t xml:space="preserve">parallel programming </w:t>
      </w:r>
      <w:r w:rsidR="00B568C7">
        <w:t>to</w:t>
      </w:r>
      <w:r w:rsidR="00D447BC">
        <w:t xml:space="preserve"> minimise possibl</w:t>
      </w:r>
      <w:r w:rsidR="00692C86">
        <w:t>e c</w:t>
      </w:r>
      <w:r w:rsidR="00D447BC">
        <w:t xml:space="preserve">onflict and </w:t>
      </w:r>
      <w:r w:rsidR="00692C86">
        <w:t xml:space="preserve">a </w:t>
      </w:r>
      <w:r w:rsidR="00D447BC">
        <w:t>duplication</w:t>
      </w:r>
      <w:r w:rsidR="00692C86">
        <w:t xml:space="preserve"> of efforts</w:t>
      </w:r>
      <w:r w:rsidR="00D447BC">
        <w:t xml:space="preserve">. </w:t>
      </w:r>
      <w:r w:rsidR="00B568C7">
        <w:t xml:space="preserve"> </w:t>
      </w:r>
    </w:p>
    <w:p w14:paraId="117FC562" w14:textId="7692469B" w:rsidR="005B0F58" w:rsidRPr="004D508F" w:rsidRDefault="00793731" w:rsidP="003B672F">
      <w:pPr>
        <w:pStyle w:val="ListNumber"/>
        <w:numPr>
          <w:ilvl w:val="0"/>
          <w:numId w:val="8"/>
        </w:numPr>
        <w:rPr>
          <w:b/>
          <w:bCs/>
        </w:rPr>
      </w:pPr>
      <w:r w:rsidRPr="004D508F">
        <w:rPr>
          <w:b/>
          <w:bCs/>
        </w:rPr>
        <w:t xml:space="preserve">Efficient project oversight is </w:t>
      </w:r>
      <w:r w:rsidR="00F131BC" w:rsidRPr="004D508F">
        <w:rPr>
          <w:b/>
          <w:bCs/>
        </w:rPr>
        <w:t>dependent on a clarified overview of roles and responsibili</w:t>
      </w:r>
      <w:r w:rsidR="00C107BF" w:rsidRPr="004D508F">
        <w:rPr>
          <w:b/>
          <w:bCs/>
        </w:rPr>
        <w:t>ti</w:t>
      </w:r>
      <w:r w:rsidR="00F131BC" w:rsidRPr="004D508F">
        <w:rPr>
          <w:b/>
          <w:bCs/>
        </w:rPr>
        <w:t>es at the level of project management.</w:t>
      </w:r>
    </w:p>
    <w:p w14:paraId="607F1B37" w14:textId="6EA75297" w:rsidR="003D39D4" w:rsidRDefault="00694D6D" w:rsidP="00DD2DDC">
      <w:pPr>
        <w:pStyle w:val="ListNumber"/>
        <w:numPr>
          <w:ilvl w:val="0"/>
          <w:numId w:val="117"/>
        </w:numPr>
      </w:pPr>
      <w:r>
        <w:t>In support of increased efficiencies during project oversight, there is need for clearly arti</w:t>
      </w:r>
      <w:r w:rsidR="00034F0A">
        <w:t>culated roles and responsibilities at the level of project management. This app</w:t>
      </w:r>
      <w:r w:rsidR="00594022">
        <w:t xml:space="preserve">roach </w:t>
      </w:r>
      <w:r w:rsidR="00034F0A">
        <w:t>would allow f</w:t>
      </w:r>
      <w:r w:rsidR="00594022">
        <w:t xml:space="preserve">or the effective </w:t>
      </w:r>
      <w:r w:rsidR="008853D3">
        <w:t>management of project resources and the</w:t>
      </w:r>
      <w:r w:rsidR="004D508F">
        <w:t xml:space="preserve"> facilitation of quality control.</w:t>
      </w:r>
    </w:p>
    <w:p w14:paraId="10D67C2F" w14:textId="352A2D9E" w:rsidR="005B0F58" w:rsidRPr="00902488" w:rsidRDefault="003B7E82" w:rsidP="003B672F">
      <w:pPr>
        <w:pStyle w:val="ListNumber"/>
        <w:numPr>
          <w:ilvl w:val="0"/>
          <w:numId w:val="8"/>
        </w:numPr>
        <w:rPr>
          <w:b/>
          <w:bCs/>
        </w:rPr>
      </w:pPr>
      <w:r w:rsidRPr="00902488">
        <w:rPr>
          <w:b/>
          <w:bCs/>
        </w:rPr>
        <w:t xml:space="preserve">The effective </w:t>
      </w:r>
      <w:r w:rsidR="00D87ADC" w:rsidRPr="00902488">
        <w:rPr>
          <w:b/>
          <w:bCs/>
        </w:rPr>
        <w:t>application of the INFF methodology at the country</w:t>
      </w:r>
      <w:r w:rsidR="00A102F1" w:rsidRPr="00902488">
        <w:rPr>
          <w:b/>
          <w:bCs/>
        </w:rPr>
        <w:t xml:space="preserve">-level requires detailed step-by-step guidelines to </w:t>
      </w:r>
      <w:r w:rsidR="00C87308" w:rsidRPr="00902488">
        <w:rPr>
          <w:b/>
          <w:bCs/>
        </w:rPr>
        <w:t>inform contextualisation.</w:t>
      </w:r>
    </w:p>
    <w:p w14:paraId="06C92820" w14:textId="74968246" w:rsidR="00BA0C59" w:rsidRDefault="00BA0C59" w:rsidP="00DD2DDC">
      <w:pPr>
        <w:pStyle w:val="ListNumber"/>
        <w:numPr>
          <w:ilvl w:val="0"/>
          <w:numId w:val="117"/>
        </w:numPr>
      </w:pPr>
      <w:r>
        <w:t xml:space="preserve">As an advancement over the </w:t>
      </w:r>
      <w:r w:rsidR="007A6099">
        <w:t xml:space="preserve">development of generalised guidance material </w:t>
      </w:r>
      <w:r w:rsidR="00902488">
        <w:t xml:space="preserve">for </w:t>
      </w:r>
      <w:r w:rsidR="007A6099">
        <w:t xml:space="preserve">global outreach, </w:t>
      </w:r>
      <w:r w:rsidR="000B3303">
        <w:t>detailed step-b</w:t>
      </w:r>
      <w:r w:rsidR="00B70373">
        <w:t xml:space="preserve">y-step guidelines are </w:t>
      </w:r>
      <w:r w:rsidR="00902488">
        <w:t>required fo</w:t>
      </w:r>
      <w:r w:rsidR="00B70373">
        <w:t xml:space="preserve">r country-specific </w:t>
      </w:r>
      <w:r w:rsidR="00902488">
        <w:t xml:space="preserve">contextual </w:t>
      </w:r>
      <w:r w:rsidR="0029425A">
        <w:t>application</w:t>
      </w:r>
      <w:r w:rsidR="00B70373">
        <w:t>.</w:t>
      </w:r>
    </w:p>
    <w:p w14:paraId="7580D460" w14:textId="52CC0DD7" w:rsidR="005B0F58" w:rsidRDefault="005B7A57" w:rsidP="003B672F">
      <w:pPr>
        <w:pStyle w:val="ListNumber"/>
        <w:numPr>
          <w:ilvl w:val="0"/>
          <w:numId w:val="8"/>
        </w:numPr>
      </w:pPr>
      <w:r w:rsidRPr="00FA7669">
        <w:rPr>
          <w:b/>
          <w:bCs/>
        </w:rPr>
        <w:t xml:space="preserve">The </w:t>
      </w:r>
      <w:r w:rsidR="006F597E" w:rsidRPr="00FA7669">
        <w:rPr>
          <w:b/>
          <w:bCs/>
        </w:rPr>
        <w:t xml:space="preserve">national ownership of the INFF methodology </w:t>
      </w:r>
      <w:r w:rsidR="00E97770" w:rsidRPr="00FA7669">
        <w:rPr>
          <w:b/>
          <w:bCs/>
        </w:rPr>
        <w:t xml:space="preserve">by political leadership </w:t>
      </w:r>
      <w:r w:rsidR="00EC1BF1" w:rsidRPr="00FA7669">
        <w:rPr>
          <w:b/>
          <w:bCs/>
        </w:rPr>
        <w:t xml:space="preserve">contributes towards </w:t>
      </w:r>
      <w:r w:rsidR="00E97770" w:rsidRPr="00FA7669">
        <w:rPr>
          <w:b/>
          <w:bCs/>
        </w:rPr>
        <w:t>a demand-driven process</w:t>
      </w:r>
      <w:r w:rsidR="000049F8" w:rsidRPr="00FA7669">
        <w:rPr>
          <w:b/>
          <w:bCs/>
        </w:rPr>
        <w:t xml:space="preserve"> that is critical for effective implementation</w:t>
      </w:r>
      <w:r w:rsidR="002C2702" w:rsidRPr="00FA7669">
        <w:rPr>
          <w:b/>
          <w:bCs/>
        </w:rPr>
        <w:t>.</w:t>
      </w:r>
    </w:p>
    <w:p w14:paraId="2157CCEF" w14:textId="6E81F89A" w:rsidR="00F85DB0" w:rsidRDefault="001E248D" w:rsidP="00DD2DDC">
      <w:pPr>
        <w:pStyle w:val="ListNumber"/>
        <w:numPr>
          <w:ilvl w:val="0"/>
          <w:numId w:val="117"/>
        </w:numPr>
      </w:pPr>
      <w:r>
        <w:t xml:space="preserve">Strong country ownership </w:t>
      </w:r>
      <w:r w:rsidR="0083000D">
        <w:t xml:space="preserve">and leadership of the INFF process allows for </w:t>
      </w:r>
      <w:r w:rsidR="000E42CE">
        <w:t xml:space="preserve">successful implementation. The </w:t>
      </w:r>
      <w:r w:rsidR="00A87BBC">
        <w:t>main supporting factors and political commitment, arising from ministerial engagement and high-level policy dialogues</w:t>
      </w:r>
      <w:r w:rsidR="001D3FA9">
        <w:t>, as well as a clear alignment between projects and national policies</w:t>
      </w:r>
      <w:r w:rsidR="002024AE">
        <w:t>,</w:t>
      </w:r>
      <w:r w:rsidR="001D3FA9">
        <w:t xml:space="preserve"> to signi</w:t>
      </w:r>
      <w:r w:rsidR="00FA7669">
        <w:t xml:space="preserve">fy national relevance and </w:t>
      </w:r>
      <w:r w:rsidR="002024AE">
        <w:t>a commitment to</w:t>
      </w:r>
      <w:r w:rsidR="00C978D4">
        <w:t xml:space="preserve">wards </w:t>
      </w:r>
      <w:r w:rsidR="00FA7669">
        <w:t>impact.</w:t>
      </w:r>
    </w:p>
    <w:p w14:paraId="0CD5993E" w14:textId="40DBFED5" w:rsidR="005B0F58" w:rsidRPr="00B410C2" w:rsidRDefault="006D6187" w:rsidP="003B672F">
      <w:pPr>
        <w:pStyle w:val="ListNumber"/>
        <w:numPr>
          <w:ilvl w:val="0"/>
          <w:numId w:val="8"/>
        </w:numPr>
        <w:rPr>
          <w:b/>
          <w:bCs/>
        </w:rPr>
      </w:pPr>
      <w:r w:rsidRPr="00B410C2">
        <w:rPr>
          <w:b/>
          <w:bCs/>
        </w:rPr>
        <w:t>A flexible design combined with st</w:t>
      </w:r>
      <w:r w:rsidR="00B8246B" w:rsidRPr="00B410C2">
        <w:rPr>
          <w:b/>
          <w:bCs/>
        </w:rPr>
        <w:t>ra</w:t>
      </w:r>
      <w:r w:rsidRPr="00B410C2">
        <w:rPr>
          <w:b/>
          <w:bCs/>
        </w:rPr>
        <w:t xml:space="preserve">tegic partnerships </w:t>
      </w:r>
      <w:r w:rsidR="00B8246B" w:rsidRPr="00B410C2">
        <w:rPr>
          <w:b/>
          <w:bCs/>
        </w:rPr>
        <w:t>contributes towards stronger impact and the maximisation of efficiency and synergies</w:t>
      </w:r>
      <w:r w:rsidR="002C2702" w:rsidRPr="00B410C2">
        <w:rPr>
          <w:b/>
          <w:bCs/>
        </w:rPr>
        <w:t>.</w:t>
      </w:r>
    </w:p>
    <w:p w14:paraId="12FE5E8B" w14:textId="37AD3C18" w:rsidR="00FA7669" w:rsidRDefault="009D12D4" w:rsidP="00DD2DDC">
      <w:pPr>
        <w:pStyle w:val="ListNumber"/>
        <w:numPr>
          <w:ilvl w:val="0"/>
          <w:numId w:val="117"/>
        </w:numPr>
      </w:pPr>
      <w:r>
        <w:t>Projects should be designed with sufficient flexibility to adapt to evolving national needs and priorities</w:t>
      </w:r>
      <w:r w:rsidR="00E42213">
        <w:t xml:space="preserve">. Within this context, collaboration with </w:t>
      </w:r>
      <w:r w:rsidR="000F1AF2">
        <w:t>development partners at the regional; international; and bil</w:t>
      </w:r>
      <w:r w:rsidR="00B410C2">
        <w:t>a</w:t>
      </w:r>
      <w:r w:rsidR="000F1AF2">
        <w:t xml:space="preserve">teral levels </w:t>
      </w:r>
      <w:r w:rsidR="00B410C2">
        <w:t>contribute</w:t>
      </w:r>
      <w:r w:rsidR="00C978D4">
        <w:t>s</w:t>
      </w:r>
      <w:r w:rsidR="00B410C2">
        <w:t xml:space="preserve"> towards project effectiveness. The factor for successful engagement </w:t>
      </w:r>
      <w:r w:rsidR="009567D3">
        <w:t>i</w:t>
      </w:r>
      <w:r w:rsidR="00B410C2">
        <w:t>s the leveraging of existing expertise and resources.</w:t>
      </w:r>
    </w:p>
    <w:p w14:paraId="24FA7B0F" w14:textId="6D7C506F" w:rsidR="005B0F58" w:rsidRPr="00FA0A3F" w:rsidRDefault="003614FD" w:rsidP="003B672F">
      <w:pPr>
        <w:pStyle w:val="ListNumber"/>
        <w:numPr>
          <w:ilvl w:val="0"/>
          <w:numId w:val="8"/>
        </w:numPr>
        <w:rPr>
          <w:b/>
          <w:bCs/>
        </w:rPr>
      </w:pPr>
      <w:r w:rsidRPr="00FA0A3F">
        <w:rPr>
          <w:b/>
          <w:bCs/>
        </w:rPr>
        <w:t>Digital platforms and data infrastructure support</w:t>
      </w:r>
      <w:r w:rsidR="00022D6A" w:rsidRPr="00FA0A3F">
        <w:rPr>
          <w:b/>
          <w:bCs/>
        </w:rPr>
        <w:t xml:space="preserve"> effective implementation and enhance</w:t>
      </w:r>
      <w:r w:rsidR="00E84245" w:rsidRPr="00FA0A3F">
        <w:rPr>
          <w:b/>
          <w:bCs/>
        </w:rPr>
        <w:t xml:space="preserve"> </w:t>
      </w:r>
      <w:r w:rsidR="006321A6">
        <w:rPr>
          <w:b/>
          <w:bCs/>
        </w:rPr>
        <w:t>knowledge-exchange</w:t>
      </w:r>
      <w:r w:rsidR="00E84245" w:rsidRPr="00FA0A3F">
        <w:rPr>
          <w:b/>
          <w:bCs/>
        </w:rPr>
        <w:t xml:space="preserve"> and sustainability.</w:t>
      </w:r>
    </w:p>
    <w:p w14:paraId="4954B821" w14:textId="4AFDB57D" w:rsidR="009E2EA6" w:rsidRDefault="00E37EE9" w:rsidP="00DD2DDC">
      <w:pPr>
        <w:pStyle w:val="ListNumber"/>
        <w:numPr>
          <w:ilvl w:val="0"/>
          <w:numId w:val="117"/>
        </w:numPr>
      </w:pPr>
      <w:r>
        <w:t xml:space="preserve">The institutionalisation of knowledge-sharing through digital platforms </w:t>
      </w:r>
      <w:r w:rsidR="009A03EF">
        <w:t>is effective for the scaling-up of financing strategies to ensure long-term sustainability</w:t>
      </w:r>
      <w:r w:rsidR="00F02B32">
        <w:t>. This process is made more effective through the availability of reliable data on financing flows</w:t>
      </w:r>
      <w:r w:rsidR="00FA0A3F">
        <w:t>; governance; and economic trends that support the monitoring and refinement of INFF implementation.</w:t>
      </w:r>
    </w:p>
    <w:p w14:paraId="48F43449" w14:textId="4AADFD17" w:rsidR="00FF1AA4" w:rsidRPr="00847825" w:rsidRDefault="00FF1AA4" w:rsidP="00FF1AA4">
      <w:pPr>
        <w:pStyle w:val="Heading2"/>
        <w:spacing w:before="120"/>
      </w:pPr>
      <w:bookmarkStart w:id="55" w:name="_Toc210730333"/>
      <w:r>
        <w:t>Good practices</w:t>
      </w:r>
      <w:bookmarkEnd w:id="55"/>
    </w:p>
    <w:p w14:paraId="713302C4" w14:textId="096DCA4F" w:rsidR="00FF1AA4" w:rsidRPr="00E93037" w:rsidRDefault="004E4EDC" w:rsidP="00847825">
      <w:pPr>
        <w:pStyle w:val="BodyText"/>
      </w:pPr>
      <w:r w:rsidRPr="00E93037">
        <w:t xml:space="preserve">Several good practices emerged during the project, as guidelines that should be used to </w:t>
      </w:r>
      <w:r w:rsidR="00552D41" w:rsidRPr="00E93037">
        <w:t xml:space="preserve">enhance the next </w:t>
      </w:r>
      <w:r w:rsidR="00552D41" w:rsidRPr="00E93037">
        <w:lastRenderedPageBreak/>
        <w:t xml:space="preserve">stage of project programming. The </w:t>
      </w:r>
      <w:r w:rsidR="00E93037" w:rsidRPr="00E93037">
        <w:t>main examples of good practice that were document</w:t>
      </w:r>
      <w:r w:rsidR="00C3690F">
        <w:t>ed</w:t>
      </w:r>
      <w:r w:rsidR="00E93037" w:rsidRPr="00E93037">
        <w:t xml:space="preserve"> are:</w:t>
      </w:r>
    </w:p>
    <w:p w14:paraId="4BC27549" w14:textId="5E5DFB13" w:rsidR="00FF1AA4" w:rsidRDefault="00C3690F" w:rsidP="003B672F">
      <w:pPr>
        <w:pStyle w:val="BodyText"/>
        <w:numPr>
          <w:ilvl w:val="0"/>
          <w:numId w:val="109"/>
        </w:numPr>
      </w:pPr>
      <w:r>
        <w:rPr>
          <w:b/>
          <w:bCs/>
        </w:rPr>
        <w:t xml:space="preserve">UN </w:t>
      </w:r>
      <w:r w:rsidR="00231655" w:rsidRPr="00D45BFA">
        <w:rPr>
          <w:b/>
          <w:bCs/>
        </w:rPr>
        <w:t>RCO interface</w:t>
      </w:r>
      <w:r w:rsidR="00EE1B99" w:rsidRPr="00D45BFA">
        <w:rPr>
          <w:b/>
          <w:bCs/>
        </w:rPr>
        <w:t>:</w:t>
      </w:r>
      <w:r w:rsidR="00EE1B99">
        <w:t xml:space="preserve"> By engaging the </w:t>
      </w:r>
      <w:r w:rsidR="007C798D">
        <w:t xml:space="preserve">UN </w:t>
      </w:r>
      <w:r w:rsidR="00EE1B99">
        <w:t>RCOs in the target projec</w:t>
      </w:r>
      <w:r w:rsidR="007702CA">
        <w:t xml:space="preserve">t countries, executing entities gained access to </w:t>
      </w:r>
      <w:r w:rsidR="00834CEB">
        <w:t xml:space="preserve">government officials who were the </w:t>
      </w:r>
      <w:r w:rsidR="00DD6BA9">
        <w:t xml:space="preserve">key decision-makers </w:t>
      </w:r>
      <w:r w:rsidR="004935BD">
        <w:t>at t</w:t>
      </w:r>
      <w:r w:rsidR="00DD6BA9">
        <w:t xml:space="preserve">he level of country governments. These </w:t>
      </w:r>
      <w:r w:rsidR="00834CEB">
        <w:t>stakeholders were in a positi</w:t>
      </w:r>
      <w:r w:rsidR="00297D7E">
        <w:t>on to encour</w:t>
      </w:r>
      <w:r w:rsidR="004935BD">
        <w:t>a</w:t>
      </w:r>
      <w:r w:rsidR="00297D7E">
        <w:t>ge government uptake of the INFF methodology</w:t>
      </w:r>
      <w:r w:rsidR="00D45BFA">
        <w:t xml:space="preserve">, including engagement in the INFF project. </w:t>
      </w:r>
    </w:p>
    <w:p w14:paraId="5D2C621D" w14:textId="6476E3E9" w:rsidR="00231655" w:rsidRDefault="00C64C61" w:rsidP="003B672F">
      <w:pPr>
        <w:pStyle w:val="BodyText"/>
        <w:numPr>
          <w:ilvl w:val="0"/>
          <w:numId w:val="109"/>
        </w:numPr>
      </w:pPr>
      <w:r w:rsidRPr="001B4619">
        <w:rPr>
          <w:b/>
          <w:bCs/>
        </w:rPr>
        <w:t>Cont</w:t>
      </w:r>
      <w:r w:rsidR="00B0380A" w:rsidRPr="001B4619">
        <w:rPr>
          <w:b/>
          <w:bCs/>
        </w:rPr>
        <w:t>inued engagement</w:t>
      </w:r>
      <w:r w:rsidR="004935BD" w:rsidRPr="001B4619">
        <w:rPr>
          <w:b/>
          <w:bCs/>
        </w:rPr>
        <w:t>:</w:t>
      </w:r>
      <w:r w:rsidR="004935BD">
        <w:t xml:space="preserve"> </w:t>
      </w:r>
      <w:r w:rsidR="001B4619">
        <w:t>T</w:t>
      </w:r>
      <w:r w:rsidR="004935BD">
        <w:t>o mitigate emergent challenges t</w:t>
      </w:r>
      <w:r w:rsidR="00F12EC1">
        <w:t xml:space="preserve">o project implementation that took the form </w:t>
      </w:r>
      <w:r w:rsidR="00000552">
        <w:t xml:space="preserve">of </w:t>
      </w:r>
      <w:r w:rsidR="006A2DA9">
        <w:t xml:space="preserve">low </w:t>
      </w:r>
      <w:r w:rsidR="00000552">
        <w:t xml:space="preserve">stakeholder </w:t>
      </w:r>
      <w:r w:rsidR="006A2DA9">
        <w:t>responsiveness</w:t>
      </w:r>
      <w:r w:rsidR="00AF6740">
        <w:t xml:space="preserve"> to contact</w:t>
      </w:r>
      <w:r w:rsidR="006A2DA9">
        <w:t>; lack of awareness and understanding of the INFF methodology</w:t>
      </w:r>
      <w:r w:rsidR="00000552">
        <w:t>; etc.</w:t>
      </w:r>
      <w:r w:rsidR="006A2DA9">
        <w:t xml:space="preserve">, executing </w:t>
      </w:r>
      <w:r w:rsidR="00000552">
        <w:t xml:space="preserve">agencies, as well as MDAs </w:t>
      </w:r>
      <w:r w:rsidR="00390293">
        <w:t>continued to engage with each group of stakeholders. The approach was used</w:t>
      </w:r>
      <w:r w:rsidR="001B4619">
        <w:t>, with success,</w:t>
      </w:r>
      <w:r w:rsidR="00390293">
        <w:t xml:space="preserve"> to </w:t>
      </w:r>
      <w:r w:rsidR="00AF6740">
        <w:t xml:space="preserve">establish and </w:t>
      </w:r>
      <w:r w:rsidR="00390293">
        <w:t>maintain familia</w:t>
      </w:r>
      <w:r w:rsidR="001B4619">
        <w:t>rity; raise awareness</w:t>
      </w:r>
      <w:r w:rsidR="00ED1A02">
        <w:t>;</w:t>
      </w:r>
      <w:r w:rsidR="001B4619">
        <w:t xml:space="preserve"> and create synergies to support continued project implementation.</w:t>
      </w:r>
    </w:p>
    <w:p w14:paraId="29A295C6" w14:textId="121DFFE9" w:rsidR="00B0380A" w:rsidRDefault="00673BEF" w:rsidP="003B672F">
      <w:pPr>
        <w:pStyle w:val="BodyText"/>
        <w:numPr>
          <w:ilvl w:val="0"/>
          <w:numId w:val="109"/>
        </w:numPr>
      </w:pPr>
      <w:r w:rsidRPr="007F22FE">
        <w:rPr>
          <w:b/>
          <w:bCs/>
        </w:rPr>
        <w:t>Regional workshops</w:t>
      </w:r>
      <w:r w:rsidR="00ED1A02" w:rsidRPr="007F22FE">
        <w:rPr>
          <w:b/>
          <w:bCs/>
        </w:rPr>
        <w:t>:</w:t>
      </w:r>
      <w:r w:rsidR="00ED1A02">
        <w:t xml:space="preserve"> The regional workshops established a space for </w:t>
      </w:r>
      <w:r w:rsidR="00E43526">
        <w:t>stakeholders from target and non-project countries to learn more about the INFF process, including the success</w:t>
      </w:r>
      <w:r w:rsidR="008C0586">
        <w:t>es</w:t>
      </w:r>
      <w:r w:rsidR="00E43526">
        <w:t xml:space="preserve"> and challenges that are associated with implementation. Post</w:t>
      </w:r>
      <w:r w:rsidR="00263697">
        <w:t>-regional workshop actions by stakeholders included, inter alia, requests for follow-up technical assistance at the level of non-project countries to</w:t>
      </w:r>
      <w:r w:rsidR="007F22FE">
        <w:t xml:space="preserve"> learn more about INFF </w:t>
      </w:r>
      <w:r w:rsidR="00717179">
        <w:t>development</w:t>
      </w:r>
      <w:r w:rsidR="007F22FE">
        <w:t>.</w:t>
      </w:r>
    </w:p>
    <w:p w14:paraId="35AF13CE" w14:textId="52BF1096" w:rsidR="00673BEF" w:rsidRPr="00E93037" w:rsidRDefault="00BC741D" w:rsidP="003B672F">
      <w:pPr>
        <w:pStyle w:val="BodyText"/>
        <w:numPr>
          <w:ilvl w:val="0"/>
          <w:numId w:val="109"/>
        </w:numPr>
      </w:pPr>
      <w:r w:rsidRPr="00A94302">
        <w:rPr>
          <w:b/>
          <w:bCs/>
        </w:rPr>
        <w:t>Phased appr</w:t>
      </w:r>
      <w:r w:rsidR="000922A2" w:rsidRPr="00A94302">
        <w:rPr>
          <w:b/>
          <w:bCs/>
        </w:rPr>
        <w:t>oach</w:t>
      </w:r>
      <w:r w:rsidR="007F22FE" w:rsidRPr="00A94302">
        <w:rPr>
          <w:b/>
          <w:bCs/>
        </w:rPr>
        <w:t>:</w:t>
      </w:r>
      <w:r w:rsidR="007F22FE">
        <w:t xml:space="preserve"> A supporting factor in the engagement with country governments was the introduction to the INFF methodology using a phased approach. </w:t>
      </w:r>
      <w:r w:rsidR="00A94302">
        <w:t>Executing entities experience</w:t>
      </w:r>
      <w:r w:rsidR="00F74C42">
        <w:t>d</w:t>
      </w:r>
      <w:r w:rsidR="00A94302">
        <w:t xml:space="preserve"> some measure of success as the approach was used to gradually increase stakeholder understanding about INFFs, including the procedures for implementation.</w:t>
      </w:r>
    </w:p>
    <w:p w14:paraId="52ACEFE0" w14:textId="77777777" w:rsidR="00FF1AA4" w:rsidRPr="00E93037" w:rsidRDefault="00FF1AA4" w:rsidP="00847825">
      <w:pPr>
        <w:pStyle w:val="BodyText"/>
      </w:pPr>
    </w:p>
    <w:p w14:paraId="6502350E" w14:textId="73EEBD40" w:rsidR="0071181E" w:rsidRDefault="0071181E" w:rsidP="00A145AA">
      <w:pPr>
        <w:pStyle w:val="ListBullet"/>
        <w:numPr>
          <w:ilvl w:val="0"/>
          <w:numId w:val="0"/>
        </w:numPr>
        <w:ind w:left="567"/>
      </w:pPr>
    </w:p>
    <w:p w14:paraId="1C0DE32A" w14:textId="77777777" w:rsidR="005151BB" w:rsidRDefault="005151BB">
      <w:pPr>
        <w:spacing w:after="200" w:line="276" w:lineRule="auto"/>
        <w:sectPr w:rsidR="005151BB" w:rsidSect="00F666A1">
          <w:type w:val="continuous"/>
          <w:pgSz w:w="12240" w:h="15840" w:code="1"/>
          <w:pgMar w:top="1276" w:right="1276" w:bottom="1588" w:left="1276" w:header="720" w:footer="720" w:gutter="0"/>
          <w:cols w:num="2" w:space="397"/>
          <w:docGrid w:linePitch="360"/>
        </w:sectPr>
      </w:pPr>
    </w:p>
    <w:p w14:paraId="1E88BFBB" w14:textId="31A1410D" w:rsidR="00875969" w:rsidRPr="005A1C19" w:rsidRDefault="00875969" w:rsidP="005A1C19">
      <w:pPr>
        <w:pStyle w:val="Heading9"/>
      </w:pPr>
      <w:bookmarkStart w:id="56" w:name="_Toc210730353"/>
      <w:r w:rsidRPr="00D91659">
        <w:lastRenderedPageBreak/>
        <w:t>Annex</w:t>
      </w:r>
      <w:r w:rsidR="00012CCA" w:rsidRPr="00D91659">
        <w:t xml:space="preserve"> 1 Terms of Reference</w:t>
      </w:r>
      <w:bookmarkEnd w:id="56"/>
    </w:p>
    <w:p w14:paraId="3898C875" w14:textId="5A323154" w:rsidR="001D6108" w:rsidRPr="001D6108" w:rsidRDefault="001D6108" w:rsidP="0057628A">
      <w:pPr>
        <w:pStyle w:val="FrontMatterH2"/>
      </w:pPr>
      <w:r w:rsidRPr="001D6108">
        <w:t>Evaluation</w:t>
      </w:r>
      <w:r w:rsidRPr="001D6108">
        <w:rPr>
          <w:spacing w:val="-12"/>
        </w:rPr>
        <w:t xml:space="preserve"> </w:t>
      </w:r>
      <w:r w:rsidR="003662F9">
        <w:rPr>
          <w:spacing w:val="-12"/>
        </w:rPr>
        <w:t>of DA13 INFF Project 2124A</w:t>
      </w:r>
      <w:r w:rsidRPr="001D6108">
        <w:rPr>
          <w:spacing w:val="-12"/>
        </w:rPr>
        <w:t xml:space="preserve"> </w:t>
      </w:r>
      <w:r w:rsidRPr="001D6108">
        <w:t>“</w:t>
      </w:r>
      <w:r w:rsidR="006B681B">
        <w:t>Towards Integrated National Financing Framework</w:t>
      </w:r>
      <w:r w:rsidR="00400711">
        <w:t>.</w:t>
      </w:r>
      <w:r w:rsidR="006B681B">
        <w:t>”</w:t>
      </w:r>
    </w:p>
    <w:p w14:paraId="5BD087B7" w14:textId="77777777" w:rsidR="005151BB" w:rsidRDefault="005151BB" w:rsidP="00E70DAB">
      <w:pPr>
        <w:pStyle w:val="FrontMatterH3"/>
        <w:sectPr w:rsidR="005151BB" w:rsidSect="00F666A1">
          <w:type w:val="continuous"/>
          <w:pgSz w:w="12240" w:h="15840" w:code="1"/>
          <w:pgMar w:top="1276" w:right="1276" w:bottom="1588" w:left="1276" w:header="720" w:footer="720" w:gutter="0"/>
          <w:cols w:space="720"/>
          <w:docGrid w:linePitch="360"/>
        </w:sectPr>
      </w:pPr>
    </w:p>
    <w:p w14:paraId="584F0A57" w14:textId="2AEF3212" w:rsidR="001D6108" w:rsidRPr="002905BC" w:rsidRDefault="00321C03" w:rsidP="000F0763">
      <w:pPr>
        <w:pStyle w:val="FrontMatterH3"/>
        <w:spacing w:before="120"/>
        <w:rPr>
          <w:color w:val="auto"/>
        </w:rPr>
      </w:pPr>
      <w:r>
        <w:rPr>
          <w:color w:val="auto"/>
        </w:rPr>
        <w:t xml:space="preserve">A. </w:t>
      </w:r>
      <w:r w:rsidR="001D6108" w:rsidRPr="002905BC">
        <w:rPr>
          <w:color w:val="auto"/>
        </w:rPr>
        <w:t>Background</w:t>
      </w:r>
      <w:r w:rsidR="001D6108" w:rsidRPr="002905BC">
        <w:rPr>
          <w:color w:val="auto"/>
          <w:spacing w:val="-10"/>
        </w:rPr>
        <w:t xml:space="preserve"> </w:t>
      </w:r>
    </w:p>
    <w:p w14:paraId="51B292F6" w14:textId="3A4575B4" w:rsidR="00BA508C" w:rsidRPr="00407B9D" w:rsidRDefault="00BA508C" w:rsidP="00407B9D">
      <w:pPr>
        <w:jc w:val="both"/>
        <w:rPr>
          <w:lang w:val="en-US"/>
        </w:rPr>
      </w:pPr>
      <w:r w:rsidRPr="00407B9D">
        <w:rPr>
          <w:lang w:val="en-US"/>
        </w:rPr>
        <w:t>Funded under the 13</w:t>
      </w:r>
      <w:r w:rsidRPr="00407B9D">
        <w:rPr>
          <w:vertAlign w:val="superscript"/>
          <w:lang w:val="en-US"/>
        </w:rPr>
        <w:t>th</w:t>
      </w:r>
      <w:r w:rsidRPr="00407B9D">
        <w:rPr>
          <w:lang w:val="en-US"/>
        </w:rPr>
        <w:t xml:space="preserve"> tranche of the Development Account (DA13), the main objective of Project 2124A, titled “Towards Integrated National Financing Framework (INFF),” is to strengthen capacities of selected countries to mobilize and align financing with national sustainable development priorities, moving towards an integrated national financing framework approach. With a budget of $2,321,000, the project commenced in quarter one of 2021 and is due to be completed in December 2024. The </w:t>
      </w:r>
      <w:r w:rsidR="00DE21FA">
        <w:rPr>
          <w:lang w:val="en-US"/>
        </w:rPr>
        <w:t>executing entities</w:t>
      </w:r>
      <w:r w:rsidRPr="00407B9D">
        <w:rPr>
          <w:lang w:val="en-US"/>
        </w:rPr>
        <w:t xml:space="preserve"> included DESA, UNCTAD and the five regional commissions. The targeted countries were Belarus, Burkina Faso, Colombia, Costa Rica, Egypt, Indonesia, Jordan, Kyrgyzstan, Pakistan, and Zambia. In 2022, Samoa was added, while Colombia was replaced with Dominican Republic.</w:t>
      </w:r>
    </w:p>
    <w:p w14:paraId="4ABCB90A" w14:textId="77777777" w:rsidR="00BA508C" w:rsidRPr="00407B9D" w:rsidRDefault="00BA508C" w:rsidP="00407B9D">
      <w:pPr>
        <w:jc w:val="both"/>
        <w:rPr>
          <w:lang w:val="en-US"/>
        </w:rPr>
      </w:pPr>
      <w:r w:rsidRPr="00407B9D">
        <w:rPr>
          <w:lang w:val="en-US"/>
        </w:rPr>
        <w:t>The project strategy included:</w:t>
      </w:r>
    </w:p>
    <w:p w14:paraId="45138E06" w14:textId="77777777" w:rsidR="00BA508C" w:rsidRPr="00407B9D" w:rsidRDefault="00BA508C" w:rsidP="003B672F">
      <w:pPr>
        <w:numPr>
          <w:ilvl w:val="0"/>
          <w:numId w:val="13"/>
        </w:numPr>
        <w:spacing w:after="120" w:line="240" w:lineRule="auto"/>
        <w:jc w:val="both"/>
        <w:rPr>
          <w:lang w:val="en-US"/>
        </w:rPr>
      </w:pPr>
      <w:r w:rsidRPr="00407B9D">
        <w:rPr>
          <w:i/>
          <w:lang w:val="en-US"/>
        </w:rPr>
        <w:t xml:space="preserve">Preparation of Guidance Material: </w:t>
      </w:r>
      <w:r w:rsidRPr="00407B9D">
        <w:rPr>
          <w:lang w:val="en-US"/>
        </w:rPr>
        <w:t>This includes developing global guidance based on ongoing work on INFFs, focusing on mobilizing financing for key SDG areas and aligning public financing policies with the SDGs, with an emphasis on addressing challenges posed by COVID-19;</w:t>
      </w:r>
    </w:p>
    <w:p w14:paraId="1A3C4A68" w14:textId="77777777" w:rsidR="00BA508C" w:rsidRPr="00407B9D" w:rsidRDefault="00BA508C" w:rsidP="003B672F">
      <w:pPr>
        <w:numPr>
          <w:ilvl w:val="0"/>
          <w:numId w:val="13"/>
        </w:numPr>
        <w:spacing w:after="120" w:line="240" w:lineRule="auto"/>
        <w:jc w:val="both"/>
        <w:rPr>
          <w:lang w:val="en-US"/>
        </w:rPr>
      </w:pPr>
      <w:r w:rsidRPr="00407B9D">
        <w:rPr>
          <w:i/>
          <w:lang w:val="en-US"/>
        </w:rPr>
        <w:t xml:space="preserve">Country-Level Diagnostic Exercises and Technical Assistance: </w:t>
      </w:r>
      <w:r w:rsidRPr="00407B9D">
        <w:rPr>
          <w:lang w:val="en-US"/>
        </w:rPr>
        <w:t>These are conducted to identify capacity gaps and provide targeted technical assistance, training workshops, and capacity- building activities.</w:t>
      </w:r>
    </w:p>
    <w:p w14:paraId="15FF4389" w14:textId="14614B7D" w:rsidR="00BA508C" w:rsidRPr="00407B9D" w:rsidRDefault="00BA508C" w:rsidP="003B672F">
      <w:pPr>
        <w:numPr>
          <w:ilvl w:val="0"/>
          <w:numId w:val="13"/>
        </w:numPr>
        <w:spacing w:after="120" w:line="240" w:lineRule="auto"/>
        <w:jc w:val="both"/>
        <w:rPr>
          <w:lang w:val="en-US"/>
        </w:rPr>
      </w:pPr>
      <w:r w:rsidRPr="00407B9D">
        <w:rPr>
          <w:i/>
          <w:lang w:val="en-US"/>
        </w:rPr>
        <w:t xml:space="preserve">Regional Exchange and </w:t>
      </w:r>
      <w:r w:rsidR="006321A6">
        <w:rPr>
          <w:i/>
          <w:lang w:val="en-US"/>
        </w:rPr>
        <w:t>Peer-learning</w:t>
      </w:r>
      <w:r w:rsidRPr="00407B9D">
        <w:rPr>
          <w:i/>
          <w:lang w:val="en-US"/>
        </w:rPr>
        <w:t xml:space="preserve">: </w:t>
      </w:r>
      <w:r w:rsidRPr="00407B9D">
        <w:rPr>
          <w:lang w:val="en-US"/>
        </w:rPr>
        <w:t xml:space="preserve">Regional workshops are organized to share implementation experiences, facilitate </w:t>
      </w:r>
      <w:r w:rsidR="006321A6">
        <w:rPr>
          <w:lang w:val="en-US"/>
        </w:rPr>
        <w:t>peer-learning</w:t>
      </w:r>
      <w:r w:rsidRPr="00407B9D">
        <w:rPr>
          <w:lang w:val="en-US"/>
        </w:rPr>
        <w:t>, and identify additional support needs.</w:t>
      </w:r>
    </w:p>
    <w:p w14:paraId="7CCEAABE" w14:textId="44A7E450" w:rsidR="00BA508C" w:rsidRPr="00407B9D" w:rsidRDefault="00BA508C" w:rsidP="003B672F">
      <w:pPr>
        <w:numPr>
          <w:ilvl w:val="0"/>
          <w:numId w:val="13"/>
        </w:numPr>
        <w:spacing w:after="120" w:line="240" w:lineRule="auto"/>
        <w:jc w:val="both"/>
        <w:rPr>
          <w:lang w:val="en-US"/>
        </w:rPr>
      </w:pPr>
      <w:r w:rsidRPr="00407B9D">
        <w:rPr>
          <w:i/>
          <w:lang w:val="en-US"/>
        </w:rPr>
        <w:t xml:space="preserve">Global </w:t>
      </w:r>
      <w:r w:rsidR="006321A6">
        <w:rPr>
          <w:i/>
          <w:lang w:val="en-US"/>
        </w:rPr>
        <w:t>Knowledge-exchange</w:t>
      </w:r>
      <w:r w:rsidRPr="00407B9D">
        <w:rPr>
          <w:i/>
          <w:lang w:val="en-US"/>
        </w:rPr>
        <w:t xml:space="preserve"> and Publication: </w:t>
      </w:r>
      <w:r w:rsidRPr="00407B9D">
        <w:rPr>
          <w:lang w:val="en-US"/>
        </w:rPr>
        <w:t>Insights and lessons learned from country and regional experiences are shared globally through workshops and publications, feeding into global policy processes on Financing for Development.</w:t>
      </w:r>
    </w:p>
    <w:p w14:paraId="1F794245" w14:textId="77777777" w:rsidR="00BA508C" w:rsidRPr="00407B9D" w:rsidRDefault="00BA508C" w:rsidP="00407B9D">
      <w:pPr>
        <w:jc w:val="both"/>
        <w:rPr>
          <w:lang w:val="en-US"/>
        </w:rPr>
      </w:pPr>
      <w:r w:rsidRPr="00407B9D">
        <w:rPr>
          <w:lang w:val="en-US"/>
        </w:rPr>
        <w:t>The project had two main outcomes, with related outputs:</w:t>
      </w:r>
    </w:p>
    <w:p w14:paraId="09F025AA" w14:textId="77777777" w:rsidR="00BA508C" w:rsidRPr="00407B9D" w:rsidRDefault="00BA508C" w:rsidP="0080263A">
      <w:pPr>
        <w:spacing w:after="120" w:line="240" w:lineRule="auto"/>
        <w:jc w:val="both"/>
        <w:rPr>
          <w:lang w:val="en-US"/>
        </w:rPr>
      </w:pPr>
      <w:r w:rsidRPr="0080263A">
        <w:rPr>
          <w:b/>
          <w:bCs/>
          <w:lang w:val="en-US"/>
        </w:rPr>
        <w:t>Outcome 1 (OC 1):</w:t>
      </w:r>
      <w:r w:rsidRPr="00407B9D">
        <w:rPr>
          <w:lang w:val="en-US"/>
        </w:rPr>
        <w:t xml:space="preserve"> Strengthened national capacity of target countries in developing financing strategies that align with their national development plans and mitigate the impact of COVID-19.</w:t>
      </w:r>
    </w:p>
    <w:p w14:paraId="5CE1A101" w14:textId="77777777" w:rsidR="00BA508C" w:rsidRPr="00407B9D" w:rsidRDefault="00BA508C" w:rsidP="003B672F">
      <w:pPr>
        <w:numPr>
          <w:ilvl w:val="1"/>
          <w:numId w:val="14"/>
        </w:numPr>
        <w:spacing w:after="120" w:line="240" w:lineRule="auto"/>
        <w:jc w:val="both"/>
        <w:rPr>
          <w:lang w:val="en-US"/>
        </w:rPr>
      </w:pPr>
      <w:r w:rsidRPr="00407B9D">
        <w:rPr>
          <w:lang w:val="en-US"/>
        </w:rPr>
        <w:t>Output 1.1 (OP 1.1): Development of global guidance</w:t>
      </w:r>
    </w:p>
    <w:p w14:paraId="56EA90AF" w14:textId="77777777" w:rsidR="00BA508C" w:rsidRPr="00407B9D" w:rsidRDefault="00BA508C" w:rsidP="003B672F">
      <w:pPr>
        <w:numPr>
          <w:ilvl w:val="1"/>
          <w:numId w:val="14"/>
        </w:numPr>
        <w:spacing w:after="120" w:line="240" w:lineRule="auto"/>
        <w:jc w:val="both"/>
        <w:rPr>
          <w:lang w:val="en-US"/>
        </w:rPr>
      </w:pPr>
      <w:r w:rsidRPr="00407B9D">
        <w:rPr>
          <w:lang w:val="en-US"/>
        </w:rPr>
        <w:t>Output 1.2 (OP 1.2): Inception/training workshops</w:t>
      </w:r>
    </w:p>
    <w:p w14:paraId="7FBD63EF" w14:textId="77777777" w:rsidR="00BA508C" w:rsidRPr="00407B9D" w:rsidRDefault="00BA508C" w:rsidP="003B672F">
      <w:pPr>
        <w:numPr>
          <w:ilvl w:val="1"/>
          <w:numId w:val="14"/>
        </w:numPr>
        <w:spacing w:after="120" w:line="240" w:lineRule="auto"/>
        <w:jc w:val="both"/>
        <w:rPr>
          <w:lang w:val="en-US"/>
        </w:rPr>
      </w:pPr>
      <w:r w:rsidRPr="00407B9D">
        <w:rPr>
          <w:lang w:val="en-US"/>
        </w:rPr>
        <w:t>Output 1.3 (OP 1.3): Delivery of dedicated technical assistance</w:t>
      </w:r>
    </w:p>
    <w:p w14:paraId="1FAFCA47" w14:textId="68913C11" w:rsidR="00BA508C" w:rsidRPr="00407B9D" w:rsidRDefault="00BA508C" w:rsidP="0080263A">
      <w:pPr>
        <w:spacing w:after="120" w:line="240" w:lineRule="auto"/>
        <w:jc w:val="both"/>
        <w:rPr>
          <w:lang w:val="en-US"/>
        </w:rPr>
      </w:pPr>
      <w:r w:rsidRPr="0080263A">
        <w:rPr>
          <w:b/>
          <w:bCs/>
          <w:lang w:val="en-US"/>
        </w:rPr>
        <w:t>Outcome 2 (OC 2):</w:t>
      </w:r>
      <w:r w:rsidRPr="00407B9D">
        <w:rPr>
          <w:lang w:val="en-US"/>
        </w:rPr>
        <w:t xml:space="preserve"> Increased </w:t>
      </w:r>
      <w:r w:rsidR="006321A6">
        <w:rPr>
          <w:lang w:val="en-US"/>
        </w:rPr>
        <w:t>knowledge-exchange</w:t>
      </w:r>
      <w:r w:rsidRPr="00407B9D">
        <w:rPr>
          <w:lang w:val="en-US"/>
        </w:rPr>
        <w:t xml:space="preserve"> and </w:t>
      </w:r>
      <w:r w:rsidR="006321A6">
        <w:rPr>
          <w:lang w:val="en-US"/>
        </w:rPr>
        <w:t>peer-learning</w:t>
      </w:r>
      <w:r w:rsidRPr="00407B9D">
        <w:rPr>
          <w:lang w:val="en-US"/>
        </w:rPr>
        <w:t xml:space="preserve"> on applying INFF concepts among target countries and inform wider implementation efforts of INFFs in other countries and UN support to this effect.</w:t>
      </w:r>
    </w:p>
    <w:p w14:paraId="35EFC269" w14:textId="77777777" w:rsidR="00BA508C" w:rsidRPr="00407B9D" w:rsidRDefault="00BA508C" w:rsidP="003B672F">
      <w:pPr>
        <w:numPr>
          <w:ilvl w:val="1"/>
          <w:numId w:val="13"/>
        </w:numPr>
        <w:spacing w:after="120" w:line="240" w:lineRule="auto"/>
        <w:jc w:val="both"/>
        <w:rPr>
          <w:lang w:val="en-US"/>
        </w:rPr>
      </w:pPr>
      <w:r w:rsidRPr="00407B9D">
        <w:rPr>
          <w:lang w:val="en-US"/>
        </w:rPr>
        <w:t>Output 2.1 (OP 2.1): Regional workshops</w:t>
      </w:r>
    </w:p>
    <w:p w14:paraId="4A020DF6" w14:textId="77777777" w:rsidR="00BA508C" w:rsidRPr="00407B9D" w:rsidRDefault="00BA508C" w:rsidP="003B672F">
      <w:pPr>
        <w:numPr>
          <w:ilvl w:val="1"/>
          <w:numId w:val="13"/>
        </w:numPr>
        <w:spacing w:after="120" w:line="240" w:lineRule="auto"/>
        <w:jc w:val="both"/>
        <w:rPr>
          <w:lang w:val="en-US"/>
        </w:rPr>
      </w:pPr>
      <w:r w:rsidRPr="00407B9D">
        <w:rPr>
          <w:lang w:val="en-US"/>
        </w:rPr>
        <w:t>Output 2.2 (OP 2.2): Follow-up technical assistance from regional workshops</w:t>
      </w:r>
    </w:p>
    <w:p w14:paraId="4BDE6BB6" w14:textId="77777777" w:rsidR="00BA508C" w:rsidRPr="00407B9D" w:rsidRDefault="00BA508C" w:rsidP="003B672F">
      <w:pPr>
        <w:numPr>
          <w:ilvl w:val="1"/>
          <w:numId w:val="13"/>
        </w:numPr>
        <w:spacing w:after="120" w:line="240" w:lineRule="auto"/>
        <w:jc w:val="both"/>
        <w:rPr>
          <w:lang w:val="en-US"/>
        </w:rPr>
      </w:pPr>
      <w:r w:rsidRPr="00407B9D">
        <w:rPr>
          <w:lang w:val="en-US"/>
        </w:rPr>
        <w:t>Output 2.3 (OP 2.3): Global workshop</w:t>
      </w:r>
    </w:p>
    <w:p w14:paraId="2ED6FAB0" w14:textId="77777777" w:rsidR="00BA508C" w:rsidRPr="00407B9D" w:rsidRDefault="00BA508C" w:rsidP="003B672F">
      <w:pPr>
        <w:numPr>
          <w:ilvl w:val="1"/>
          <w:numId w:val="13"/>
        </w:numPr>
        <w:spacing w:after="120" w:line="240" w:lineRule="auto"/>
        <w:jc w:val="both"/>
        <w:rPr>
          <w:lang w:val="en-US"/>
        </w:rPr>
      </w:pPr>
      <w:r w:rsidRPr="00407B9D">
        <w:rPr>
          <w:lang w:val="en-US"/>
        </w:rPr>
        <w:t>Output 2.4 (OP 2.4): Publication of compendium of experiences</w:t>
      </w:r>
    </w:p>
    <w:p w14:paraId="085BF60D" w14:textId="35D48114" w:rsidR="00BA508C" w:rsidRPr="00407B9D" w:rsidRDefault="00BA508C" w:rsidP="002905BC">
      <w:pPr>
        <w:spacing w:before="120" w:after="120"/>
        <w:jc w:val="both"/>
        <w:rPr>
          <w:lang w:val="en-US"/>
        </w:rPr>
      </w:pPr>
      <w:r w:rsidRPr="00407B9D">
        <w:rPr>
          <w:lang w:val="en-US"/>
        </w:rPr>
        <w:t xml:space="preserve">The </w:t>
      </w:r>
      <w:r w:rsidR="00DE21FA">
        <w:rPr>
          <w:lang w:val="en-US"/>
        </w:rPr>
        <w:t>executing entities</w:t>
      </w:r>
      <w:r w:rsidRPr="00407B9D">
        <w:rPr>
          <w:lang w:val="en-US"/>
        </w:rPr>
        <w:t xml:space="preserve"> planned to contribute to these outcomes based on their comparative advantages:</w:t>
      </w:r>
    </w:p>
    <w:p w14:paraId="4AFB0878" w14:textId="77777777" w:rsidR="00BA508C" w:rsidRPr="00407B9D" w:rsidRDefault="00BA508C" w:rsidP="00576B2B">
      <w:pPr>
        <w:spacing w:before="120" w:after="120"/>
        <w:jc w:val="both"/>
        <w:rPr>
          <w:lang w:val="en-US"/>
        </w:rPr>
      </w:pPr>
      <w:r w:rsidRPr="00407B9D">
        <w:rPr>
          <w:b/>
          <w:lang w:val="en-US"/>
        </w:rPr>
        <w:t>DESA</w:t>
      </w:r>
      <w:r w:rsidRPr="00407B9D">
        <w:rPr>
          <w:lang w:val="en-US"/>
        </w:rPr>
        <w:t xml:space="preserve">, with substantive expertise in the subject matter and the global </w:t>
      </w:r>
      <w:proofErr w:type="gramStart"/>
      <w:r w:rsidRPr="00407B9D">
        <w:rPr>
          <w:lang w:val="en-US"/>
        </w:rPr>
        <w:t>lead</w:t>
      </w:r>
      <w:proofErr w:type="gramEnd"/>
      <w:r w:rsidRPr="00407B9D">
        <w:rPr>
          <w:lang w:val="en-US"/>
        </w:rPr>
        <w:t xml:space="preserve"> in developing INFF methodology, focused on preparation of guidance material (OP 1.1/2.4), support towards inception/training workshops (OP 1.2) and regional meetings (OP 2.1); and the organization of the global workshop (OP 2.3). DESA also served as the main focal point and coordinator of the programmatic aspects of the project, including consolidation and submission of the annual progress reports, overall budget monitoring and tracking, as well as initiation of the evaluation process.</w:t>
      </w:r>
    </w:p>
    <w:p w14:paraId="1B80C2D5" w14:textId="77777777" w:rsidR="00BA508C" w:rsidRPr="00407B9D" w:rsidRDefault="00BA508C" w:rsidP="00576B2B">
      <w:pPr>
        <w:spacing w:before="120" w:after="120"/>
        <w:jc w:val="both"/>
        <w:rPr>
          <w:lang w:val="en-US"/>
        </w:rPr>
      </w:pPr>
      <w:r w:rsidRPr="00407B9D">
        <w:rPr>
          <w:b/>
          <w:lang w:val="en-US"/>
        </w:rPr>
        <w:t>ECA</w:t>
      </w:r>
      <w:r w:rsidRPr="00407B9D">
        <w:rPr>
          <w:lang w:val="en-US"/>
        </w:rPr>
        <w:t xml:space="preserve">, with its comparative advantage in its substantive and technical expertise on African development issues as well as close long-standing relationships with governments, focused on supporting Zambia and Burkina Faso on enhancing domestic resource </w:t>
      </w:r>
      <w:r w:rsidRPr="00407B9D">
        <w:rPr>
          <w:lang w:val="en-US"/>
        </w:rPr>
        <w:lastRenderedPageBreak/>
        <w:t>mobilization in the context of INFFs through inception/training workshops (OP 1.2/2.1) and technical assistance (OP 1.3/2.2).</w:t>
      </w:r>
    </w:p>
    <w:p w14:paraId="35BF13B0" w14:textId="77777777" w:rsidR="00BA508C" w:rsidRPr="00407B9D" w:rsidRDefault="00BA508C" w:rsidP="00576B2B">
      <w:pPr>
        <w:spacing w:before="120" w:after="120"/>
        <w:jc w:val="both"/>
        <w:rPr>
          <w:lang w:val="en-US"/>
        </w:rPr>
      </w:pPr>
      <w:r w:rsidRPr="00407B9D">
        <w:rPr>
          <w:b/>
          <w:lang w:val="en-US"/>
        </w:rPr>
        <w:t>ECE</w:t>
      </w:r>
      <w:r w:rsidRPr="00407B9D">
        <w:rPr>
          <w:lang w:val="en-US"/>
        </w:rPr>
        <w:t>, with its comparative advantage in strengthening policies on innovation, competitiveness, and public-private partnerships (PPPs), focused on supporting Belarus and Kyrgyzstan in exploring public-private partnerships in the context of INFFs through inception/training workshops (OP 1.2/2.1) and technical assistance (OP 1.3/2.2).</w:t>
      </w:r>
    </w:p>
    <w:p w14:paraId="7E630427" w14:textId="77777777" w:rsidR="00BA508C" w:rsidRPr="00407B9D" w:rsidRDefault="00BA508C" w:rsidP="00576B2B">
      <w:pPr>
        <w:spacing w:before="120" w:after="120"/>
        <w:jc w:val="both"/>
        <w:rPr>
          <w:lang w:val="en-US"/>
        </w:rPr>
      </w:pPr>
      <w:r w:rsidRPr="00407B9D">
        <w:rPr>
          <w:b/>
          <w:lang w:val="en-US"/>
        </w:rPr>
        <w:t>ECLAC</w:t>
      </w:r>
      <w:r w:rsidRPr="00407B9D">
        <w:rPr>
          <w:lang w:val="en-US"/>
        </w:rPr>
        <w:t>, with its comparative advantage in applied policy research, ability to convoke regional and national meetings of stakeholders and its close relationships with government ministries, particularly ministries of finance, focused on supporting Costa Rica and Dominican Republic to strengthen domestic resource mobilization and to finance sustainable and productive investments in the context of INFFs, through inception/training workshops (OP 1.2/2.1) and technical assistance (OP 1.3/2.2).</w:t>
      </w:r>
    </w:p>
    <w:p w14:paraId="37A3355E" w14:textId="77777777" w:rsidR="00BA508C" w:rsidRPr="00407B9D" w:rsidRDefault="00BA508C" w:rsidP="00576B2B">
      <w:pPr>
        <w:spacing w:before="120" w:after="120"/>
        <w:jc w:val="both"/>
        <w:rPr>
          <w:lang w:val="en-US"/>
        </w:rPr>
      </w:pPr>
      <w:r w:rsidRPr="00407B9D">
        <w:rPr>
          <w:b/>
          <w:lang w:val="en-US"/>
        </w:rPr>
        <w:t>ESCAP</w:t>
      </w:r>
      <w:r w:rsidRPr="00407B9D">
        <w:rPr>
          <w:lang w:val="en-US"/>
        </w:rPr>
        <w:t>, in line with its mandate to provide further analysis and capacity-building support on assessing financing strategies, focused on supporting Samoa and Pakistan on strengthening their financing strategies with the concepts, guidance and approaches provided by the INFFs through inception/training workshops (OP 1.2/2.1) and technical assistance (OP 1.3/2.2).</w:t>
      </w:r>
    </w:p>
    <w:p w14:paraId="0B4331E4" w14:textId="77777777" w:rsidR="00BA508C" w:rsidRPr="00407B9D" w:rsidRDefault="00BA508C" w:rsidP="00576B2B">
      <w:pPr>
        <w:spacing w:before="120" w:after="120"/>
        <w:jc w:val="both"/>
        <w:rPr>
          <w:lang w:val="en-US"/>
        </w:rPr>
      </w:pPr>
      <w:r w:rsidRPr="00407B9D">
        <w:rPr>
          <w:b/>
          <w:lang w:val="en-US"/>
        </w:rPr>
        <w:t xml:space="preserve">ESCWA, </w:t>
      </w:r>
      <w:r w:rsidRPr="00407B9D">
        <w:rPr>
          <w:lang w:val="en-US"/>
        </w:rPr>
        <w:t>serves as an essential component of the United Nations development system policy backbone. The commission provides the connective tissue between the global and local levels and offers regional perspectives on global issues with its primary role as policy think tank, providing data and analytical services and policy advice to address regional issues, and supporting the development of a wide range of national and regional financing solutions, norms and standards. The commission also serves as platform for engagement with regional intergovernmental institutions, extending and expanding new forms of development cooperation and regional partnerships. ESCWA advances national reforms and financing solutions to propel INFFs in the Arab region, through inception/training workshops (OP 1.2/2.1) and technical assistance (OP 1.3/2.2) supporting Egypt and Jordan.</w:t>
      </w:r>
    </w:p>
    <w:p w14:paraId="2BDDAA08" w14:textId="77777777" w:rsidR="00BA508C" w:rsidRPr="00407B9D" w:rsidRDefault="00BA508C" w:rsidP="00576B2B">
      <w:pPr>
        <w:spacing w:before="120" w:after="120"/>
        <w:jc w:val="both"/>
        <w:rPr>
          <w:lang w:val="en-US"/>
        </w:rPr>
      </w:pPr>
      <w:r w:rsidRPr="00407B9D">
        <w:rPr>
          <w:b/>
          <w:lang w:val="en-US"/>
        </w:rPr>
        <w:t>UNCTAD</w:t>
      </w:r>
      <w:r w:rsidRPr="00407B9D">
        <w:rPr>
          <w:lang w:val="en-US"/>
        </w:rPr>
        <w:t>, with long-standing and recognized experience in capacity building on investment strategies, PPPs, entrepreneurship promotion and domestic resource mobilization/illicit financial flows focused on supporting the following countries in the context of INFFs through inception/training workshops (OP 1.2/2.1) and technical assistance (OP 1.3/2.2):</w:t>
      </w:r>
    </w:p>
    <w:p w14:paraId="71D0C334" w14:textId="77777777" w:rsidR="00BA508C" w:rsidRPr="00407B9D" w:rsidRDefault="00BA508C" w:rsidP="003B672F">
      <w:pPr>
        <w:numPr>
          <w:ilvl w:val="1"/>
          <w:numId w:val="13"/>
        </w:numPr>
        <w:spacing w:before="120" w:after="120"/>
        <w:jc w:val="both"/>
        <w:rPr>
          <w:lang w:val="en-US"/>
        </w:rPr>
      </w:pPr>
      <w:r w:rsidRPr="00407B9D">
        <w:rPr>
          <w:lang w:val="en-US"/>
        </w:rPr>
        <w:t>Indonesia and Pakistan: entrepreneurship promotion (with ESCAP)</w:t>
      </w:r>
    </w:p>
    <w:p w14:paraId="70DD9AF9" w14:textId="77777777" w:rsidR="00BA508C" w:rsidRPr="00407B9D" w:rsidRDefault="00BA508C" w:rsidP="003B672F">
      <w:pPr>
        <w:numPr>
          <w:ilvl w:val="1"/>
          <w:numId w:val="13"/>
        </w:numPr>
        <w:spacing w:before="120" w:after="120"/>
        <w:jc w:val="both"/>
        <w:rPr>
          <w:lang w:val="en-US"/>
        </w:rPr>
      </w:pPr>
      <w:r w:rsidRPr="00407B9D">
        <w:rPr>
          <w:lang w:val="en-US"/>
        </w:rPr>
        <w:t>Burkina Faso and Zambia: illicit financial flows (with ECA)</w:t>
      </w:r>
    </w:p>
    <w:p w14:paraId="008F30AE" w14:textId="77777777" w:rsidR="00BA508C" w:rsidRPr="00407B9D" w:rsidRDefault="00BA508C" w:rsidP="003B672F">
      <w:pPr>
        <w:numPr>
          <w:ilvl w:val="1"/>
          <w:numId w:val="13"/>
        </w:numPr>
        <w:spacing w:before="120" w:after="120"/>
        <w:jc w:val="both"/>
        <w:rPr>
          <w:lang w:val="en-US"/>
        </w:rPr>
      </w:pPr>
      <w:r w:rsidRPr="00407B9D">
        <w:rPr>
          <w:lang w:val="en-US"/>
        </w:rPr>
        <w:t>Belarus and Kyrgyzstan: Sustainability Reporting and Accounting Infrastructure finance (with ECE)</w:t>
      </w:r>
    </w:p>
    <w:p w14:paraId="104B3E2F" w14:textId="77777777" w:rsidR="00BA508C" w:rsidRPr="00407B9D" w:rsidRDefault="00BA508C" w:rsidP="003B672F">
      <w:pPr>
        <w:numPr>
          <w:ilvl w:val="1"/>
          <w:numId w:val="13"/>
        </w:numPr>
        <w:spacing w:before="120" w:after="120"/>
        <w:jc w:val="both"/>
        <w:rPr>
          <w:lang w:val="en-US"/>
        </w:rPr>
      </w:pPr>
      <w:r w:rsidRPr="00407B9D">
        <w:rPr>
          <w:lang w:val="en-US"/>
        </w:rPr>
        <w:t>Zambia : Infrastructure finance and PPPs (with ECA)</w:t>
      </w:r>
    </w:p>
    <w:p w14:paraId="319D42AE" w14:textId="77777777" w:rsidR="00BA508C" w:rsidRPr="00407B9D" w:rsidRDefault="00BA508C" w:rsidP="00576B2B">
      <w:pPr>
        <w:spacing w:before="120" w:after="120"/>
        <w:jc w:val="both"/>
        <w:rPr>
          <w:lang w:val="en-US"/>
        </w:rPr>
      </w:pPr>
      <w:r w:rsidRPr="00407B9D">
        <w:rPr>
          <w:lang w:val="en-US"/>
        </w:rPr>
        <w:t>The evaluation will cover the entirety of the implementation of Project 2124A, titled “Towards Integrated National Financing Framework (INFF).”</w:t>
      </w:r>
    </w:p>
    <w:p w14:paraId="3AA2DED7" w14:textId="6276D1D8" w:rsidR="000913EA" w:rsidRPr="00700A4A" w:rsidRDefault="00321C03" w:rsidP="00576B2B">
      <w:pPr>
        <w:pStyle w:val="FrontMatterH3"/>
        <w:spacing w:before="120" w:line="259" w:lineRule="auto"/>
        <w:rPr>
          <w:color w:val="auto"/>
        </w:rPr>
      </w:pPr>
      <w:r>
        <w:rPr>
          <w:bCs/>
          <w:color w:val="auto"/>
          <w:lang w:val="en-US"/>
        </w:rPr>
        <w:t xml:space="preserve">B. </w:t>
      </w:r>
      <w:r w:rsidR="00634B04" w:rsidRPr="00700A4A">
        <w:rPr>
          <w:bCs/>
          <w:color w:val="auto"/>
          <w:lang w:val="en-US"/>
        </w:rPr>
        <w:t>Purpose and objectives of the evaluation</w:t>
      </w:r>
      <w:r w:rsidR="000913EA" w:rsidRPr="00700A4A">
        <w:rPr>
          <w:color w:val="auto"/>
          <w:spacing w:val="-10"/>
        </w:rPr>
        <w:t xml:space="preserve"> </w:t>
      </w:r>
    </w:p>
    <w:p w14:paraId="0854DB80" w14:textId="77777777" w:rsidR="0021122B" w:rsidRPr="00E50844" w:rsidRDefault="0021122B" w:rsidP="00576B2B">
      <w:pPr>
        <w:spacing w:before="120" w:after="120"/>
        <w:jc w:val="both"/>
        <w:rPr>
          <w:lang w:val="en-US"/>
        </w:rPr>
      </w:pPr>
      <w:r w:rsidRPr="00E50844">
        <w:rPr>
          <w:lang w:val="en-US"/>
        </w:rPr>
        <w:t xml:space="preserve">The primary purpose of this evaluation is twofold: to uphold accountability and foster organizational learning within the context of the DA13 Project </w:t>
      </w:r>
      <w:r>
        <w:rPr>
          <w:lang w:val="en-US"/>
        </w:rPr>
        <w:t>“</w:t>
      </w:r>
      <w:r w:rsidRPr="00E50844">
        <w:rPr>
          <w:lang w:val="en-US"/>
        </w:rPr>
        <w:t>Towards Integrated National Financing Framework.</w:t>
      </w:r>
      <w:r>
        <w:rPr>
          <w:lang w:val="en-US"/>
        </w:rPr>
        <w:t>”</w:t>
      </w:r>
      <w:r w:rsidRPr="00E50844">
        <w:rPr>
          <w:lang w:val="en-US"/>
        </w:rPr>
        <w:t xml:space="preserve"> It aims to rigorously examine and provide independent validation of the project’s relevance, operational efficiency, effectiveness, and the overall impact of its collaboration with other United Nations entities. Through a detailed assessment of the project</w:t>
      </w:r>
      <w:r>
        <w:rPr>
          <w:lang w:val="en-US"/>
        </w:rPr>
        <w:t>’</w:t>
      </w:r>
      <w:r w:rsidRPr="00E50844">
        <w:rPr>
          <w:lang w:val="en-US"/>
        </w:rPr>
        <w:t>s achievements—spanning its relevance, efficiency, effectiveness, sustainability, and coherence—the evaluation endeavours to contribute significantly to the body of knowledge on implementing integrated national financing frameworks. It will scrutinize the project design, management practices, execution methodologies, and partnership dynamics, with a keen focus on their alignment with Sustainable Development Goals (SDGs), and the extent to which gender equality, human rights principles, and disability inclusion have been mainstreamed.</w:t>
      </w:r>
    </w:p>
    <w:p w14:paraId="3A757386" w14:textId="77777777" w:rsidR="0021122B" w:rsidRDefault="0021122B" w:rsidP="00576B2B">
      <w:pPr>
        <w:spacing w:before="120" w:after="120"/>
        <w:jc w:val="both"/>
        <w:rPr>
          <w:lang w:val="en-US"/>
        </w:rPr>
      </w:pPr>
      <w:r w:rsidRPr="00E50844">
        <w:rPr>
          <w:lang w:val="en-US"/>
        </w:rPr>
        <w:t xml:space="preserve">For the purpose of learning, the evaluation is designed to generate actionable insights and identify commendable practices that can inform the future direction of similar initiatives, optimizing strategies for enhancing developmental outcomes. It will rigorously </w:t>
      </w:r>
      <w:r w:rsidRPr="00E50844">
        <w:rPr>
          <w:lang w:val="en-US"/>
        </w:rPr>
        <w:lastRenderedPageBreak/>
        <w:t>investigate the successes and challenges encountered, aiming to enrich the decision-making process, thereby enhancing the efficacy and impact of future projects. In addition, the evaluation involves a forward-looking assessment, aimed at exploring the potential for further and broader application of the tools developed under the project to support Member States.</w:t>
      </w:r>
    </w:p>
    <w:p w14:paraId="6701900A" w14:textId="0F98E478" w:rsidR="002905BC" w:rsidRPr="00700A4A" w:rsidRDefault="00321C03" w:rsidP="002905BC">
      <w:pPr>
        <w:pStyle w:val="FrontMatterH3"/>
        <w:spacing w:before="120"/>
        <w:rPr>
          <w:color w:val="auto"/>
        </w:rPr>
      </w:pPr>
      <w:r>
        <w:rPr>
          <w:bCs/>
          <w:color w:val="auto"/>
          <w:lang w:val="en-US"/>
        </w:rPr>
        <w:t xml:space="preserve">B1. </w:t>
      </w:r>
      <w:r w:rsidR="002905BC" w:rsidRPr="00700A4A">
        <w:rPr>
          <w:bCs/>
          <w:color w:val="auto"/>
          <w:lang w:val="en-US"/>
        </w:rPr>
        <w:t>Clients of the evaluation</w:t>
      </w:r>
      <w:r w:rsidR="002905BC" w:rsidRPr="00700A4A">
        <w:rPr>
          <w:color w:val="auto"/>
          <w:spacing w:val="-10"/>
        </w:rPr>
        <w:t xml:space="preserve"> </w:t>
      </w:r>
    </w:p>
    <w:p w14:paraId="302118F7" w14:textId="301C1B9C" w:rsidR="00B455D8" w:rsidRDefault="00B455D8" w:rsidP="002905BC">
      <w:pPr>
        <w:spacing w:before="120" w:after="120"/>
        <w:jc w:val="both"/>
        <w:rPr>
          <w:lang w:val="en-US"/>
        </w:rPr>
      </w:pPr>
      <w:r w:rsidRPr="001F281F">
        <w:rPr>
          <w:lang w:val="en-US"/>
        </w:rPr>
        <w:t>The primary users of the evaluation are the management and staff of the project</w:t>
      </w:r>
      <w:r>
        <w:rPr>
          <w:lang w:val="en-US"/>
        </w:rPr>
        <w:t>’</w:t>
      </w:r>
      <w:r w:rsidRPr="001F281F">
        <w:rPr>
          <w:lang w:val="en-US"/>
        </w:rPr>
        <w:t xml:space="preserve">s seven </w:t>
      </w:r>
      <w:r w:rsidR="00DE21FA">
        <w:rPr>
          <w:lang w:val="en-US"/>
        </w:rPr>
        <w:t>executing entities</w:t>
      </w:r>
      <w:r w:rsidRPr="001F281F">
        <w:rPr>
          <w:lang w:val="en-US"/>
        </w:rPr>
        <w:t>. The evaluation report will generate findings and recommendations on how to improve the relevance, effectiveness, efficiency and sustainability of the entities</w:t>
      </w:r>
      <w:r>
        <w:rPr>
          <w:lang w:val="en-US"/>
        </w:rPr>
        <w:t>’</w:t>
      </w:r>
      <w:r w:rsidRPr="001F281F">
        <w:rPr>
          <w:lang w:val="en-US"/>
        </w:rPr>
        <w:t xml:space="preserve"> further work in the area of financing for development, including on the potential for further application of the tools developed under the project. The lessons learned identified through the evaluation will be integrated into the upcoming global processes, including the 4</w:t>
      </w:r>
      <w:r w:rsidRPr="006E55C7">
        <w:rPr>
          <w:vertAlign w:val="superscript"/>
          <w:lang w:val="en-US"/>
        </w:rPr>
        <w:t>th</w:t>
      </w:r>
      <w:r w:rsidRPr="001F281F">
        <w:rPr>
          <w:lang w:val="en-US"/>
        </w:rPr>
        <w:t xml:space="preserve"> International Conference on Financing for Development (FfD) to be held in the summer of 2025.</w:t>
      </w:r>
    </w:p>
    <w:p w14:paraId="00C79845" w14:textId="77777777" w:rsidR="00B455D8" w:rsidRDefault="00B455D8" w:rsidP="002905BC">
      <w:pPr>
        <w:spacing w:before="120" w:after="120"/>
        <w:jc w:val="both"/>
        <w:rPr>
          <w:lang w:val="en-US"/>
        </w:rPr>
      </w:pPr>
      <w:r w:rsidRPr="001F281F">
        <w:rPr>
          <w:lang w:val="en-US"/>
        </w:rPr>
        <w:t>Other users include the DA Programme Management Team (DA-PMT) and the DA focal points and senior management of the seven entities. Lessons learned from the evaluation, along with those from other 13</w:t>
      </w:r>
      <w:r w:rsidRPr="006E55C7">
        <w:rPr>
          <w:vertAlign w:val="superscript"/>
          <w:lang w:val="en-US"/>
        </w:rPr>
        <w:t>th</w:t>
      </w:r>
      <w:r w:rsidRPr="001F281F">
        <w:rPr>
          <w:lang w:val="en-US"/>
        </w:rPr>
        <w:t xml:space="preserve"> tranche project evaluations, will be systematically reviewed by DA-PMT to inform future programming, implementation, monitoring and evaluation of DA projects, particularly joint projects. The key findings from the evaluation will also be included in the progress report to the General Assembly on the implementation of the DA-funded projects.</w:t>
      </w:r>
    </w:p>
    <w:p w14:paraId="6B0D2FB4" w14:textId="7BB738E0" w:rsidR="00700A4A" w:rsidRPr="00700A4A" w:rsidRDefault="0076545E" w:rsidP="00700A4A">
      <w:pPr>
        <w:pStyle w:val="FrontMatterH3"/>
        <w:spacing w:before="120"/>
        <w:rPr>
          <w:color w:val="auto"/>
        </w:rPr>
      </w:pPr>
      <w:r>
        <w:rPr>
          <w:bCs/>
          <w:color w:val="auto"/>
          <w:lang w:val="en-US"/>
        </w:rPr>
        <w:t xml:space="preserve">B2. </w:t>
      </w:r>
      <w:r w:rsidR="00700A4A">
        <w:rPr>
          <w:bCs/>
          <w:color w:val="auto"/>
          <w:lang w:val="en-US"/>
        </w:rPr>
        <w:t xml:space="preserve">Management </w:t>
      </w:r>
      <w:r w:rsidR="00700A4A" w:rsidRPr="00700A4A">
        <w:rPr>
          <w:bCs/>
          <w:color w:val="auto"/>
          <w:lang w:val="en-US"/>
        </w:rPr>
        <w:t>of the evaluation</w:t>
      </w:r>
      <w:r w:rsidR="00700A4A" w:rsidRPr="00700A4A">
        <w:rPr>
          <w:color w:val="auto"/>
          <w:spacing w:val="-10"/>
        </w:rPr>
        <w:t xml:space="preserve"> </w:t>
      </w:r>
      <w:r w:rsidR="00700A4A">
        <w:rPr>
          <w:color w:val="auto"/>
          <w:spacing w:val="-10"/>
        </w:rPr>
        <w:t>(roles and responsibilities)</w:t>
      </w:r>
    </w:p>
    <w:p w14:paraId="5CFE8A3F" w14:textId="0C29C5B3" w:rsidR="00B455D8" w:rsidRPr="00E50844" w:rsidRDefault="00B455D8" w:rsidP="0080263A">
      <w:pPr>
        <w:spacing w:before="120" w:after="120"/>
        <w:jc w:val="both"/>
        <w:rPr>
          <w:lang w:val="en-US"/>
        </w:rPr>
      </w:pPr>
      <w:r w:rsidRPr="00E50844">
        <w:rPr>
          <w:lang w:val="en-US"/>
        </w:rPr>
        <w:t xml:space="preserve">The evaluation is overseen by Senior Economic Affairs Officer in the Policy Analysis and Development Branch of the Financing for Sustainable Development Office of DESA (DESA/FSDO) as the Evaluation Manager and supported by the Evaluation Reference Group. The </w:t>
      </w:r>
      <w:r w:rsidRPr="00E50844">
        <w:rPr>
          <w:b/>
          <w:lang w:val="en-US"/>
        </w:rPr>
        <w:t xml:space="preserve">Evaluation Manager </w:t>
      </w:r>
      <w:r w:rsidRPr="00E50844">
        <w:rPr>
          <w:lang w:val="en-US"/>
        </w:rPr>
        <w:t xml:space="preserve">has not been directly involved in the project delivery and agreed to by the </w:t>
      </w:r>
      <w:r w:rsidR="00DE21FA">
        <w:rPr>
          <w:b/>
          <w:lang w:val="en-US"/>
        </w:rPr>
        <w:t>executing entities</w:t>
      </w:r>
      <w:r w:rsidRPr="00E50844">
        <w:rPr>
          <w:b/>
          <w:lang w:val="en-US"/>
        </w:rPr>
        <w:t xml:space="preserve"> </w:t>
      </w:r>
      <w:r w:rsidRPr="00E50844">
        <w:rPr>
          <w:lang w:val="en-US"/>
        </w:rPr>
        <w:t xml:space="preserve">(DESA, ECA, ECE, ECLAC, ESCAP, ESCWA and UNCTAD). The </w:t>
      </w:r>
      <w:r w:rsidRPr="00E50844">
        <w:rPr>
          <w:b/>
          <w:lang w:val="en-US"/>
        </w:rPr>
        <w:t xml:space="preserve">Evaluation Reference Group (ERG) will be </w:t>
      </w:r>
      <w:r w:rsidRPr="00E50844">
        <w:rPr>
          <w:lang w:val="en-US"/>
        </w:rPr>
        <w:t>comprised of at</w:t>
      </w:r>
      <w:r>
        <w:rPr>
          <w:lang w:val="en-US"/>
        </w:rPr>
        <w:t xml:space="preserve"> </w:t>
      </w:r>
      <w:r w:rsidRPr="00E50844">
        <w:rPr>
          <w:lang w:val="en-US"/>
        </w:rPr>
        <w:t xml:space="preserve">least one representative of the </w:t>
      </w:r>
      <w:r w:rsidR="00DE21FA">
        <w:rPr>
          <w:lang w:val="en-US"/>
        </w:rPr>
        <w:t>executing entities</w:t>
      </w:r>
      <w:r w:rsidRPr="00E50844">
        <w:rPr>
          <w:lang w:val="en-US"/>
        </w:rPr>
        <w:t xml:space="preserve">, who may be a staff in the evaluation or programme management unit, or a staff in a </w:t>
      </w:r>
      <w:r w:rsidRPr="00E50844">
        <w:rPr>
          <w:lang w:val="en-US"/>
        </w:rPr>
        <w:t xml:space="preserve">substantive division engaged in relevant areas of </w:t>
      </w:r>
      <w:proofErr w:type="gramStart"/>
      <w:r w:rsidRPr="00E50844">
        <w:rPr>
          <w:lang w:val="en-US"/>
        </w:rPr>
        <w:t>work, who</w:t>
      </w:r>
      <w:proofErr w:type="gramEnd"/>
      <w:r w:rsidRPr="00E50844">
        <w:rPr>
          <w:lang w:val="en-US"/>
        </w:rPr>
        <w:t xml:space="preserve"> has not been directly involved in the project delivery, as well as include representatives of DA-PMT. The </w:t>
      </w:r>
      <w:r w:rsidRPr="00E50844">
        <w:rPr>
          <w:b/>
          <w:lang w:val="en-US"/>
        </w:rPr>
        <w:t xml:space="preserve">Project Coordinator (DESA/FSDO), </w:t>
      </w:r>
      <w:r w:rsidRPr="00E50844">
        <w:rPr>
          <w:lang w:val="en-US"/>
        </w:rPr>
        <w:t xml:space="preserve">in collaboration with the respective project focal points from the </w:t>
      </w:r>
      <w:proofErr w:type="gramStart"/>
      <w:r w:rsidR="00DE21FA">
        <w:rPr>
          <w:lang w:val="en-US"/>
        </w:rPr>
        <w:t>executing</w:t>
      </w:r>
      <w:proofErr w:type="gramEnd"/>
      <w:r w:rsidR="00DE21FA">
        <w:rPr>
          <w:lang w:val="en-US"/>
        </w:rPr>
        <w:t xml:space="preserve"> entities</w:t>
      </w:r>
      <w:r w:rsidRPr="00E50844">
        <w:rPr>
          <w:lang w:val="en-US"/>
        </w:rPr>
        <w:t>, will provide the administrative support (provide data and documentation including project reports, stakeholder lists and contact information, participate in interviews or surveys and review and provide comments on the draft inception report and evaluation report) for the smooth execution of the evaluation process.</w:t>
      </w:r>
    </w:p>
    <w:p w14:paraId="2C0A805C" w14:textId="77777777" w:rsidR="00B455D8" w:rsidRPr="00E50844" w:rsidRDefault="00B455D8" w:rsidP="002905BC">
      <w:pPr>
        <w:spacing w:before="120" w:after="120"/>
        <w:rPr>
          <w:lang w:val="en-US"/>
        </w:rPr>
      </w:pPr>
      <w:r w:rsidRPr="00E50844">
        <w:rPr>
          <w:lang w:val="en-US"/>
        </w:rPr>
        <w:t xml:space="preserve">The </w:t>
      </w:r>
      <w:r w:rsidRPr="00E50844">
        <w:rPr>
          <w:b/>
          <w:lang w:val="en-US"/>
        </w:rPr>
        <w:t xml:space="preserve">Evaluation Manager </w:t>
      </w:r>
      <w:r w:rsidRPr="00E50844">
        <w:rPr>
          <w:lang w:val="en-US"/>
        </w:rPr>
        <w:t>will be expected to:</w:t>
      </w:r>
    </w:p>
    <w:p w14:paraId="29EB0B5C"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Finalize the draft TOR for the evaluation consultant, incorporating comments from the project focal points and ERG;</w:t>
      </w:r>
    </w:p>
    <w:p w14:paraId="391F9C44"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Oversee the recruitment and management of the evaluation consultant;</w:t>
      </w:r>
    </w:p>
    <w:p w14:paraId="0CBAC05C"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Oversee / provide quality assurance to the work of the evaluation consultant;</w:t>
      </w:r>
    </w:p>
    <w:p w14:paraId="73725339"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Facilitate the work of the Evaluation Reference Group;</w:t>
      </w:r>
    </w:p>
    <w:p w14:paraId="03EFAEB1"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Provide the evaluation consultant with consolidated comments from the project focal points and ERG on the draft inception report and the draft evaluation report;</w:t>
      </w:r>
    </w:p>
    <w:p w14:paraId="1D0D6EE1"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Organize a post-data collection de-brief;</w:t>
      </w:r>
    </w:p>
    <w:p w14:paraId="27637885" w14:textId="77777777" w:rsidR="00B455D8" w:rsidRPr="008E3E21" w:rsidRDefault="00B455D8" w:rsidP="003B672F">
      <w:pPr>
        <w:pStyle w:val="ListParagraph"/>
        <w:numPr>
          <w:ilvl w:val="0"/>
          <w:numId w:val="20"/>
        </w:numPr>
        <w:spacing w:before="120" w:after="120"/>
        <w:ind w:left="714" w:hanging="357"/>
        <w:contextualSpacing w:val="0"/>
        <w:jc w:val="both"/>
        <w:rPr>
          <w:lang w:val="en-US"/>
        </w:rPr>
      </w:pPr>
      <w:r w:rsidRPr="008E3E21">
        <w:rPr>
          <w:lang w:val="en-US"/>
        </w:rPr>
        <w:t>Clear the final evaluation report and Evaluation Brief, ensuring that the comments from the project focal points and ERG are sufficiently incorporated by the evaluation consultant and the consultant’s responses to the comments are prepared and shared with those who made the comments (if comments are not incorporated, reasons should be provided).</w:t>
      </w:r>
    </w:p>
    <w:p w14:paraId="2E13446F" w14:textId="20A14843" w:rsidR="00B455D8" w:rsidRPr="00E50844" w:rsidRDefault="00B455D8" w:rsidP="008E3E21">
      <w:pPr>
        <w:spacing w:before="120" w:after="120"/>
        <w:jc w:val="both"/>
        <w:rPr>
          <w:lang w:val="en-US"/>
        </w:rPr>
      </w:pPr>
      <w:r w:rsidRPr="00E50844">
        <w:rPr>
          <w:lang w:val="en-US"/>
        </w:rPr>
        <w:t xml:space="preserve">The </w:t>
      </w:r>
      <w:r w:rsidRPr="00E50844">
        <w:rPr>
          <w:b/>
          <w:lang w:val="en-US"/>
        </w:rPr>
        <w:t>Programme Development Team of CDPMO/</w:t>
      </w:r>
      <w:r w:rsidR="008E3E21">
        <w:rPr>
          <w:b/>
          <w:lang w:val="en-US"/>
        </w:rPr>
        <w:t xml:space="preserve"> </w:t>
      </w:r>
      <w:r w:rsidRPr="00E50844">
        <w:rPr>
          <w:b/>
          <w:lang w:val="en-US"/>
        </w:rPr>
        <w:t xml:space="preserve">DESA </w:t>
      </w:r>
      <w:proofErr w:type="gramStart"/>
      <w:r w:rsidRPr="00E50844">
        <w:rPr>
          <w:lang w:val="en-US"/>
        </w:rPr>
        <w:t>will be</w:t>
      </w:r>
      <w:proofErr w:type="gramEnd"/>
      <w:r w:rsidRPr="00E50844">
        <w:rPr>
          <w:lang w:val="en-US"/>
        </w:rPr>
        <w:t xml:space="preserve"> expected to:</w:t>
      </w:r>
    </w:p>
    <w:p w14:paraId="3435200E" w14:textId="77777777" w:rsidR="00B455D8" w:rsidRPr="008E3E21" w:rsidRDefault="00B455D8" w:rsidP="003B672F">
      <w:pPr>
        <w:pStyle w:val="ListParagraph"/>
        <w:numPr>
          <w:ilvl w:val="0"/>
          <w:numId w:val="21"/>
        </w:numPr>
        <w:spacing w:before="120" w:after="120"/>
        <w:jc w:val="both"/>
        <w:rPr>
          <w:lang w:val="en-US"/>
        </w:rPr>
      </w:pPr>
      <w:r w:rsidRPr="008E3E21">
        <w:rPr>
          <w:lang w:val="en-US"/>
        </w:rPr>
        <w:t>Oversee and facilitate compliance with evaluation requirements (approve TOR, approve selection of evaluation consultant)</w:t>
      </w:r>
    </w:p>
    <w:p w14:paraId="751B88BB" w14:textId="77777777" w:rsidR="00B455D8" w:rsidRPr="008E3E21" w:rsidRDefault="00B455D8" w:rsidP="003B672F">
      <w:pPr>
        <w:pStyle w:val="ListParagraph"/>
        <w:numPr>
          <w:ilvl w:val="0"/>
          <w:numId w:val="21"/>
        </w:numPr>
        <w:spacing w:before="120" w:after="120"/>
        <w:jc w:val="both"/>
        <w:rPr>
          <w:lang w:val="en-US"/>
        </w:rPr>
      </w:pPr>
      <w:proofErr w:type="gramStart"/>
      <w:r w:rsidRPr="008E3E21">
        <w:rPr>
          <w:lang w:val="en-US"/>
        </w:rPr>
        <w:t>Represent</w:t>
      </w:r>
      <w:proofErr w:type="gramEnd"/>
      <w:r w:rsidRPr="008E3E21">
        <w:rPr>
          <w:lang w:val="en-US"/>
        </w:rPr>
        <w:t xml:space="preserve"> DESA in the ERG</w:t>
      </w:r>
    </w:p>
    <w:p w14:paraId="3C59715C" w14:textId="77777777" w:rsidR="00B455D8" w:rsidRPr="008E3E21" w:rsidRDefault="00B455D8" w:rsidP="003B672F">
      <w:pPr>
        <w:pStyle w:val="ListParagraph"/>
        <w:numPr>
          <w:ilvl w:val="0"/>
          <w:numId w:val="21"/>
        </w:numPr>
        <w:spacing w:before="120" w:after="120"/>
        <w:jc w:val="both"/>
        <w:rPr>
          <w:lang w:val="en-US"/>
        </w:rPr>
      </w:pPr>
      <w:r w:rsidRPr="008E3E21">
        <w:rPr>
          <w:lang w:val="en-US"/>
        </w:rPr>
        <w:lastRenderedPageBreak/>
        <w:t>Support organizational learning from the evaluation for future programming (disseminate good practices, advise Capacity Development Steering Committee on key lessons learned, and manage recommendations tracker)</w:t>
      </w:r>
    </w:p>
    <w:p w14:paraId="4E5EA0FA" w14:textId="77777777" w:rsidR="00B455D8" w:rsidRPr="008E3E21" w:rsidRDefault="00B455D8" w:rsidP="003B672F">
      <w:pPr>
        <w:pStyle w:val="ListParagraph"/>
        <w:numPr>
          <w:ilvl w:val="0"/>
          <w:numId w:val="21"/>
        </w:numPr>
        <w:spacing w:before="120" w:after="120"/>
        <w:jc w:val="both"/>
        <w:rPr>
          <w:lang w:val="en-US"/>
        </w:rPr>
      </w:pPr>
      <w:r w:rsidRPr="008E3E21">
        <w:rPr>
          <w:lang w:val="en-US"/>
        </w:rPr>
        <w:t>Promote accountability for results of DESA capacity development work (use evaluation findings to demonstrate and report on DESA’s capacity development work to Member States, etc.)</w:t>
      </w:r>
    </w:p>
    <w:p w14:paraId="1F526665" w14:textId="77777777" w:rsidR="00B455D8" w:rsidRPr="00E50844" w:rsidRDefault="00B455D8" w:rsidP="008E3E21">
      <w:pPr>
        <w:spacing w:before="120" w:after="120"/>
        <w:jc w:val="both"/>
        <w:rPr>
          <w:lang w:val="en-US"/>
        </w:rPr>
      </w:pPr>
      <w:r w:rsidRPr="00E50844">
        <w:rPr>
          <w:lang w:val="en-US"/>
        </w:rPr>
        <w:t xml:space="preserve">The </w:t>
      </w:r>
      <w:r w:rsidRPr="00E50844">
        <w:rPr>
          <w:b/>
          <w:lang w:val="en-US"/>
        </w:rPr>
        <w:t xml:space="preserve">Evaluation Reference Group </w:t>
      </w:r>
      <w:r w:rsidRPr="00E50844">
        <w:rPr>
          <w:lang w:val="en-US"/>
        </w:rPr>
        <w:t>will be expected to:</w:t>
      </w:r>
    </w:p>
    <w:p w14:paraId="372F06C9" w14:textId="77777777" w:rsidR="00B455D8" w:rsidRPr="008E3E21" w:rsidRDefault="00B455D8" w:rsidP="003B672F">
      <w:pPr>
        <w:pStyle w:val="ListParagraph"/>
        <w:numPr>
          <w:ilvl w:val="0"/>
          <w:numId w:val="22"/>
        </w:numPr>
        <w:spacing w:before="120" w:after="120"/>
        <w:jc w:val="both"/>
        <w:rPr>
          <w:lang w:val="en-US"/>
        </w:rPr>
      </w:pPr>
      <w:r w:rsidRPr="008E3E21">
        <w:rPr>
          <w:lang w:val="en-US"/>
        </w:rPr>
        <w:t>Review and comment on the draft inception report;</w:t>
      </w:r>
    </w:p>
    <w:p w14:paraId="22241B8C" w14:textId="77777777" w:rsidR="00B455D8" w:rsidRPr="008E3E21" w:rsidRDefault="00B455D8" w:rsidP="003B672F">
      <w:pPr>
        <w:pStyle w:val="ListParagraph"/>
        <w:numPr>
          <w:ilvl w:val="0"/>
          <w:numId w:val="22"/>
        </w:numPr>
        <w:spacing w:before="120" w:after="120"/>
        <w:jc w:val="both"/>
        <w:rPr>
          <w:lang w:val="en-US"/>
        </w:rPr>
      </w:pPr>
      <w:r w:rsidRPr="008E3E21">
        <w:rPr>
          <w:lang w:val="en-US"/>
        </w:rPr>
        <w:t>Review and comment on the draft evaluation report.</w:t>
      </w:r>
    </w:p>
    <w:p w14:paraId="5E418B1F" w14:textId="77777777" w:rsidR="00B455D8" w:rsidRDefault="00B455D8" w:rsidP="008E3E21">
      <w:pPr>
        <w:spacing w:before="120" w:after="120"/>
        <w:jc w:val="both"/>
        <w:rPr>
          <w:lang w:val="en-US"/>
        </w:rPr>
      </w:pPr>
      <w:r w:rsidRPr="00E50844">
        <w:rPr>
          <w:lang w:val="en-US"/>
        </w:rPr>
        <w:t>Comments will be invited on a ‘non-objection’ basis (no response=agree) so that the process is not</w:t>
      </w:r>
      <w:r>
        <w:rPr>
          <w:lang w:val="en-US"/>
        </w:rPr>
        <w:t xml:space="preserve"> </w:t>
      </w:r>
      <w:r w:rsidRPr="00E50844">
        <w:rPr>
          <w:lang w:val="en-US"/>
        </w:rPr>
        <w:t>delayed for an unnecessarily long time.</w:t>
      </w:r>
    </w:p>
    <w:p w14:paraId="1383061F" w14:textId="77777777" w:rsidR="00B455D8" w:rsidRPr="00E50844" w:rsidRDefault="00B455D8" w:rsidP="008E3E21">
      <w:pPr>
        <w:spacing w:before="120" w:after="120"/>
        <w:jc w:val="both"/>
        <w:rPr>
          <w:lang w:val="en-US"/>
        </w:rPr>
      </w:pPr>
      <w:r w:rsidRPr="00E50844">
        <w:rPr>
          <w:lang w:val="en-US"/>
        </w:rPr>
        <w:t xml:space="preserve">The </w:t>
      </w:r>
      <w:r w:rsidRPr="00E50844">
        <w:rPr>
          <w:b/>
          <w:lang w:val="en-US"/>
        </w:rPr>
        <w:t xml:space="preserve">Project Coordinator (DESA/FSDO) </w:t>
      </w:r>
      <w:r w:rsidRPr="00E50844">
        <w:rPr>
          <w:lang w:val="en-US"/>
        </w:rPr>
        <w:t>will be expected to:</w:t>
      </w:r>
    </w:p>
    <w:p w14:paraId="248E8F48" w14:textId="37EC9261" w:rsidR="00B455D8" w:rsidRPr="00E50844" w:rsidRDefault="00B455D8" w:rsidP="003B672F">
      <w:pPr>
        <w:numPr>
          <w:ilvl w:val="0"/>
          <w:numId w:val="23"/>
        </w:numPr>
        <w:spacing w:before="120" w:after="120"/>
        <w:jc w:val="both"/>
        <w:rPr>
          <w:lang w:val="en-US"/>
        </w:rPr>
      </w:pPr>
      <w:r w:rsidRPr="00E50844">
        <w:rPr>
          <w:lang w:val="en-US"/>
        </w:rPr>
        <w:t xml:space="preserve">Collect all necessary information and documents from all the </w:t>
      </w:r>
      <w:proofErr w:type="gramStart"/>
      <w:r w:rsidR="00DE21FA">
        <w:rPr>
          <w:lang w:val="en-US"/>
        </w:rPr>
        <w:t>executing</w:t>
      </w:r>
      <w:proofErr w:type="gramEnd"/>
      <w:r w:rsidR="00DE21FA">
        <w:rPr>
          <w:lang w:val="en-US"/>
        </w:rPr>
        <w:t xml:space="preserve"> entities</w:t>
      </w:r>
      <w:r w:rsidRPr="00E50844">
        <w:rPr>
          <w:lang w:val="en-US"/>
        </w:rPr>
        <w:t xml:space="preserve"> and provide them in a consolidated format, as requested by the Evaluation Manager and the evaluation consultant.</w:t>
      </w:r>
    </w:p>
    <w:p w14:paraId="0C1B8398" w14:textId="77777777" w:rsidR="00B455D8" w:rsidRPr="00E50844" w:rsidRDefault="00B455D8" w:rsidP="003B672F">
      <w:pPr>
        <w:numPr>
          <w:ilvl w:val="0"/>
          <w:numId w:val="23"/>
        </w:numPr>
        <w:spacing w:before="120" w:after="120"/>
        <w:jc w:val="both"/>
        <w:rPr>
          <w:lang w:val="en-US"/>
        </w:rPr>
      </w:pPr>
      <w:r w:rsidRPr="00E50844">
        <w:rPr>
          <w:lang w:val="en-US"/>
        </w:rPr>
        <w:t>Facilitate the scheduling of meetings with key informants and other stakeholders internally and externally, including provision of letters of introductions to the evaluation consultant for ease of access to evaluation informants.</w:t>
      </w:r>
    </w:p>
    <w:p w14:paraId="169407CF" w14:textId="77777777" w:rsidR="00B455D8" w:rsidRPr="00E50844" w:rsidRDefault="00B455D8" w:rsidP="003B672F">
      <w:pPr>
        <w:numPr>
          <w:ilvl w:val="0"/>
          <w:numId w:val="23"/>
        </w:numPr>
        <w:spacing w:before="120" w:after="120"/>
        <w:jc w:val="both"/>
        <w:rPr>
          <w:lang w:val="en-US"/>
        </w:rPr>
      </w:pPr>
      <w:r w:rsidRPr="00E50844">
        <w:rPr>
          <w:lang w:val="en-US"/>
        </w:rPr>
        <w:t>Participate in the inception meeting, post-data collection de-brief, presentation of the draft evaluation report and provide inputs as necessary.</w:t>
      </w:r>
    </w:p>
    <w:p w14:paraId="47FC3C68" w14:textId="77777777" w:rsidR="00B455D8" w:rsidRPr="00E50844" w:rsidRDefault="00B455D8" w:rsidP="003B672F">
      <w:pPr>
        <w:numPr>
          <w:ilvl w:val="0"/>
          <w:numId w:val="23"/>
        </w:numPr>
        <w:spacing w:before="120" w:after="120"/>
        <w:jc w:val="both"/>
        <w:rPr>
          <w:lang w:val="en-US"/>
        </w:rPr>
      </w:pPr>
      <w:r w:rsidRPr="00E50844">
        <w:rPr>
          <w:lang w:val="en-US"/>
        </w:rPr>
        <w:t>Review and make substantive input to the draft inception report and evaluation report, providing clarifications and information requested on project design and implementation, and any queries related to the project.</w:t>
      </w:r>
    </w:p>
    <w:p w14:paraId="32A64211" w14:textId="77777777" w:rsidR="00B455D8" w:rsidRPr="00E50844" w:rsidRDefault="00B455D8" w:rsidP="003B672F">
      <w:pPr>
        <w:numPr>
          <w:ilvl w:val="0"/>
          <w:numId w:val="23"/>
        </w:numPr>
        <w:spacing w:before="120" w:after="120"/>
        <w:jc w:val="both"/>
        <w:rPr>
          <w:lang w:val="en-US"/>
        </w:rPr>
      </w:pPr>
      <w:r w:rsidRPr="00E50844">
        <w:rPr>
          <w:lang w:val="en-US"/>
        </w:rPr>
        <w:t>Prepare DESA’s management response to the evaluation report, including an implementation plan.</w:t>
      </w:r>
    </w:p>
    <w:p w14:paraId="2F414950" w14:textId="014F0030" w:rsidR="00B455D8" w:rsidRPr="00E50844" w:rsidRDefault="00B455D8" w:rsidP="003B672F">
      <w:pPr>
        <w:numPr>
          <w:ilvl w:val="0"/>
          <w:numId w:val="23"/>
        </w:numPr>
        <w:spacing w:before="120" w:after="120"/>
        <w:jc w:val="both"/>
        <w:rPr>
          <w:lang w:val="en-US"/>
        </w:rPr>
      </w:pPr>
      <w:r w:rsidRPr="00E50844">
        <w:rPr>
          <w:lang w:val="en-US"/>
        </w:rPr>
        <w:t xml:space="preserve">Submit the finalized evaluation report and the management responses from all </w:t>
      </w:r>
      <w:r w:rsidR="00DE21FA">
        <w:rPr>
          <w:lang w:val="en-US"/>
        </w:rPr>
        <w:t>executing entities</w:t>
      </w:r>
      <w:r w:rsidRPr="00E50844">
        <w:rPr>
          <w:lang w:val="en-US"/>
        </w:rPr>
        <w:t xml:space="preserve"> to DA-PMT, through the Programme Development team/CDPMO.</w:t>
      </w:r>
    </w:p>
    <w:p w14:paraId="76A6524F" w14:textId="3C351A1E" w:rsidR="00B455D8" w:rsidRPr="00E50844" w:rsidRDefault="00B455D8" w:rsidP="008E3E21">
      <w:pPr>
        <w:spacing w:before="120" w:after="120"/>
        <w:jc w:val="both"/>
        <w:rPr>
          <w:lang w:val="en-US"/>
        </w:rPr>
      </w:pPr>
      <w:r w:rsidRPr="00E50844">
        <w:rPr>
          <w:b/>
          <w:lang w:val="en-US"/>
        </w:rPr>
        <w:t xml:space="preserve">Project focal points in the </w:t>
      </w:r>
      <w:r w:rsidR="00DE21FA">
        <w:rPr>
          <w:b/>
          <w:lang w:val="en-US"/>
        </w:rPr>
        <w:t>executing entities</w:t>
      </w:r>
      <w:r w:rsidRPr="00E50844">
        <w:rPr>
          <w:b/>
          <w:lang w:val="en-US"/>
        </w:rPr>
        <w:t xml:space="preserve"> </w:t>
      </w:r>
      <w:r w:rsidRPr="00E50844">
        <w:rPr>
          <w:lang w:val="en-US"/>
        </w:rPr>
        <w:t>will be expected to:</w:t>
      </w:r>
    </w:p>
    <w:p w14:paraId="65B08F24"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Review and comment on the draft TOR for evaluation consultant</w:t>
      </w:r>
    </w:p>
    <w:p w14:paraId="41704E64"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 xml:space="preserve">Provide </w:t>
      </w:r>
      <w:proofErr w:type="gramStart"/>
      <w:r w:rsidRPr="00520BEF">
        <w:rPr>
          <w:lang w:val="en-US"/>
        </w:rPr>
        <w:t>inputs</w:t>
      </w:r>
      <w:proofErr w:type="gramEnd"/>
      <w:r w:rsidRPr="00520BEF">
        <w:rPr>
          <w:lang w:val="en-US"/>
        </w:rPr>
        <w:t xml:space="preserve"> on the required qualifications of the evaluation consultant</w:t>
      </w:r>
    </w:p>
    <w:p w14:paraId="0C7C24E7"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Facilitate the identification of a representative to the Evaluation Reference Group</w:t>
      </w:r>
    </w:p>
    <w:p w14:paraId="11A06BD7"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Provide access to the evaluation consultant, through the project coordinator, to relevant project documentation and stakeholders from their respective entities;</w:t>
      </w:r>
    </w:p>
    <w:p w14:paraId="5255DA3E"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Submit through the project coordinator to the evaluation consultant project documentation, including data and information residing with the other participating entities, immediately following the completion of the project;</w:t>
      </w:r>
    </w:p>
    <w:p w14:paraId="42A24CC6"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Collect and consolidate other requested data and information from their respective entities, as requested by the evaluation consultant through the project coordinator;</w:t>
      </w:r>
    </w:p>
    <w:p w14:paraId="67681002"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Support the evaluation process, including through facilitating the evaluation consultant’s access to the project’s beneficiaries and other key stakeholders;</w:t>
      </w:r>
    </w:p>
    <w:p w14:paraId="1E3B12E4"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Provide an updated list of stakeholders, and facilitate the administration of questionnaires, including translation of questionnaire in the respective language required (French, Spanish, Russian or Arabic);</w:t>
      </w:r>
    </w:p>
    <w:p w14:paraId="5B507976"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Provide contacts, references, information about activities and logistical support to the evaluation consultant as requested at the start of the evaluation and during the evaluation;</w:t>
      </w:r>
    </w:p>
    <w:p w14:paraId="39508C65"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t>Facilitate the cooperation and contribution of the relevant colleagues in their respective entities to the evaluation process, as requested.</w:t>
      </w:r>
    </w:p>
    <w:p w14:paraId="6226C113" w14:textId="77777777" w:rsidR="00B455D8" w:rsidRPr="00520BEF" w:rsidRDefault="00B455D8" w:rsidP="003B672F">
      <w:pPr>
        <w:pStyle w:val="ListParagraph"/>
        <w:numPr>
          <w:ilvl w:val="0"/>
          <w:numId w:val="24"/>
        </w:numPr>
        <w:spacing w:before="120" w:after="120"/>
        <w:ind w:left="714" w:hanging="357"/>
        <w:contextualSpacing w:val="0"/>
        <w:jc w:val="both"/>
        <w:rPr>
          <w:lang w:val="en-US"/>
        </w:rPr>
      </w:pPr>
      <w:r w:rsidRPr="00520BEF">
        <w:rPr>
          <w:lang w:val="en-US"/>
        </w:rPr>
        <w:lastRenderedPageBreak/>
        <w:t>Develop the respective entity’s management response to the recommendations addressed to them in accordance with their respective processes and procedures within three months after the finalization of the evaluation report.</w:t>
      </w:r>
    </w:p>
    <w:p w14:paraId="03C9F390" w14:textId="77777777" w:rsidR="00B455D8" w:rsidRPr="00665F22" w:rsidRDefault="00B455D8" w:rsidP="002C135A">
      <w:pPr>
        <w:spacing w:before="120" w:after="120"/>
        <w:jc w:val="both"/>
        <w:rPr>
          <w:b/>
          <w:bCs/>
          <w:lang w:val="en-US"/>
        </w:rPr>
      </w:pPr>
      <w:r w:rsidRPr="00665F22">
        <w:rPr>
          <w:b/>
          <w:bCs/>
          <w:lang w:val="en-US"/>
        </w:rPr>
        <w:t>Dissemination and follow-up strategy</w:t>
      </w:r>
    </w:p>
    <w:p w14:paraId="69E3A6CA" w14:textId="5022668D" w:rsidR="00B455D8" w:rsidRPr="00E50844" w:rsidRDefault="00B455D8" w:rsidP="002C135A">
      <w:pPr>
        <w:spacing w:before="120" w:after="120"/>
        <w:jc w:val="both"/>
        <w:rPr>
          <w:lang w:val="en-US"/>
        </w:rPr>
      </w:pPr>
      <w:r w:rsidRPr="00E50844">
        <w:rPr>
          <w:lang w:val="en-US"/>
        </w:rPr>
        <w:t xml:space="preserve">Upon finalization of the evaluation report, each implementing entity </w:t>
      </w:r>
      <w:proofErr w:type="gramStart"/>
      <w:r w:rsidRPr="00E50844">
        <w:rPr>
          <w:lang w:val="en-US"/>
        </w:rPr>
        <w:t>to develop</w:t>
      </w:r>
      <w:proofErr w:type="gramEnd"/>
      <w:r w:rsidRPr="00E50844">
        <w:rPr>
          <w:lang w:val="en-US"/>
        </w:rPr>
        <w:t xml:space="preserve"> a management</w:t>
      </w:r>
      <w:r w:rsidR="002C135A">
        <w:rPr>
          <w:lang w:val="en-US"/>
        </w:rPr>
        <w:t xml:space="preserve"> </w:t>
      </w:r>
      <w:r w:rsidRPr="00E50844">
        <w:rPr>
          <w:lang w:val="en-US"/>
        </w:rPr>
        <w:t>response to the recommendations addressed to them in accordance with the entity’s policy/procedure.</w:t>
      </w:r>
    </w:p>
    <w:p w14:paraId="5D827B4F" w14:textId="77777777" w:rsidR="00B455D8" w:rsidRPr="00E50844" w:rsidRDefault="00B455D8" w:rsidP="002C135A">
      <w:pPr>
        <w:spacing w:before="120" w:after="120"/>
        <w:jc w:val="both"/>
        <w:rPr>
          <w:lang w:val="en-US"/>
        </w:rPr>
      </w:pPr>
      <w:r w:rsidRPr="00E50844">
        <w:rPr>
          <w:lang w:val="en-US"/>
        </w:rPr>
        <w:t>The results from the evaluation including key lessons learned, best practices and recommendations will be shared widely with participating entities, partners and stakeholders, and Member States. In particular, an Evaluation Brief will be produced presenting a summary of the key evaluation findings, highlighting the results of the project, and lessons learned.</w:t>
      </w:r>
    </w:p>
    <w:p w14:paraId="71C15D10" w14:textId="57CE0C4B" w:rsidR="00B455D8" w:rsidRDefault="00B455D8" w:rsidP="002C135A">
      <w:pPr>
        <w:spacing w:before="120" w:after="120"/>
        <w:jc w:val="both"/>
        <w:rPr>
          <w:lang w:val="en-US"/>
        </w:rPr>
      </w:pPr>
      <w:r w:rsidRPr="00E50844">
        <w:rPr>
          <w:lang w:val="en-US"/>
        </w:rPr>
        <w:t xml:space="preserve">The final evaluation report, along with all </w:t>
      </w:r>
      <w:r w:rsidR="00DE21FA">
        <w:rPr>
          <w:lang w:val="en-US"/>
        </w:rPr>
        <w:t>executing entities</w:t>
      </w:r>
      <w:r w:rsidRPr="00E50844">
        <w:rPr>
          <w:lang w:val="en-US"/>
        </w:rPr>
        <w:t xml:space="preserve">’ management responses, will be published on the Development Account website and the websites of the </w:t>
      </w:r>
      <w:proofErr w:type="gramStart"/>
      <w:r w:rsidR="00DE21FA">
        <w:rPr>
          <w:lang w:val="en-US"/>
        </w:rPr>
        <w:t>executing</w:t>
      </w:r>
      <w:proofErr w:type="gramEnd"/>
      <w:r w:rsidR="00DE21FA">
        <w:rPr>
          <w:lang w:val="en-US"/>
        </w:rPr>
        <w:t xml:space="preserve"> entities</w:t>
      </w:r>
      <w:r w:rsidRPr="00E50844">
        <w:rPr>
          <w:lang w:val="en-US"/>
        </w:rPr>
        <w:t>, as appropriate. The DESA template for management response is included in Annex 4 of DESA capacity development evaluation guidelines and all management responses pertaining to DESA will be published on DESA’s central evaluation management tracker and updated accordingly.</w:t>
      </w:r>
    </w:p>
    <w:p w14:paraId="7AC4C620" w14:textId="22CC4106" w:rsidR="002C135A" w:rsidRPr="00665F22" w:rsidRDefault="003C36E2" w:rsidP="002C135A">
      <w:pPr>
        <w:spacing w:before="120" w:after="120"/>
        <w:jc w:val="both"/>
        <w:rPr>
          <w:b/>
          <w:bCs/>
          <w:lang w:val="en-US"/>
        </w:rPr>
      </w:pPr>
      <w:r>
        <w:rPr>
          <w:b/>
          <w:bCs/>
          <w:lang w:val="en-US"/>
        </w:rPr>
        <w:t xml:space="preserve">C. </w:t>
      </w:r>
      <w:r w:rsidR="002C135A">
        <w:rPr>
          <w:b/>
          <w:bCs/>
          <w:lang w:val="en-US"/>
        </w:rPr>
        <w:t>Work assignment</w:t>
      </w:r>
    </w:p>
    <w:p w14:paraId="2D13CBE9" w14:textId="402A1D16" w:rsidR="00B455D8" w:rsidRPr="00E50844" w:rsidRDefault="00B455D8" w:rsidP="002C135A">
      <w:pPr>
        <w:spacing w:before="120" w:after="120"/>
        <w:jc w:val="both"/>
        <w:rPr>
          <w:lang w:val="en-US"/>
        </w:rPr>
      </w:pPr>
      <w:r w:rsidRPr="00E50844">
        <w:rPr>
          <w:lang w:val="en-US"/>
        </w:rPr>
        <w:t xml:space="preserve">An </w:t>
      </w:r>
      <w:r w:rsidRPr="00E50844">
        <w:rPr>
          <w:b/>
          <w:lang w:val="en-US"/>
        </w:rPr>
        <w:t xml:space="preserve">evaluation consultant </w:t>
      </w:r>
      <w:r w:rsidR="0086126C">
        <w:rPr>
          <w:b/>
          <w:lang w:val="en-US"/>
        </w:rPr>
        <w:t>and</w:t>
      </w:r>
      <w:r>
        <w:rPr>
          <w:b/>
          <w:lang w:val="en-US"/>
        </w:rPr>
        <w:t xml:space="preserve"> a Financing for Development (FfD) expert </w:t>
      </w:r>
      <w:r w:rsidRPr="00E50844">
        <w:rPr>
          <w:lang w:val="en-US"/>
        </w:rPr>
        <w:t xml:space="preserve">will be recruited to undertake the tasks described below as part of the evaluation of DA13 Project </w:t>
      </w:r>
      <w:r>
        <w:rPr>
          <w:lang w:val="en-US"/>
        </w:rPr>
        <w:t>“</w:t>
      </w:r>
      <w:r w:rsidRPr="00E50844">
        <w:rPr>
          <w:lang w:val="en-US"/>
        </w:rPr>
        <w:t>Towards Integrated National Financing Framework”. DESA/FSDO will administrate the consultancy contract.</w:t>
      </w:r>
    </w:p>
    <w:p w14:paraId="6B827279" w14:textId="77777777" w:rsidR="00B455D8" w:rsidRPr="00E50844" w:rsidRDefault="00B455D8" w:rsidP="002C135A">
      <w:pPr>
        <w:spacing w:before="120" w:after="120"/>
        <w:jc w:val="both"/>
        <w:rPr>
          <w:lang w:val="en-US"/>
        </w:rPr>
      </w:pPr>
      <w:r w:rsidRPr="00E50844">
        <w:rPr>
          <w:lang w:val="en-US"/>
        </w:rPr>
        <w:t>The evaluation consultant is responsible for conducting the overall evaluation, applying the methodology as appropriate, and for producing the evaluation report. The evaluation consultant will participate in briefing and debriefing meetings and discussions, and will conduct the evaluation and prepare the final draft and final report based on the Development Account template for the 13</w:t>
      </w:r>
      <w:r w:rsidRPr="00E50844">
        <w:rPr>
          <w:vertAlign w:val="superscript"/>
          <w:lang w:val="en-US"/>
        </w:rPr>
        <w:t>th</w:t>
      </w:r>
      <w:r w:rsidRPr="00E50844">
        <w:rPr>
          <w:lang w:val="en-US"/>
        </w:rPr>
        <w:t xml:space="preserve"> tranche project evaluations (</w:t>
      </w:r>
      <w:hyperlink r:id="rId84" w:history="1">
        <w:r w:rsidRPr="00E50844">
          <w:rPr>
            <w:rStyle w:val="Hyperlink"/>
            <w:lang w:val="en-US"/>
          </w:rPr>
          <w:t>http://www.un.org/development/desa/da/wp-</w:t>
        </w:r>
      </w:hyperlink>
      <w:hyperlink r:id="rId85" w:history="1">
        <w:r w:rsidRPr="00E50844">
          <w:rPr>
            <w:rStyle w:val="Hyperlink"/>
            <w:lang w:val="en-US"/>
          </w:rPr>
          <w:t>content/uploads/sites/52/2024/03/DA-project-evaluation-report-template-for-T13.docx</w:t>
        </w:r>
      </w:hyperlink>
      <w:r w:rsidRPr="00E50844">
        <w:rPr>
          <w:lang w:val="en-US"/>
        </w:rPr>
        <w:t>).</w:t>
      </w:r>
    </w:p>
    <w:p w14:paraId="066E7B14" w14:textId="0E3C125C" w:rsidR="00B455D8" w:rsidRDefault="00B455D8" w:rsidP="002C135A">
      <w:pPr>
        <w:spacing w:before="120" w:after="120"/>
        <w:jc w:val="both"/>
        <w:rPr>
          <w:lang w:val="en-US"/>
        </w:rPr>
      </w:pPr>
      <w:r>
        <w:rPr>
          <w:lang w:val="en-US"/>
        </w:rPr>
        <w:t xml:space="preserve">The FfD expert will undertake a specific, discrete study to be presented to the DESA/FSDO and other jointly </w:t>
      </w:r>
      <w:r w:rsidR="00DE21FA">
        <w:rPr>
          <w:lang w:val="en-US"/>
        </w:rPr>
        <w:t>executing entities</w:t>
      </w:r>
      <w:r>
        <w:rPr>
          <w:lang w:val="en-US"/>
        </w:rPr>
        <w:t xml:space="preserve"> as a stand-alone report, as well as to be incorporated into the evaluation report by the evaluation consultant, as deemed appropriate by the evaluation consultant.</w:t>
      </w:r>
    </w:p>
    <w:p w14:paraId="57747020" w14:textId="57D289E8" w:rsidR="00B455D8" w:rsidRDefault="00B455D8" w:rsidP="002C135A">
      <w:pPr>
        <w:spacing w:before="120" w:after="120"/>
        <w:jc w:val="both"/>
        <w:rPr>
          <w:lang w:val="en-US"/>
        </w:rPr>
      </w:pPr>
      <w:r w:rsidRPr="00E50844">
        <w:rPr>
          <w:lang w:val="en-US"/>
        </w:rPr>
        <w:t xml:space="preserve">The evaluation consultant is fully responsible for the evaluation report, which may not reflect the views of any of the </w:t>
      </w:r>
      <w:r w:rsidR="00DE21FA">
        <w:rPr>
          <w:lang w:val="en-US"/>
        </w:rPr>
        <w:t>executing entities</w:t>
      </w:r>
      <w:r w:rsidRPr="00E50844">
        <w:rPr>
          <w:lang w:val="en-US"/>
        </w:rPr>
        <w:t xml:space="preserve"> of the project. The evaluation consultant</w:t>
      </w:r>
      <w:r>
        <w:rPr>
          <w:lang w:val="en-US"/>
        </w:rPr>
        <w:t xml:space="preserve"> and the FfD expert</w:t>
      </w:r>
      <w:r w:rsidRPr="00E50844">
        <w:rPr>
          <w:lang w:val="en-US"/>
        </w:rPr>
        <w:t xml:space="preserve"> will be provided full access to all project reports, documentation, and stakeholder lists and contact information.</w:t>
      </w:r>
    </w:p>
    <w:p w14:paraId="3B90A541" w14:textId="78CEF5C4" w:rsidR="0077274C" w:rsidRPr="00665F22" w:rsidRDefault="00627088" w:rsidP="0077274C">
      <w:pPr>
        <w:spacing w:before="120" w:after="120"/>
        <w:jc w:val="both"/>
        <w:rPr>
          <w:b/>
          <w:bCs/>
          <w:lang w:val="en-US"/>
        </w:rPr>
      </w:pPr>
      <w:r>
        <w:rPr>
          <w:b/>
          <w:bCs/>
          <w:lang w:val="en-US"/>
        </w:rPr>
        <w:t xml:space="preserve">C1. </w:t>
      </w:r>
      <w:r w:rsidR="0077274C">
        <w:rPr>
          <w:b/>
          <w:bCs/>
          <w:lang w:val="en-US"/>
        </w:rPr>
        <w:t xml:space="preserve">Scope of work </w:t>
      </w:r>
    </w:p>
    <w:p w14:paraId="43EFFC10" w14:textId="77777777" w:rsidR="00B455D8" w:rsidRPr="00E50844" w:rsidRDefault="00B455D8" w:rsidP="002C135A">
      <w:pPr>
        <w:spacing w:before="120" w:after="120"/>
        <w:jc w:val="both"/>
        <w:rPr>
          <w:lang w:val="en-US"/>
        </w:rPr>
      </w:pPr>
      <w:r w:rsidRPr="006B4C8E">
        <w:rPr>
          <w:lang w:val="en-US"/>
        </w:rPr>
        <w:t>The evaluation will be guided by the objective, outcomes, indicators of achievement and means of</w:t>
      </w:r>
      <w:r w:rsidRPr="00E50844">
        <w:rPr>
          <w:lang w:val="en-US"/>
        </w:rPr>
        <w:t xml:space="preserve"> verification set out in the results framework of the project document. The evaluation will cover the</w:t>
      </w:r>
      <w:r>
        <w:rPr>
          <w:lang w:val="en-US"/>
        </w:rPr>
        <w:t xml:space="preserve"> </w:t>
      </w:r>
      <w:r w:rsidRPr="00E50844">
        <w:rPr>
          <w:lang w:val="en-US"/>
        </w:rPr>
        <w:t>duration of the project from January 2021 to 31 December 2024, encompassing all elements of the project.</w:t>
      </w:r>
    </w:p>
    <w:p w14:paraId="68A5BB3D" w14:textId="77777777" w:rsidR="00B455D8" w:rsidRPr="00E50844" w:rsidRDefault="00B455D8" w:rsidP="002C135A">
      <w:pPr>
        <w:spacing w:before="120" w:after="120"/>
        <w:jc w:val="both"/>
        <w:rPr>
          <w:lang w:val="en-US"/>
        </w:rPr>
      </w:pPr>
      <w:r w:rsidRPr="00E50844">
        <w:rPr>
          <w:lang w:val="en-US"/>
        </w:rPr>
        <w:t>This final evaluation of the project has the following specific objectives:</w:t>
      </w:r>
    </w:p>
    <w:p w14:paraId="390D13AA" w14:textId="77777777" w:rsidR="00B455D8" w:rsidRPr="00E50844" w:rsidRDefault="00B455D8" w:rsidP="003B672F">
      <w:pPr>
        <w:numPr>
          <w:ilvl w:val="2"/>
          <w:numId w:val="15"/>
        </w:numPr>
        <w:spacing w:before="120" w:after="120"/>
        <w:jc w:val="both"/>
        <w:rPr>
          <w:lang w:val="en-US"/>
        </w:rPr>
      </w:pPr>
      <w:r w:rsidRPr="00E50844">
        <w:rPr>
          <w:lang w:val="en-US"/>
        </w:rPr>
        <w:t>Determine as systematically and objectively as possible the relevance, effectiveness, efficiency, sustainability and coherence of the project results in light of its goals and objectives;</w:t>
      </w:r>
    </w:p>
    <w:p w14:paraId="45B827F1" w14:textId="26D452FB" w:rsidR="00B455D8" w:rsidRPr="00E50844" w:rsidRDefault="00B455D8" w:rsidP="003B672F">
      <w:pPr>
        <w:numPr>
          <w:ilvl w:val="2"/>
          <w:numId w:val="15"/>
        </w:numPr>
        <w:spacing w:before="120" w:after="120"/>
        <w:jc w:val="both"/>
        <w:rPr>
          <w:lang w:val="en-US"/>
        </w:rPr>
      </w:pPr>
      <w:r w:rsidRPr="00E50844">
        <w:rPr>
          <w:lang w:val="en-US"/>
        </w:rPr>
        <w:t xml:space="preserve">Document the results and achievements in each of the elements of the project, including synergies built across activities of </w:t>
      </w:r>
      <w:r w:rsidR="00DE21FA">
        <w:rPr>
          <w:lang w:val="en-US"/>
        </w:rPr>
        <w:t>executing entities</w:t>
      </w:r>
      <w:r w:rsidRPr="00E50844">
        <w:rPr>
          <w:lang w:val="en-US"/>
        </w:rPr>
        <w:t>; and</w:t>
      </w:r>
    </w:p>
    <w:p w14:paraId="44E11175" w14:textId="60912B4C" w:rsidR="00B455D8" w:rsidRDefault="00B455D8" w:rsidP="003B672F">
      <w:pPr>
        <w:numPr>
          <w:ilvl w:val="2"/>
          <w:numId w:val="15"/>
        </w:numPr>
        <w:spacing w:before="120" w:after="120"/>
        <w:jc w:val="both"/>
        <w:rPr>
          <w:lang w:val="en-US"/>
        </w:rPr>
      </w:pPr>
      <w:r w:rsidRPr="00E50844">
        <w:rPr>
          <w:lang w:val="en-US"/>
        </w:rPr>
        <w:t xml:space="preserve">Identify good practices and lessons learned from the project and formulate action-oriented, forward-looking recommendations addressed to the </w:t>
      </w:r>
      <w:r w:rsidR="00DE21FA">
        <w:rPr>
          <w:lang w:val="en-US"/>
        </w:rPr>
        <w:t>executing entities</w:t>
      </w:r>
      <w:r w:rsidRPr="00E50844">
        <w:rPr>
          <w:lang w:val="en-US"/>
        </w:rPr>
        <w:t xml:space="preserve"> for improving future interventions.</w:t>
      </w:r>
    </w:p>
    <w:p w14:paraId="507654FE" w14:textId="522E6645" w:rsidR="0077274C" w:rsidRPr="00665F22" w:rsidRDefault="00627088" w:rsidP="0077274C">
      <w:pPr>
        <w:spacing w:before="120" w:after="120"/>
        <w:jc w:val="both"/>
        <w:rPr>
          <w:b/>
          <w:bCs/>
          <w:lang w:val="en-US"/>
        </w:rPr>
      </w:pPr>
      <w:r>
        <w:rPr>
          <w:b/>
          <w:bCs/>
          <w:lang w:val="en-US"/>
        </w:rPr>
        <w:t xml:space="preserve">C2. </w:t>
      </w:r>
      <w:r w:rsidR="0077274C">
        <w:rPr>
          <w:b/>
          <w:bCs/>
          <w:lang w:val="en-US"/>
        </w:rPr>
        <w:t>Evaluation criteria and tentative methodology</w:t>
      </w:r>
    </w:p>
    <w:p w14:paraId="636EE619" w14:textId="457CCE71" w:rsidR="00B455D8" w:rsidRPr="00E50844" w:rsidRDefault="00B455D8" w:rsidP="002C135A">
      <w:pPr>
        <w:spacing w:before="120" w:after="120"/>
        <w:jc w:val="both"/>
        <w:rPr>
          <w:lang w:val="en-US"/>
        </w:rPr>
      </w:pPr>
      <w:r w:rsidRPr="00E50844">
        <w:rPr>
          <w:lang w:val="en-US"/>
        </w:rPr>
        <w:t xml:space="preserve">The evaluation will follow the Glossary of key terms in evaluation and Results-Based Management as well as </w:t>
      </w:r>
      <w:r w:rsidR="0077274C">
        <w:rPr>
          <w:lang w:val="en-US"/>
        </w:rPr>
        <w:t>u</w:t>
      </w:r>
      <w:r>
        <w:rPr>
          <w:lang w:val="en-US"/>
        </w:rPr>
        <w:t>tilize</w:t>
      </w:r>
      <w:r w:rsidRPr="00E50844">
        <w:rPr>
          <w:lang w:val="en-US"/>
        </w:rPr>
        <w:t xml:space="preserve"> the Organisation for Economic Co-operation and Development Assistance Committee (OECD DAC) evaluation criteria as outlined below:</w:t>
      </w:r>
    </w:p>
    <w:p w14:paraId="307E39BB" w14:textId="77777777" w:rsidR="00B455D8" w:rsidRPr="00E50844" w:rsidRDefault="00B455D8" w:rsidP="003B672F">
      <w:pPr>
        <w:numPr>
          <w:ilvl w:val="2"/>
          <w:numId w:val="15"/>
        </w:numPr>
        <w:spacing w:before="120" w:after="120"/>
        <w:jc w:val="both"/>
        <w:rPr>
          <w:lang w:val="en-US"/>
        </w:rPr>
      </w:pPr>
      <w:r w:rsidRPr="00E50844">
        <w:rPr>
          <w:b/>
          <w:lang w:val="en-US"/>
        </w:rPr>
        <w:lastRenderedPageBreak/>
        <w:t xml:space="preserve">Relevance </w:t>
      </w:r>
      <w:r w:rsidRPr="00E50844">
        <w:rPr>
          <w:lang w:val="en-US"/>
        </w:rPr>
        <w:t>– the extent to which the intervention objectives and design respond to beneficiaries’, global, country, and partners/institutional needs, policies, and priorities and continue to do so if circumstances change.</w:t>
      </w:r>
    </w:p>
    <w:p w14:paraId="75797CF1" w14:textId="77777777" w:rsidR="00B455D8" w:rsidRPr="00E50844" w:rsidRDefault="00B455D8" w:rsidP="003B672F">
      <w:pPr>
        <w:numPr>
          <w:ilvl w:val="2"/>
          <w:numId w:val="15"/>
        </w:numPr>
        <w:spacing w:before="120" w:after="120"/>
        <w:jc w:val="both"/>
        <w:rPr>
          <w:lang w:val="en-US"/>
        </w:rPr>
      </w:pPr>
      <w:r w:rsidRPr="00E50844">
        <w:rPr>
          <w:b/>
          <w:lang w:val="en-US"/>
        </w:rPr>
        <w:t xml:space="preserve">Effectiveness </w:t>
      </w:r>
      <w:r>
        <w:rPr>
          <w:lang w:val="en-US"/>
        </w:rPr>
        <w:t>–</w:t>
      </w:r>
      <w:r w:rsidRPr="00E50844">
        <w:rPr>
          <w:lang w:val="en-US"/>
        </w:rPr>
        <w:t xml:space="preserve"> the extent to which the intervention achieved, or is expected to achieve, its objectives, and its results, including any differential results across groups.</w:t>
      </w:r>
    </w:p>
    <w:p w14:paraId="50BB2ABA" w14:textId="77777777" w:rsidR="00B455D8" w:rsidRDefault="00B455D8" w:rsidP="003B672F">
      <w:pPr>
        <w:numPr>
          <w:ilvl w:val="2"/>
          <w:numId w:val="15"/>
        </w:numPr>
        <w:spacing w:before="120" w:after="120"/>
        <w:jc w:val="both"/>
        <w:rPr>
          <w:lang w:val="en-US"/>
        </w:rPr>
      </w:pPr>
      <w:r w:rsidRPr="00E50844">
        <w:rPr>
          <w:b/>
          <w:lang w:val="en-US"/>
        </w:rPr>
        <w:t xml:space="preserve">Efficiency </w:t>
      </w:r>
      <w:r>
        <w:rPr>
          <w:lang w:val="en-US"/>
        </w:rPr>
        <w:t>–</w:t>
      </w:r>
      <w:r w:rsidRPr="00E50844">
        <w:rPr>
          <w:lang w:val="en-US"/>
        </w:rPr>
        <w:t xml:space="preserve"> the extent to which the intervention delivers, or is likely to deliver, results in an economic and timely way.</w:t>
      </w:r>
    </w:p>
    <w:p w14:paraId="6DD12A04" w14:textId="77777777" w:rsidR="0077274C" w:rsidRDefault="00B455D8" w:rsidP="003B672F">
      <w:pPr>
        <w:numPr>
          <w:ilvl w:val="2"/>
          <w:numId w:val="15"/>
        </w:numPr>
        <w:spacing w:before="120" w:after="120"/>
        <w:jc w:val="both"/>
        <w:rPr>
          <w:lang w:val="en-US"/>
        </w:rPr>
      </w:pPr>
      <w:r w:rsidRPr="00E50844">
        <w:rPr>
          <w:b/>
          <w:lang w:val="en-US"/>
        </w:rPr>
        <w:t xml:space="preserve">Impact orientation </w:t>
      </w:r>
      <w:r w:rsidRPr="00E50844">
        <w:rPr>
          <w:lang w:val="en-US"/>
        </w:rPr>
        <w:t>– the extent to which the intervention has generated or is expected to generate significant positive or negative, intended, or unintended, higher-level effects.</w:t>
      </w:r>
    </w:p>
    <w:p w14:paraId="6C2E32FC" w14:textId="787CFBB4" w:rsidR="00B455D8" w:rsidRPr="0077274C" w:rsidRDefault="00B455D8" w:rsidP="003B672F">
      <w:pPr>
        <w:numPr>
          <w:ilvl w:val="2"/>
          <w:numId w:val="15"/>
        </w:numPr>
        <w:tabs>
          <w:tab w:val="left" w:pos="426"/>
          <w:tab w:val="left" w:pos="851"/>
        </w:tabs>
        <w:spacing w:before="120" w:after="120"/>
        <w:jc w:val="both"/>
        <w:rPr>
          <w:lang w:val="en-US"/>
        </w:rPr>
      </w:pPr>
      <w:r w:rsidRPr="0077274C">
        <w:rPr>
          <w:b/>
          <w:lang w:val="en-US"/>
        </w:rPr>
        <w:t xml:space="preserve">Sustainability </w:t>
      </w:r>
      <w:r w:rsidRPr="0077274C">
        <w:rPr>
          <w:lang w:val="en-US"/>
        </w:rPr>
        <w:t>– the extent to which the net benefits of the intervention continue or are likely to continue.</w:t>
      </w:r>
    </w:p>
    <w:p w14:paraId="4366E701" w14:textId="47BAB147" w:rsidR="00B455D8" w:rsidRPr="00E50844" w:rsidRDefault="00B455D8" w:rsidP="002C135A">
      <w:pPr>
        <w:spacing w:before="120" w:after="120"/>
        <w:jc w:val="both"/>
        <w:rPr>
          <w:lang w:val="en-US"/>
        </w:rPr>
      </w:pPr>
      <w:r w:rsidRPr="00E50844">
        <w:rPr>
          <w:lang w:val="en-US"/>
        </w:rPr>
        <w:t xml:space="preserve">Indicatively, a mixed-method approach would be used for the evaluation, which would be further refined by the evaluation consultant in the Inception Report based on the initial documentation review and consultation with the key stakeholders, using qualitative and quantitative methods, including the following (the tentative evaluation questions and how each method below is designed to provide lines of evidence for various specific questions are </w:t>
      </w:r>
      <w:r w:rsidR="00337C83">
        <w:rPr>
          <w:lang w:val="en-US"/>
        </w:rPr>
        <w:t xml:space="preserve">also </w:t>
      </w:r>
      <w:r w:rsidRPr="00E50844">
        <w:rPr>
          <w:lang w:val="en-US"/>
        </w:rPr>
        <w:t>presente</w:t>
      </w:r>
      <w:r w:rsidR="00337C83">
        <w:rPr>
          <w:lang w:val="en-US"/>
        </w:rPr>
        <w:t>d</w:t>
      </w:r>
      <w:r w:rsidRPr="00E50844">
        <w:rPr>
          <w:lang w:val="en-US"/>
        </w:rPr>
        <w:t>):</w:t>
      </w:r>
    </w:p>
    <w:p w14:paraId="5DB8FC22" w14:textId="77777777" w:rsidR="00B455D8" w:rsidRPr="00E50844" w:rsidRDefault="00B455D8" w:rsidP="003B672F">
      <w:pPr>
        <w:numPr>
          <w:ilvl w:val="0"/>
          <w:numId w:val="16"/>
        </w:numPr>
        <w:spacing w:before="120" w:after="120"/>
        <w:jc w:val="both"/>
        <w:rPr>
          <w:b/>
          <w:lang w:val="en-US"/>
        </w:rPr>
      </w:pPr>
      <w:r w:rsidRPr="00E50844">
        <w:rPr>
          <w:b/>
          <w:lang w:val="en-US"/>
        </w:rPr>
        <w:t>Desk review of project documents and relevant materials</w:t>
      </w:r>
      <w:r w:rsidRPr="00E50844">
        <w:rPr>
          <w:lang w:val="en-US"/>
        </w:rPr>
        <w:t>, including, but not limited to</w:t>
      </w:r>
      <w:r w:rsidRPr="00E50844">
        <w:rPr>
          <w:b/>
          <w:lang w:val="en-US"/>
        </w:rPr>
        <w:t>:</w:t>
      </w:r>
    </w:p>
    <w:p w14:paraId="1CAD9E56" w14:textId="77777777" w:rsidR="00B455D8" w:rsidRPr="00E50844" w:rsidRDefault="00B455D8" w:rsidP="003B672F">
      <w:pPr>
        <w:numPr>
          <w:ilvl w:val="1"/>
          <w:numId w:val="16"/>
        </w:numPr>
        <w:spacing w:before="120" w:after="120"/>
        <w:jc w:val="both"/>
        <w:rPr>
          <w:lang w:val="en-US"/>
        </w:rPr>
      </w:pPr>
      <w:r w:rsidRPr="00E50844">
        <w:rPr>
          <w:lang w:val="en-US"/>
        </w:rPr>
        <w:t>Concept note, project document, progress reports and final report, including financial reports</w:t>
      </w:r>
    </w:p>
    <w:p w14:paraId="4BA017FE" w14:textId="77777777" w:rsidR="00B455D8" w:rsidRPr="00E50844" w:rsidRDefault="00B455D8" w:rsidP="003B672F">
      <w:pPr>
        <w:numPr>
          <w:ilvl w:val="1"/>
          <w:numId w:val="16"/>
        </w:numPr>
        <w:spacing w:before="120" w:after="120"/>
        <w:jc w:val="both"/>
        <w:rPr>
          <w:lang w:val="en-US"/>
        </w:rPr>
      </w:pPr>
      <w:r w:rsidRPr="00E50844">
        <w:rPr>
          <w:lang w:val="en-US"/>
        </w:rPr>
        <w:t>Documentation related to meetings/workshops/training, including: agenda, minutes, outcome documents/reports, participant lists, and participant survey results</w:t>
      </w:r>
    </w:p>
    <w:p w14:paraId="57C54171" w14:textId="77777777" w:rsidR="00B455D8" w:rsidRPr="00E50844" w:rsidRDefault="00B455D8" w:rsidP="003B672F">
      <w:pPr>
        <w:numPr>
          <w:ilvl w:val="1"/>
          <w:numId w:val="16"/>
        </w:numPr>
        <w:spacing w:before="120" w:after="120"/>
        <w:jc w:val="both"/>
        <w:rPr>
          <w:lang w:val="en-US"/>
        </w:rPr>
      </w:pPr>
      <w:r w:rsidRPr="00E50844">
        <w:rPr>
          <w:lang w:val="en-US"/>
        </w:rPr>
        <w:t xml:space="preserve">Documentation related to technical assistance, including: beneficiaries/focal points, description of assistance </w:t>
      </w:r>
      <w:r w:rsidRPr="00E50844">
        <w:rPr>
          <w:lang w:val="en-US"/>
        </w:rPr>
        <w:t>provided, outputs/deliverables, and beneficiary feedback</w:t>
      </w:r>
    </w:p>
    <w:p w14:paraId="456C618B" w14:textId="77777777" w:rsidR="00B455D8" w:rsidRPr="00E50844" w:rsidRDefault="00B455D8" w:rsidP="003B672F">
      <w:pPr>
        <w:numPr>
          <w:ilvl w:val="1"/>
          <w:numId w:val="16"/>
        </w:numPr>
        <w:spacing w:before="120" w:after="120"/>
        <w:jc w:val="both"/>
        <w:rPr>
          <w:lang w:val="en-US"/>
        </w:rPr>
      </w:pPr>
      <w:r w:rsidRPr="00E50844">
        <w:rPr>
          <w:lang w:val="en-US"/>
        </w:rPr>
        <w:t>Documentation related to guidance documents, tools and other knowledge products, including: a list of guidance documents/tools/knowledge products, distribution lists, web analytics (e.g., number of visits, downloads)</w:t>
      </w:r>
    </w:p>
    <w:p w14:paraId="69E6F500" w14:textId="77777777" w:rsidR="00B455D8" w:rsidRPr="00E50844" w:rsidRDefault="00B455D8" w:rsidP="003B672F">
      <w:pPr>
        <w:numPr>
          <w:ilvl w:val="1"/>
          <w:numId w:val="16"/>
        </w:numPr>
        <w:spacing w:before="120" w:after="120"/>
        <w:jc w:val="both"/>
        <w:rPr>
          <w:lang w:val="en-US"/>
        </w:rPr>
      </w:pPr>
      <w:r w:rsidRPr="00E50844">
        <w:rPr>
          <w:lang w:val="en-US"/>
        </w:rPr>
        <w:t>Documentation related to the relevant global and regional processes on financing for development</w:t>
      </w:r>
    </w:p>
    <w:p w14:paraId="5C51E33B" w14:textId="77777777" w:rsidR="00B455D8" w:rsidRPr="00E50844" w:rsidRDefault="00B455D8" w:rsidP="003B672F">
      <w:pPr>
        <w:numPr>
          <w:ilvl w:val="1"/>
          <w:numId w:val="16"/>
        </w:numPr>
        <w:spacing w:before="120" w:after="120"/>
        <w:jc w:val="both"/>
        <w:rPr>
          <w:lang w:val="en-US"/>
        </w:rPr>
      </w:pPr>
      <w:r w:rsidRPr="00E50844">
        <w:rPr>
          <w:lang w:val="en-US"/>
        </w:rPr>
        <w:t xml:space="preserve">Information related to supplementary funding </w:t>
      </w:r>
      <w:proofErr w:type="gramStart"/>
      <w:r w:rsidRPr="00E50844">
        <w:rPr>
          <w:lang w:val="en-US"/>
        </w:rPr>
        <w:t>made</w:t>
      </w:r>
      <w:proofErr w:type="gramEnd"/>
      <w:r w:rsidRPr="00E50844">
        <w:rPr>
          <w:lang w:val="en-US"/>
        </w:rPr>
        <w:t xml:space="preserve"> available to implement the project (to be presented in the final report)</w:t>
      </w:r>
    </w:p>
    <w:p w14:paraId="4C872D4B" w14:textId="77777777" w:rsidR="00B455D8" w:rsidRPr="00E50844" w:rsidRDefault="00B455D8" w:rsidP="003B672F">
      <w:pPr>
        <w:numPr>
          <w:ilvl w:val="0"/>
          <w:numId w:val="16"/>
        </w:numPr>
        <w:spacing w:before="120" w:after="120"/>
        <w:jc w:val="both"/>
        <w:rPr>
          <w:lang w:val="en-US"/>
        </w:rPr>
      </w:pPr>
      <w:r w:rsidRPr="00E50844">
        <w:rPr>
          <w:b/>
          <w:lang w:val="en-US"/>
        </w:rPr>
        <w:t>Systematic analysis of workshop/training/meeting survey results and participant profiles</w:t>
      </w:r>
      <w:r w:rsidRPr="00E50844">
        <w:rPr>
          <w:lang w:val="en-US"/>
        </w:rPr>
        <w:t>, based on documentation (including survey results and participant lists) from all workshops/training/meetings undertaken under the project.</w:t>
      </w:r>
    </w:p>
    <w:p w14:paraId="78E16E6F" w14:textId="77777777" w:rsidR="00B455D8" w:rsidRPr="00E50844" w:rsidRDefault="00B455D8" w:rsidP="003B672F">
      <w:pPr>
        <w:numPr>
          <w:ilvl w:val="0"/>
          <w:numId w:val="16"/>
        </w:numPr>
        <w:spacing w:before="120" w:after="120"/>
        <w:jc w:val="both"/>
        <w:rPr>
          <w:bCs/>
          <w:lang w:val="en-US"/>
        </w:rPr>
      </w:pPr>
      <w:r w:rsidRPr="00E50844">
        <w:rPr>
          <w:b/>
          <w:bCs/>
          <w:lang w:val="en-US"/>
        </w:rPr>
        <w:t>Interviews (in-person or remote) with key stakeholders including</w:t>
      </w:r>
      <w:r w:rsidRPr="00E50844">
        <w:rPr>
          <w:bCs/>
          <w:lang w:val="en-US"/>
        </w:rPr>
        <w:t>:</w:t>
      </w:r>
    </w:p>
    <w:p w14:paraId="7B569082" w14:textId="20ED4B5B" w:rsidR="00B455D8" w:rsidRPr="00E50844" w:rsidRDefault="00B455D8" w:rsidP="003B672F">
      <w:pPr>
        <w:numPr>
          <w:ilvl w:val="1"/>
          <w:numId w:val="16"/>
        </w:numPr>
        <w:spacing w:before="120" w:after="120"/>
        <w:jc w:val="both"/>
        <w:rPr>
          <w:lang w:val="en-US"/>
        </w:rPr>
      </w:pPr>
      <w:r w:rsidRPr="00E50844">
        <w:rPr>
          <w:lang w:val="en-US"/>
        </w:rPr>
        <w:t xml:space="preserve">Project Coordinator and project focal points in the other </w:t>
      </w:r>
      <w:r w:rsidR="00DE21FA">
        <w:rPr>
          <w:lang w:val="en-US"/>
        </w:rPr>
        <w:t>executing entities</w:t>
      </w:r>
    </w:p>
    <w:p w14:paraId="42F2B28E" w14:textId="5DC087F2" w:rsidR="00B455D8" w:rsidRPr="00E50844" w:rsidRDefault="00B455D8" w:rsidP="003B672F">
      <w:pPr>
        <w:numPr>
          <w:ilvl w:val="1"/>
          <w:numId w:val="16"/>
        </w:numPr>
        <w:spacing w:before="120" w:after="120"/>
        <w:jc w:val="both"/>
        <w:rPr>
          <w:lang w:val="en-US"/>
        </w:rPr>
      </w:pPr>
      <w:r w:rsidRPr="00E50844">
        <w:rPr>
          <w:lang w:val="en-US"/>
        </w:rPr>
        <w:t xml:space="preserve">Senior management of DESA and other </w:t>
      </w:r>
      <w:r w:rsidR="00DE21FA">
        <w:rPr>
          <w:lang w:val="en-US"/>
        </w:rPr>
        <w:t>executing entities</w:t>
      </w:r>
      <w:r w:rsidRPr="00E50844">
        <w:rPr>
          <w:lang w:val="en-US"/>
        </w:rPr>
        <w:t xml:space="preserve"> who were involved in the project, including Director of FSDO</w:t>
      </w:r>
    </w:p>
    <w:p w14:paraId="73B8B7A4" w14:textId="77777777" w:rsidR="00B455D8" w:rsidRPr="00E50844" w:rsidRDefault="00B455D8" w:rsidP="003B672F">
      <w:pPr>
        <w:numPr>
          <w:ilvl w:val="1"/>
          <w:numId w:val="16"/>
        </w:numPr>
        <w:spacing w:before="120" w:after="120"/>
        <w:jc w:val="both"/>
        <w:rPr>
          <w:lang w:val="en-US"/>
        </w:rPr>
      </w:pPr>
      <w:r w:rsidRPr="00E50844">
        <w:rPr>
          <w:lang w:val="en-US"/>
        </w:rPr>
        <w:t>Government officials (beneficiaries of technical advisory, training, guidance material and other relevant project activities) of the six target countries not included in the case studies (10-12 to be confirmed)</w:t>
      </w:r>
    </w:p>
    <w:p w14:paraId="106A086A" w14:textId="77777777" w:rsidR="00B455D8" w:rsidRPr="00E50844" w:rsidRDefault="00B455D8" w:rsidP="003B672F">
      <w:pPr>
        <w:numPr>
          <w:ilvl w:val="1"/>
          <w:numId w:val="16"/>
        </w:numPr>
        <w:spacing w:before="120" w:after="120"/>
        <w:jc w:val="both"/>
        <w:rPr>
          <w:lang w:val="en-US"/>
        </w:rPr>
      </w:pPr>
      <w:r w:rsidRPr="00E50844">
        <w:rPr>
          <w:lang w:val="en-US"/>
        </w:rPr>
        <w:t>Representatives of relevant partners, including relevant UNDP and DCO regional teams.</w:t>
      </w:r>
    </w:p>
    <w:p w14:paraId="4ED18B78" w14:textId="77777777" w:rsidR="00B455D8" w:rsidRDefault="00B455D8" w:rsidP="003B672F">
      <w:pPr>
        <w:numPr>
          <w:ilvl w:val="0"/>
          <w:numId w:val="16"/>
        </w:numPr>
        <w:spacing w:before="120" w:after="120"/>
        <w:jc w:val="both"/>
        <w:rPr>
          <w:lang w:val="en-US"/>
        </w:rPr>
      </w:pPr>
      <w:r w:rsidRPr="00E50844">
        <w:rPr>
          <w:b/>
          <w:lang w:val="en-US"/>
        </w:rPr>
        <w:t xml:space="preserve">Five case studies (or in-depth reviews) of target countries </w:t>
      </w:r>
      <w:r w:rsidRPr="00E50844">
        <w:rPr>
          <w:lang w:val="en-US"/>
        </w:rPr>
        <w:t>(five countries – one in each of the five regions), including through field missions to two countries. The methodology will involve:</w:t>
      </w:r>
    </w:p>
    <w:p w14:paraId="57E066F0" w14:textId="77777777" w:rsidR="00B455D8" w:rsidRPr="00E50844" w:rsidRDefault="00B455D8" w:rsidP="003B672F">
      <w:pPr>
        <w:numPr>
          <w:ilvl w:val="1"/>
          <w:numId w:val="16"/>
        </w:numPr>
        <w:spacing w:before="120" w:after="120"/>
        <w:jc w:val="both"/>
        <w:rPr>
          <w:lang w:val="en-US"/>
        </w:rPr>
      </w:pPr>
      <w:r w:rsidRPr="00E50844">
        <w:rPr>
          <w:lang w:val="en-US"/>
        </w:rPr>
        <w:t xml:space="preserve">Desk review of documentation related to technical advisory, training, meetings and other country-level activities, including </w:t>
      </w:r>
      <w:r w:rsidRPr="00E50844">
        <w:rPr>
          <w:lang w:val="en-US"/>
        </w:rPr>
        <w:lastRenderedPageBreak/>
        <w:t>tools/guidance materials/knowledge products developed</w:t>
      </w:r>
    </w:p>
    <w:p w14:paraId="56D9F80D" w14:textId="77777777" w:rsidR="00B455D8" w:rsidRPr="00E50844" w:rsidRDefault="00B455D8" w:rsidP="003B672F">
      <w:pPr>
        <w:numPr>
          <w:ilvl w:val="1"/>
          <w:numId w:val="16"/>
        </w:numPr>
        <w:spacing w:before="120" w:after="120"/>
        <w:jc w:val="both"/>
        <w:rPr>
          <w:lang w:val="en-US"/>
        </w:rPr>
      </w:pPr>
      <w:r w:rsidRPr="00E50844">
        <w:rPr>
          <w:lang w:val="en-US"/>
        </w:rPr>
        <w:t>Interviews (in-person or remote) with country-level stakeholders, including:</w:t>
      </w:r>
    </w:p>
    <w:p w14:paraId="030DF606" w14:textId="77777777" w:rsidR="00B455D8" w:rsidRPr="00E50844" w:rsidRDefault="00B455D8" w:rsidP="003B672F">
      <w:pPr>
        <w:numPr>
          <w:ilvl w:val="2"/>
          <w:numId w:val="16"/>
        </w:numPr>
        <w:spacing w:before="120" w:after="120"/>
        <w:jc w:val="both"/>
        <w:rPr>
          <w:lang w:val="en-US"/>
        </w:rPr>
      </w:pPr>
      <w:r w:rsidRPr="00E50844">
        <w:rPr>
          <w:lang w:val="en-US"/>
        </w:rPr>
        <w:t>National government officials (beneficiaries of technical advisory, training and other relevant project activities)</w:t>
      </w:r>
    </w:p>
    <w:p w14:paraId="49A3FBDA" w14:textId="77777777" w:rsidR="00B455D8" w:rsidRPr="00E50844" w:rsidRDefault="00B455D8" w:rsidP="003B672F">
      <w:pPr>
        <w:numPr>
          <w:ilvl w:val="2"/>
          <w:numId w:val="16"/>
        </w:numPr>
        <w:spacing w:before="120" w:after="120"/>
        <w:jc w:val="both"/>
        <w:rPr>
          <w:lang w:val="en-US"/>
        </w:rPr>
      </w:pPr>
      <w:r w:rsidRPr="00E50844">
        <w:rPr>
          <w:lang w:val="en-US"/>
        </w:rPr>
        <w:t>Country-level and regional partners involved in project activities, including RCOs and UNDP country offices</w:t>
      </w:r>
    </w:p>
    <w:p w14:paraId="3301B277" w14:textId="77777777" w:rsidR="00B455D8" w:rsidRPr="00E50844" w:rsidRDefault="00B455D8" w:rsidP="003B672F">
      <w:pPr>
        <w:numPr>
          <w:ilvl w:val="0"/>
          <w:numId w:val="16"/>
        </w:numPr>
        <w:spacing w:before="120" w:after="120"/>
        <w:jc w:val="both"/>
        <w:rPr>
          <w:lang w:val="en-US"/>
        </w:rPr>
      </w:pPr>
      <w:r w:rsidRPr="00E50844">
        <w:rPr>
          <w:b/>
          <w:lang w:val="en-US"/>
        </w:rPr>
        <w:t>Study on the broader applications of project tools (to be undertaken by the FfD expert)</w:t>
      </w:r>
      <w:r w:rsidRPr="00E50844">
        <w:rPr>
          <w:lang w:val="en-US"/>
        </w:rPr>
        <w:t>, which will look at the actual, and potential applications of the various tools developed under the project in other countries and by project partners and other organizations (in relation to evaluation question 5.c). The study will involve:</w:t>
      </w:r>
    </w:p>
    <w:p w14:paraId="632848A9" w14:textId="42BEFC46" w:rsidR="00B455D8" w:rsidRPr="00E50844" w:rsidRDefault="00B455D8" w:rsidP="003B672F">
      <w:pPr>
        <w:numPr>
          <w:ilvl w:val="1"/>
          <w:numId w:val="16"/>
        </w:numPr>
        <w:spacing w:before="120" w:after="120"/>
        <w:jc w:val="both"/>
        <w:rPr>
          <w:lang w:val="en-US"/>
        </w:rPr>
      </w:pPr>
      <w:r w:rsidRPr="00E50844">
        <w:rPr>
          <w:lang w:val="en-US"/>
        </w:rPr>
        <w:t xml:space="preserve">Initial consultations with the Project Coordinator and select project focal points in the other </w:t>
      </w:r>
      <w:r w:rsidR="00DE21FA">
        <w:rPr>
          <w:lang w:val="en-US"/>
        </w:rPr>
        <w:t>executing entities</w:t>
      </w:r>
    </w:p>
    <w:p w14:paraId="1B785589" w14:textId="77777777" w:rsidR="00B455D8" w:rsidRPr="00E50844" w:rsidRDefault="00B455D8" w:rsidP="003B672F">
      <w:pPr>
        <w:numPr>
          <w:ilvl w:val="1"/>
          <w:numId w:val="16"/>
        </w:numPr>
        <w:spacing w:before="120" w:after="120"/>
        <w:jc w:val="both"/>
        <w:rPr>
          <w:lang w:val="en-US"/>
        </w:rPr>
      </w:pPr>
      <w:r w:rsidRPr="00E50844">
        <w:rPr>
          <w:lang w:val="en-US"/>
        </w:rPr>
        <w:t>Desk review of project documentation and relevant materials under (i)</w:t>
      </w:r>
    </w:p>
    <w:p w14:paraId="72762FF3" w14:textId="77777777" w:rsidR="00B455D8" w:rsidRPr="00E50844" w:rsidRDefault="00B455D8" w:rsidP="003B672F">
      <w:pPr>
        <w:numPr>
          <w:ilvl w:val="1"/>
          <w:numId w:val="16"/>
        </w:numPr>
        <w:spacing w:before="120" w:after="120"/>
        <w:jc w:val="both"/>
        <w:rPr>
          <w:lang w:val="en-US"/>
        </w:rPr>
      </w:pPr>
      <w:r w:rsidRPr="00E50844">
        <w:rPr>
          <w:lang w:val="en-US"/>
        </w:rPr>
        <w:t>Desk review of additional documentation related to:</w:t>
      </w:r>
    </w:p>
    <w:p w14:paraId="3B1A6C8C" w14:textId="77777777" w:rsidR="00B455D8" w:rsidRPr="00E50844" w:rsidRDefault="00B455D8" w:rsidP="003B672F">
      <w:pPr>
        <w:numPr>
          <w:ilvl w:val="2"/>
          <w:numId w:val="16"/>
        </w:numPr>
        <w:spacing w:before="120" w:after="120"/>
        <w:jc w:val="both"/>
        <w:rPr>
          <w:lang w:val="en-US"/>
        </w:rPr>
      </w:pPr>
      <w:r w:rsidRPr="00E50844">
        <w:rPr>
          <w:lang w:val="en-US"/>
        </w:rPr>
        <w:t>Relevant work of project partners outside the DA project</w:t>
      </w:r>
    </w:p>
    <w:p w14:paraId="7FC306A8" w14:textId="77777777" w:rsidR="00B455D8" w:rsidRPr="00E50844" w:rsidRDefault="00B455D8" w:rsidP="003B672F">
      <w:pPr>
        <w:numPr>
          <w:ilvl w:val="2"/>
          <w:numId w:val="16"/>
        </w:numPr>
        <w:spacing w:before="120" w:after="120"/>
        <w:jc w:val="both"/>
        <w:rPr>
          <w:lang w:val="en-US"/>
        </w:rPr>
      </w:pPr>
      <w:r w:rsidRPr="00E50844">
        <w:rPr>
          <w:lang w:val="en-US"/>
        </w:rPr>
        <w:t>Relevant work of other organizations working in the area of INFF, including other members of the Inter-agency Task Force on Financing for Development (IATF), and INFF Facility partners (UNDP, OECD, UNICEF)</w:t>
      </w:r>
    </w:p>
    <w:p w14:paraId="77E34607" w14:textId="77777777" w:rsidR="00B455D8" w:rsidRPr="00E50844" w:rsidRDefault="00B455D8" w:rsidP="003B672F">
      <w:pPr>
        <w:numPr>
          <w:ilvl w:val="2"/>
          <w:numId w:val="16"/>
        </w:numPr>
        <w:spacing w:before="120" w:after="120"/>
        <w:jc w:val="both"/>
        <w:rPr>
          <w:lang w:val="en-US"/>
        </w:rPr>
      </w:pPr>
      <w:r w:rsidRPr="00E50844">
        <w:rPr>
          <w:lang w:val="en-US"/>
        </w:rPr>
        <w:t>Annual reports and other relevant reports of IATF</w:t>
      </w:r>
    </w:p>
    <w:p w14:paraId="65026311" w14:textId="77777777" w:rsidR="00B455D8" w:rsidRPr="00E50844" w:rsidRDefault="00B455D8" w:rsidP="003B672F">
      <w:pPr>
        <w:numPr>
          <w:ilvl w:val="2"/>
          <w:numId w:val="16"/>
        </w:numPr>
        <w:spacing w:before="120" w:after="120"/>
        <w:jc w:val="both"/>
        <w:rPr>
          <w:lang w:val="en-US"/>
        </w:rPr>
      </w:pPr>
      <w:r w:rsidRPr="00E50844">
        <w:rPr>
          <w:lang w:val="en-US"/>
        </w:rPr>
        <w:t>Other relevant documentation</w:t>
      </w:r>
    </w:p>
    <w:p w14:paraId="279F6C01" w14:textId="77777777" w:rsidR="00B455D8" w:rsidRPr="00E50844" w:rsidRDefault="00B455D8" w:rsidP="003B672F">
      <w:pPr>
        <w:numPr>
          <w:ilvl w:val="1"/>
          <w:numId w:val="16"/>
        </w:numPr>
        <w:spacing w:before="120" w:after="120"/>
        <w:jc w:val="both"/>
        <w:rPr>
          <w:lang w:val="en-US"/>
        </w:rPr>
      </w:pPr>
      <w:r w:rsidRPr="00E50844">
        <w:rPr>
          <w:lang w:val="en-US"/>
        </w:rPr>
        <w:t xml:space="preserve">Interviews (remote) with project partners and other organizations engaged in the area of INFF, including other members of IATF and INFF facility, as identified </w:t>
      </w:r>
      <w:r w:rsidRPr="00E50844">
        <w:rPr>
          <w:lang w:val="en-US"/>
        </w:rPr>
        <w:t>through the initial consultations and the desk review</w:t>
      </w:r>
    </w:p>
    <w:p w14:paraId="29FF1A43" w14:textId="77777777" w:rsidR="00B455D8" w:rsidRPr="00E50844" w:rsidRDefault="00B455D8" w:rsidP="003B672F">
      <w:pPr>
        <w:numPr>
          <w:ilvl w:val="1"/>
          <w:numId w:val="16"/>
        </w:numPr>
        <w:spacing w:before="120" w:after="120"/>
        <w:jc w:val="both"/>
        <w:rPr>
          <w:lang w:val="en-US"/>
        </w:rPr>
      </w:pPr>
      <w:r w:rsidRPr="00E50844">
        <w:rPr>
          <w:lang w:val="en-US"/>
        </w:rPr>
        <w:t>Preparation of a report presenting:</w:t>
      </w:r>
    </w:p>
    <w:p w14:paraId="3A9F4326" w14:textId="77777777" w:rsidR="00B455D8" w:rsidRPr="00E50844" w:rsidRDefault="00B455D8" w:rsidP="003B672F">
      <w:pPr>
        <w:numPr>
          <w:ilvl w:val="2"/>
          <w:numId w:val="16"/>
        </w:numPr>
        <w:spacing w:before="120" w:after="120"/>
        <w:jc w:val="both"/>
        <w:rPr>
          <w:lang w:val="en-US"/>
        </w:rPr>
      </w:pPr>
      <w:r w:rsidRPr="00E50844">
        <w:rPr>
          <w:lang w:val="en-US"/>
        </w:rPr>
        <w:t>Findings of the desk review and interviews related to evaluation question 5.c</w:t>
      </w:r>
    </w:p>
    <w:p w14:paraId="0ADFD53C" w14:textId="52A46075" w:rsidR="00B455D8" w:rsidRDefault="00B455D8" w:rsidP="003B672F">
      <w:pPr>
        <w:numPr>
          <w:ilvl w:val="2"/>
          <w:numId w:val="16"/>
        </w:numPr>
        <w:spacing w:before="120" w:after="120"/>
        <w:jc w:val="both"/>
        <w:rPr>
          <w:lang w:val="en-US"/>
        </w:rPr>
      </w:pPr>
      <w:r w:rsidRPr="00E50844">
        <w:rPr>
          <w:lang w:val="en-US"/>
        </w:rPr>
        <w:t xml:space="preserve">Recommendations for DESA/FSDO and other </w:t>
      </w:r>
      <w:r w:rsidR="00DE21FA">
        <w:rPr>
          <w:lang w:val="en-US"/>
        </w:rPr>
        <w:t>executing entities</w:t>
      </w:r>
      <w:r w:rsidRPr="00E50844">
        <w:rPr>
          <w:lang w:val="en-US"/>
        </w:rPr>
        <w:t xml:space="preserve"> on how to further promote the applications of specific project tools</w:t>
      </w:r>
    </w:p>
    <w:p w14:paraId="7C6CF021" w14:textId="4C04E868" w:rsidR="00065792" w:rsidRDefault="00651CC0" w:rsidP="00065792">
      <w:pPr>
        <w:spacing w:before="120" w:after="120"/>
        <w:jc w:val="both"/>
        <w:rPr>
          <w:b/>
          <w:bCs/>
          <w:lang w:val="en-US"/>
        </w:rPr>
      </w:pPr>
      <w:r>
        <w:rPr>
          <w:b/>
          <w:bCs/>
          <w:lang w:val="en-US"/>
        </w:rPr>
        <w:t xml:space="preserve">C3. </w:t>
      </w:r>
      <w:r w:rsidR="00065792">
        <w:rPr>
          <w:b/>
          <w:bCs/>
          <w:lang w:val="en-US"/>
        </w:rPr>
        <w:t xml:space="preserve">Tentative evaluation </w:t>
      </w:r>
      <w:r w:rsidR="00C63B69">
        <w:rPr>
          <w:b/>
          <w:bCs/>
          <w:lang w:val="en-US"/>
        </w:rPr>
        <w:t>questions</w:t>
      </w:r>
    </w:p>
    <w:tbl>
      <w:tblPr>
        <w:tblStyle w:val="BlueTable"/>
        <w:tblW w:w="5204" w:type="dxa"/>
        <w:tblInd w:w="-150" w:type="dxa"/>
        <w:tblLayout w:type="fixed"/>
        <w:tblLook w:val="06A0" w:firstRow="1" w:lastRow="0" w:firstColumn="1" w:lastColumn="0" w:noHBand="1" w:noVBand="1"/>
      </w:tblPr>
      <w:tblGrid>
        <w:gridCol w:w="1702"/>
        <w:gridCol w:w="1842"/>
        <w:gridCol w:w="1660"/>
      </w:tblGrid>
      <w:tr w:rsidR="00433640" w:rsidRPr="00BC0623" w14:paraId="0986648D" w14:textId="77777777" w:rsidTr="00651CC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702" w:type="dxa"/>
          </w:tcPr>
          <w:p w14:paraId="52B7B9AE" w14:textId="77777777" w:rsidR="00674807" w:rsidRPr="00651CC0" w:rsidRDefault="00674807" w:rsidP="00502A39">
            <w:pPr>
              <w:ind w:right="172"/>
              <w:rPr>
                <w:sz w:val="18"/>
                <w:szCs w:val="18"/>
              </w:rPr>
            </w:pPr>
            <w:r w:rsidRPr="00651CC0">
              <w:rPr>
                <w:sz w:val="18"/>
                <w:szCs w:val="18"/>
              </w:rPr>
              <w:t xml:space="preserve">Evaluation question </w:t>
            </w:r>
          </w:p>
        </w:tc>
        <w:tc>
          <w:tcPr>
            <w:tcW w:w="1842" w:type="dxa"/>
          </w:tcPr>
          <w:p w14:paraId="6D5B25F2" w14:textId="77777777" w:rsidR="00674807" w:rsidRPr="00651CC0" w:rsidRDefault="00674807" w:rsidP="001F7466">
            <w:pPr>
              <w:cnfStyle w:val="100000000000" w:firstRow="1" w:lastRow="0" w:firstColumn="0" w:lastColumn="0" w:oddVBand="0" w:evenVBand="0" w:oddHBand="0" w:evenHBand="0" w:firstRowFirstColumn="0" w:firstRowLastColumn="0" w:lastRowFirstColumn="0" w:lastRowLastColumn="0"/>
              <w:rPr>
                <w:sz w:val="18"/>
                <w:szCs w:val="18"/>
              </w:rPr>
            </w:pPr>
            <w:r w:rsidRPr="00651CC0">
              <w:rPr>
                <w:sz w:val="18"/>
                <w:szCs w:val="18"/>
              </w:rPr>
              <w:t>Evaluation sub-question</w:t>
            </w:r>
          </w:p>
        </w:tc>
        <w:tc>
          <w:tcPr>
            <w:tcW w:w="1660" w:type="dxa"/>
          </w:tcPr>
          <w:p w14:paraId="5CCB97AB" w14:textId="457B093D" w:rsidR="00674807" w:rsidRPr="00651CC0" w:rsidRDefault="006E78CF" w:rsidP="001F7466">
            <w:pPr>
              <w:cnfStyle w:val="100000000000" w:firstRow="1" w:lastRow="0" w:firstColumn="0" w:lastColumn="0" w:oddVBand="0" w:evenVBand="0" w:oddHBand="0" w:evenHBand="0" w:firstRowFirstColumn="0" w:firstRowLastColumn="0" w:lastRowFirstColumn="0" w:lastRowLastColumn="0"/>
              <w:rPr>
                <w:sz w:val="18"/>
                <w:szCs w:val="18"/>
              </w:rPr>
            </w:pPr>
            <w:r w:rsidRPr="00651CC0">
              <w:rPr>
                <w:sz w:val="18"/>
                <w:szCs w:val="18"/>
              </w:rPr>
              <w:t>Primary data collection method/ source</w:t>
            </w:r>
          </w:p>
        </w:tc>
      </w:tr>
      <w:tr w:rsidR="002A2ADF" w:rsidRPr="00BC0623" w14:paraId="7F9DA248"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val="restart"/>
          </w:tcPr>
          <w:p w14:paraId="03CC1825" w14:textId="727A7322" w:rsidR="002A2ADF" w:rsidRPr="00651CC0" w:rsidRDefault="002A2ADF" w:rsidP="00502A39">
            <w:pPr>
              <w:pStyle w:val="ListParagraph"/>
              <w:numPr>
                <w:ilvl w:val="6"/>
                <w:numId w:val="2"/>
              </w:numPr>
              <w:ind w:left="168" w:hanging="284"/>
              <w:rPr>
                <w:sz w:val="18"/>
                <w:szCs w:val="18"/>
              </w:rPr>
            </w:pPr>
            <w:r w:rsidRPr="00651CC0">
              <w:rPr>
                <w:sz w:val="18"/>
                <w:szCs w:val="18"/>
                <w:lang w:val="en-US"/>
              </w:rPr>
              <w:t>To what extent were the project’s activities (knowledge products/ tools/ technical assistance, training/ workshops, technical assistance) effective in meeting project outcomes? (Effectiveness)</w:t>
            </w:r>
          </w:p>
        </w:tc>
        <w:tc>
          <w:tcPr>
            <w:tcW w:w="1842" w:type="dxa"/>
          </w:tcPr>
          <w:p w14:paraId="47C6E948" w14:textId="16C2572C" w:rsidR="002A2ADF" w:rsidRPr="00651CC0" w:rsidRDefault="002A2ADF" w:rsidP="003B672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did the project help the targeted countries to mobilize and align financing with national sustainable development priorities?</w:t>
            </w:r>
          </w:p>
        </w:tc>
        <w:tc>
          <w:tcPr>
            <w:tcW w:w="1660" w:type="dxa"/>
          </w:tcPr>
          <w:p w14:paraId="62605A92" w14:textId="569350A6" w:rsidR="002A2ADF" w:rsidRPr="00651CC0" w:rsidRDefault="002A2ADF" w:rsidP="003B672F">
            <w:pPr>
              <w:pStyle w:val="ListParagraph"/>
              <w:numPr>
                <w:ilvl w:val="0"/>
                <w:numId w:val="25"/>
              </w:numPr>
              <w:ind w:left="173" w:hanging="173"/>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Interviews with target countries and project staff (Project Coordinators and project focal points in the </w:t>
            </w:r>
            <w:r w:rsidR="00DE21FA">
              <w:rPr>
                <w:sz w:val="18"/>
                <w:szCs w:val="18"/>
              </w:rPr>
              <w:t>executing entities</w:t>
            </w:r>
          </w:p>
          <w:p w14:paraId="34F03E95" w14:textId="628090F5" w:rsidR="002A2ADF" w:rsidRPr="00651CC0" w:rsidRDefault="002A2ADF" w:rsidP="003B672F">
            <w:pPr>
              <w:pStyle w:val="ListParagraph"/>
              <w:numPr>
                <w:ilvl w:val="0"/>
                <w:numId w:val="25"/>
              </w:numPr>
              <w:ind w:left="173" w:hanging="173"/>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Case studies</w:t>
            </w:r>
          </w:p>
        </w:tc>
      </w:tr>
      <w:tr w:rsidR="002A2ADF" w:rsidRPr="00BC0623" w14:paraId="2AD0AF4F"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493067B1" w14:textId="77777777" w:rsidR="002A2ADF" w:rsidRPr="00651CC0" w:rsidRDefault="002A2ADF" w:rsidP="001F7466">
            <w:pPr>
              <w:rPr>
                <w:sz w:val="18"/>
                <w:szCs w:val="18"/>
              </w:rPr>
            </w:pPr>
          </w:p>
        </w:tc>
        <w:tc>
          <w:tcPr>
            <w:tcW w:w="1842" w:type="dxa"/>
          </w:tcPr>
          <w:p w14:paraId="6106BF60" w14:textId="11F7CAEA" w:rsidR="002A2ADF" w:rsidRPr="00651CC0" w:rsidRDefault="002A2ADF" w:rsidP="003B672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did the project contribute to the strengthened capacity of the target countries in developing financing strategies that align with their national development plans and mitigate the impact of COVID-19?</w:t>
            </w:r>
          </w:p>
        </w:tc>
        <w:tc>
          <w:tcPr>
            <w:tcW w:w="1660" w:type="dxa"/>
          </w:tcPr>
          <w:p w14:paraId="3753863A" w14:textId="7C4AE88D" w:rsidR="002A2ADF" w:rsidRPr="00651CC0" w:rsidRDefault="002A2ADF" w:rsidP="003B672F">
            <w:pPr>
              <w:pStyle w:val="ListParagraph"/>
              <w:numPr>
                <w:ilvl w:val="0"/>
                <w:numId w:val="25"/>
              </w:numPr>
              <w:ind w:left="176" w:hanging="173"/>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Interviews with target countries and project staff (Project Coordinators and project focal points in the </w:t>
            </w:r>
            <w:r w:rsidR="00DE21FA">
              <w:rPr>
                <w:sz w:val="18"/>
                <w:szCs w:val="18"/>
              </w:rPr>
              <w:t>executing entities</w:t>
            </w:r>
          </w:p>
          <w:p w14:paraId="4BB288B3" w14:textId="77777777" w:rsidR="002A2ADF" w:rsidRPr="00651CC0" w:rsidRDefault="002A2ADF" w:rsidP="003B672F">
            <w:pPr>
              <w:pStyle w:val="ListParagraph"/>
              <w:numPr>
                <w:ilvl w:val="0"/>
                <w:numId w:val="25"/>
              </w:numPr>
              <w:ind w:left="176"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Case studies</w:t>
            </w:r>
          </w:p>
          <w:p w14:paraId="5AE8AA0E" w14:textId="32E9BADD" w:rsidR="002A2ADF" w:rsidRPr="00651CC0" w:rsidRDefault="002A2ADF" w:rsidP="003B672F">
            <w:pPr>
              <w:pStyle w:val="ListParagraph"/>
              <w:numPr>
                <w:ilvl w:val="0"/>
                <w:numId w:val="25"/>
              </w:numPr>
              <w:ind w:left="176"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Analysis of workshop/ meeting survey results</w:t>
            </w:r>
          </w:p>
        </w:tc>
      </w:tr>
      <w:tr w:rsidR="002A2ADF" w:rsidRPr="00BC0623" w14:paraId="7E0B225A"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0A6A2551" w14:textId="77777777" w:rsidR="002A2ADF" w:rsidRPr="00651CC0" w:rsidRDefault="002A2ADF" w:rsidP="001F7466">
            <w:pPr>
              <w:rPr>
                <w:sz w:val="18"/>
                <w:szCs w:val="18"/>
              </w:rPr>
            </w:pPr>
          </w:p>
        </w:tc>
        <w:tc>
          <w:tcPr>
            <w:tcW w:w="1842" w:type="dxa"/>
          </w:tcPr>
          <w:p w14:paraId="252647D4" w14:textId="0035E1B9" w:rsidR="002A2ADF" w:rsidRPr="00651CC0" w:rsidRDefault="002A2ADF" w:rsidP="003B672F">
            <w:pPr>
              <w:pStyle w:val="ListParagraph"/>
              <w:numPr>
                <w:ilvl w:val="0"/>
                <w:numId w:val="30"/>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did the project help to inform wider implementation efforts of INFFs in other countries and UN support to this effect?</w:t>
            </w:r>
          </w:p>
        </w:tc>
        <w:tc>
          <w:tcPr>
            <w:tcW w:w="1660" w:type="dxa"/>
          </w:tcPr>
          <w:p w14:paraId="6F54C109" w14:textId="77777777" w:rsidR="002A2ADF" w:rsidRPr="00651CC0" w:rsidRDefault="002A2ADF" w:rsidP="003B672F">
            <w:pPr>
              <w:pStyle w:val="ListParagraph"/>
              <w:numPr>
                <w:ilvl w:val="0"/>
                <w:numId w:val="26"/>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Analysis of relevant workshop/ meeting survey results (involving participants from non-target countries)</w:t>
            </w:r>
          </w:p>
          <w:p w14:paraId="21873E4C" w14:textId="77777777" w:rsidR="002A2ADF" w:rsidRPr="00651CC0" w:rsidRDefault="002A2ADF" w:rsidP="003B672F">
            <w:pPr>
              <w:pStyle w:val="ListParagraph"/>
              <w:numPr>
                <w:ilvl w:val="0"/>
                <w:numId w:val="26"/>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lastRenderedPageBreak/>
              <w:t>Interview with partners</w:t>
            </w:r>
          </w:p>
          <w:p w14:paraId="489E5AB8" w14:textId="75A2E48A" w:rsidR="002A2ADF" w:rsidRPr="00651CC0" w:rsidRDefault="002A2ADF" w:rsidP="003B672F">
            <w:pPr>
              <w:pStyle w:val="ListParagraph"/>
              <w:numPr>
                <w:ilvl w:val="0"/>
                <w:numId w:val="26"/>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Desk review</w:t>
            </w:r>
          </w:p>
        </w:tc>
      </w:tr>
      <w:tr w:rsidR="0081514B" w:rsidRPr="00BC0623" w14:paraId="75AB2B5C" w14:textId="77777777" w:rsidTr="00651CC0">
        <w:tc>
          <w:tcPr>
            <w:cnfStyle w:val="001000000000" w:firstRow="0" w:lastRow="0" w:firstColumn="1" w:lastColumn="0" w:oddVBand="0" w:evenVBand="0" w:oddHBand="0" w:evenHBand="0" w:firstRowFirstColumn="0" w:firstRowLastColumn="0" w:lastRowFirstColumn="0" w:lastRowLastColumn="0"/>
            <w:tcW w:w="1702" w:type="dxa"/>
          </w:tcPr>
          <w:p w14:paraId="484A1140" w14:textId="5A543DBF" w:rsidR="0081514B" w:rsidRPr="00651CC0" w:rsidRDefault="00263B7C" w:rsidP="003B672F">
            <w:pPr>
              <w:pStyle w:val="ListParagraph"/>
              <w:numPr>
                <w:ilvl w:val="0"/>
                <w:numId w:val="37"/>
              </w:numPr>
              <w:ind w:left="166" w:hanging="284"/>
              <w:rPr>
                <w:sz w:val="18"/>
                <w:szCs w:val="18"/>
              </w:rPr>
            </w:pPr>
            <w:r w:rsidRPr="00651CC0">
              <w:rPr>
                <w:sz w:val="18"/>
                <w:szCs w:val="18"/>
                <w:lang w:val="en-US"/>
              </w:rPr>
              <w:lastRenderedPageBreak/>
              <w:t>How efficient were planned activities</w:t>
            </w:r>
            <w:r w:rsidR="00963AA3" w:rsidRPr="00651CC0">
              <w:rPr>
                <w:sz w:val="18"/>
                <w:szCs w:val="18"/>
                <w:lang w:val="en-US"/>
              </w:rPr>
              <w:t xml:space="preserve"> implemented? </w:t>
            </w:r>
            <w:r w:rsidR="00B96D26" w:rsidRPr="00651CC0">
              <w:rPr>
                <w:sz w:val="18"/>
                <w:szCs w:val="18"/>
                <w:lang w:val="en-US"/>
              </w:rPr>
              <w:t>(Efficiency)</w:t>
            </w:r>
          </w:p>
        </w:tc>
        <w:tc>
          <w:tcPr>
            <w:tcW w:w="1842" w:type="dxa"/>
          </w:tcPr>
          <w:p w14:paraId="5C84B04C" w14:textId="6BEDB91E" w:rsidR="0081514B" w:rsidRPr="00651CC0" w:rsidRDefault="0081514B" w:rsidP="003B672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were project activities implemented according to plan? If not, was timely corrective action taken where necessary? Was additional support identified or provided to overcome implementation challenges?</w:t>
            </w:r>
          </w:p>
        </w:tc>
        <w:tc>
          <w:tcPr>
            <w:tcW w:w="1660" w:type="dxa"/>
          </w:tcPr>
          <w:p w14:paraId="158BC975" w14:textId="77777777" w:rsidR="0081514B" w:rsidRPr="00651CC0" w:rsidRDefault="0081514B" w:rsidP="003B672F">
            <w:pPr>
              <w:pStyle w:val="ListParagraph"/>
              <w:numPr>
                <w:ilvl w:val="0"/>
                <w:numId w:val="29"/>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Interviews with project staff</w:t>
            </w:r>
          </w:p>
          <w:p w14:paraId="696C2A99" w14:textId="6C124FC9" w:rsidR="0081514B" w:rsidRPr="00651CC0" w:rsidRDefault="0081514B" w:rsidP="003B672F">
            <w:pPr>
              <w:pStyle w:val="ListParagraph"/>
              <w:numPr>
                <w:ilvl w:val="0"/>
                <w:numId w:val="29"/>
              </w:numPr>
              <w:ind w:left="176" w:hanging="176"/>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Case studies</w:t>
            </w:r>
          </w:p>
        </w:tc>
      </w:tr>
      <w:tr w:rsidR="0081514B" w:rsidRPr="00BC0623" w14:paraId="24189FDC" w14:textId="77777777" w:rsidTr="00651CC0">
        <w:tc>
          <w:tcPr>
            <w:cnfStyle w:val="001000000000" w:firstRow="0" w:lastRow="0" w:firstColumn="1" w:lastColumn="0" w:oddVBand="0" w:evenVBand="0" w:oddHBand="0" w:evenHBand="0" w:firstRowFirstColumn="0" w:firstRowLastColumn="0" w:lastRowFirstColumn="0" w:lastRowLastColumn="0"/>
            <w:tcW w:w="1702" w:type="dxa"/>
          </w:tcPr>
          <w:p w14:paraId="50E56507" w14:textId="77777777" w:rsidR="0081514B" w:rsidRPr="00651CC0" w:rsidRDefault="0081514B" w:rsidP="001F7466">
            <w:pPr>
              <w:rPr>
                <w:sz w:val="18"/>
                <w:szCs w:val="18"/>
              </w:rPr>
            </w:pPr>
          </w:p>
        </w:tc>
        <w:tc>
          <w:tcPr>
            <w:tcW w:w="1842" w:type="dxa"/>
          </w:tcPr>
          <w:p w14:paraId="0B61A71F" w14:textId="47607E9D" w:rsidR="0081514B" w:rsidRPr="00651CC0" w:rsidRDefault="0081514B" w:rsidP="003B672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did the project governance and management structures and processes enable, or hinder, the efficient implementation of the joint project and its results achievement?</w:t>
            </w:r>
          </w:p>
        </w:tc>
        <w:tc>
          <w:tcPr>
            <w:tcW w:w="1660" w:type="dxa"/>
          </w:tcPr>
          <w:p w14:paraId="360D495D" w14:textId="77777777" w:rsidR="0081514B" w:rsidRPr="00651CC0" w:rsidRDefault="0081514B" w:rsidP="003B672F">
            <w:pPr>
              <w:pStyle w:val="ListParagraph"/>
              <w:numPr>
                <w:ilvl w:val="0"/>
                <w:numId w:val="29"/>
              </w:numPr>
              <w:ind w:left="180"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Interviews with project staff</w:t>
            </w:r>
          </w:p>
          <w:p w14:paraId="3C55011E" w14:textId="25DCB41F" w:rsidR="0081514B" w:rsidRPr="00651CC0" w:rsidRDefault="0081514B" w:rsidP="003B672F">
            <w:pPr>
              <w:pStyle w:val="ListParagraph"/>
              <w:numPr>
                <w:ilvl w:val="0"/>
                <w:numId w:val="29"/>
              </w:numPr>
              <w:ind w:left="180" w:right="-7"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Desk review of project </w:t>
            </w:r>
            <w:r w:rsidRPr="00F0783F">
              <w:rPr>
                <w:sz w:val="17"/>
                <w:szCs w:val="17"/>
              </w:rPr>
              <w:t>documentation</w:t>
            </w:r>
          </w:p>
        </w:tc>
      </w:tr>
      <w:tr w:rsidR="0081514B" w:rsidRPr="00BC0623" w14:paraId="23387074" w14:textId="77777777" w:rsidTr="00651CC0">
        <w:tc>
          <w:tcPr>
            <w:cnfStyle w:val="001000000000" w:firstRow="0" w:lastRow="0" w:firstColumn="1" w:lastColumn="0" w:oddVBand="0" w:evenVBand="0" w:oddHBand="0" w:evenHBand="0" w:firstRowFirstColumn="0" w:firstRowLastColumn="0" w:lastRowFirstColumn="0" w:lastRowLastColumn="0"/>
            <w:tcW w:w="1702" w:type="dxa"/>
          </w:tcPr>
          <w:p w14:paraId="2D4E14B5" w14:textId="77777777" w:rsidR="0081514B" w:rsidRPr="00651CC0" w:rsidRDefault="0081514B" w:rsidP="001F7466">
            <w:pPr>
              <w:rPr>
                <w:sz w:val="18"/>
                <w:szCs w:val="18"/>
              </w:rPr>
            </w:pPr>
          </w:p>
        </w:tc>
        <w:tc>
          <w:tcPr>
            <w:tcW w:w="1842" w:type="dxa"/>
          </w:tcPr>
          <w:p w14:paraId="277D1D3A" w14:textId="1FEEEB30" w:rsidR="0081514B" w:rsidRPr="00651CC0" w:rsidRDefault="0081514B" w:rsidP="003B672F">
            <w:pPr>
              <w:pStyle w:val="ListParagraph"/>
              <w:numPr>
                <w:ilvl w:val="0"/>
                <w:numId w:val="28"/>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 xml:space="preserve">How well coordinated were </w:t>
            </w:r>
            <w:r w:rsidR="00DE21FA">
              <w:rPr>
                <w:sz w:val="18"/>
                <w:szCs w:val="18"/>
                <w:lang w:val="en-US"/>
              </w:rPr>
              <w:t>executing entities</w:t>
            </w:r>
            <w:r w:rsidRPr="00651CC0">
              <w:rPr>
                <w:sz w:val="18"/>
                <w:szCs w:val="18"/>
                <w:lang w:val="en-US"/>
              </w:rPr>
              <w:t xml:space="preserve"> in implementing joint activities and/or among the </w:t>
            </w:r>
            <w:r w:rsidR="00DE21FA">
              <w:rPr>
                <w:sz w:val="18"/>
                <w:szCs w:val="18"/>
                <w:lang w:val="en-US"/>
              </w:rPr>
              <w:t>executing entities</w:t>
            </w:r>
            <w:r w:rsidRPr="00651CC0">
              <w:rPr>
                <w:sz w:val="18"/>
                <w:szCs w:val="18"/>
                <w:lang w:val="en-US"/>
              </w:rPr>
              <w:t xml:space="preserve"> at project level?</w:t>
            </w:r>
          </w:p>
        </w:tc>
        <w:tc>
          <w:tcPr>
            <w:tcW w:w="1660" w:type="dxa"/>
          </w:tcPr>
          <w:p w14:paraId="40D86739" w14:textId="77777777" w:rsidR="0081514B" w:rsidRPr="00F0783F" w:rsidRDefault="0081514B" w:rsidP="003B672F">
            <w:pPr>
              <w:pStyle w:val="ListParagraph"/>
              <w:numPr>
                <w:ilvl w:val="0"/>
                <w:numId w:val="38"/>
              </w:numPr>
              <w:ind w:left="180" w:hanging="142"/>
              <w:cnfStyle w:val="000000000000" w:firstRow="0" w:lastRow="0" w:firstColumn="0" w:lastColumn="0" w:oddVBand="0" w:evenVBand="0" w:oddHBand="0" w:evenHBand="0" w:firstRowFirstColumn="0" w:firstRowLastColumn="0" w:lastRowFirstColumn="0" w:lastRowLastColumn="0"/>
              <w:rPr>
                <w:sz w:val="18"/>
                <w:szCs w:val="18"/>
              </w:rPr>
            </w:pPr>
            <w:r w:rsidRPr="00F0783F">
              <w:rPr>
                <w:sz w:val="18"/>
                <w:szCs w:val="18"/>
              </w:rPr>
              <w:t>Interviews with project staff</w:t>
            </w:r>
          </w:p>
          <w:p w14:paraId="29648A5E" w14:textId="77777777" w:rsidR="0081514B" w:rsidRPr="00F0783F" w:rsidRDefault="0081514B" w:rsidP="003B672F">
            <w:pPr>
              <w:pStyle w:val="ListParagraph"/>
              <w:numPr>
                <w:ilvl w:val="0"/>
                <w:numId w:val="38"/>
              </w:numPr>
              <w:ind w:left="180" w:hanging="142"/>
              <w:cnfStyle w:val="000000000000" w:firstRow="0" w:lastRow="0" w:firstColumn="0" w:lastColumn="0" w:oddVBand="0" w:evenVBand="0" w:oddHBand="0" w:evenHBand="0" w:firstRowFirstColumn="0" w:firstRowLastColumn="0" w:lastRowFirstColumn="0" w:lastRowLastColumn="0"/>
              <w:rPr>
                <w:sz w:val="18"/>
                <w:szCs w:val="18"/>
              </w:rPr>
            </w:pPr>
            <w:r w:rsidRPr="00F0783F">
              <w:rPr>
                <w:sz w:val="18"/>
                <w:szCs w:val="18"/>
              </w:rPr>
              <w:t xml:space="preserve">Desk review of project </w:t>
            </w:r>
            <w:r w:rsidRPr="00F0783F">
              <w:rPr>
                <w:sz w:val="17"/>
                <w:szCs w:val="17"/>
              </w:rPr>
              <w:t>documentatio</w:t>
            </w:r>
            <w:r w:rsidRPr="00F0783F">
              <w:rPr>
                <w:sz w:val="18"/>
                <w:szCs w:val="18"/>
              </w:rPr>
              <w:t>n</w:t>
            </w:r>
          </w:p>
          <w:p w14:paraId="05D6F9C3" w14:textId="5ABAEB7B" w:rsidR="0081514B" w:rsidRPr="00F0783F" w:rsidRDefault="0081514B" w:rsidP="003B672F">
            <w:pPr>
              <w:pStyle w:val="ListParagraph"/>
              <w:numPr>
                <w:ilvl w:val="0"/>
                <w:numId w:val="38"/>
              </w:numPr>
              <w:ind w:left="180" w:hanging="142"/>
              <w:cnfStyle w:val="000000000000" w:firstRow="0" w:lastRow="0" w:firstColumn="0" w:lastColumn="0" w:oddVBand="0" w:evenVBand="0" w:oddHBand="0" w:evenHBand="0" w:firstRowFirstColumn="0" w:firstRowLastColumn="0" w:lastRowFirstColumn="0" w:lastRowLastColumn="0"/>
              <w:rPr>
                <w:sz w:val="18"/>
                <w:szCs w:val="18"/>
              </w:rPr>
            </w:pPr>
            <w:r w:rsidRPr="00F0783F">
              <w:rPr>
                <w:sz w:val="18"/>
                <w:szCs w:val="18"/>
              </w:rPr>
              <w:t>Case studies</w:t>
            </w:r>
          </w:p>
        </w:tc>
      </w:tr>
      <w:tr w:rsidR="00A96B5C" w:rsidRPr="00BC0623" w14:paraId="3519E937"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val="restart"/>
          </w:tcPr>
          <w:p w14:paraId="54FA49AA" w14:textId="3F5F5AD2" w:rsidR="00A96B5C" w:rsidRPr="00651CC0" w:rsidRDefault="00A96B5C" w:rsidP="003B672F">
            <w:pPr>
              <w:pStyle w:val="ListParagraph"/>
              <w:numPr>
                <w:ilvl w:val="0"/>
                <w:numId w:val="32"/>
              </w:numPr>
              <w:ind w:left="166" w:hanging="166"/>
              <w:rPr>
                <w:sz w:val="18"/>
                <w:szCs w:val="18"/>
              </w:rPr>
            </w:pPr>
            <w:r w:rsidRPr="00651CC0">
              <w:rPr>
                <w:sz w:val="18"/>
                <w:szCs w:val="18"/>
                <w:lang w:val="en-US"/>
              </w:rPr>
              <w:t xml:space="preserve">How relevant have activities been for targeted countries in meeting project </w:t>
            </w:r>
            <w:r w:rsidRPr="00651CC0">
              <w:rPr>
                <w:sz w:val="18"/>
                <w:szCs w:val="18"/>
                <w:lang w:val="en-US"/>
              </w:rPr>
              <w:t>outcomes? (Relevance)</w:t>
            </w:r>
          </w:p>
        </w:tc>
        <w:tc>
          <w:tcPr>
            <w:tcW w:w="1842" w:type="dxa"/>
          </w:tcPr>
          <w:p w14:paraId="20E8EAF5" w14:textId="0E46B938" w:rsidR="00A96B5C" w:rsidRPr="00651CC0" w:rsidRDefault="002A68FC" w:rsidP="003B672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To what degree have project activities been </w:t>
            </w:r>
            <w:r w:rsidR="0063137B" w:rsidRPr="00651CC0">
              <w:rPr>
                <w:sz w:val="18"/>
                <w:szCs w:val="18"/>
              </w:rPr>
              <w:t>designed in response to the specific capacity needs and challenges of targeted countries?</w:t>
            </w:r>
          </w:p>
        </w:tc>
        <w:tc>
          <w:tcPr>
            <w:tcW w:w="1660" w:type="dxa"/>
            <w:vMerge w:val="restart"/>
          </w:tcPr>
          <w:p w14:paraId="7822E29C" w14:textId="39C6FAC2" w:rsidR="00A96B5C" w:rsidRPr="00651CC0" w:rsidRDefault="00A96B5C" w:rsidP="003B672F">
            <w:pPr>
              <w:pStyle w:val="ListParagraph"/>
              <w:numPr>
                <w:ilvl w:val="0"/>
                <w:numId w:val="31"/>
              </w:numPr>
              <w:ind w:left="182"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Interviews with target countries</w:t>
            </w:r>
            <w:r w:rsidR="00B04610" w:rsidRPr="00651CC0">
              <w:rPr>
                <w:sz w:val="18"/>
                <w:szCs w:val="18"/>
              </w:rPr>
              <w:t xml:space="preserve">, partners and </w:t>
            </w:r>
            <w:r w:rsidRPr="00651CC0">
              <w:rPr>
                <w:sz w:val="18"/>
                <w:szCs w:val="18"/>
              </w:rPr>
              <w:t>project staff</w:t>
            </w:r>
          </w:p>
          <w:p w14:paraId="7C617882" w14:textId="28B1FC39" w:rsidR="00B04610" w:rsidRPr="00651CC0" w:rsidRDefault="00B04610" w:rsidP="003B672F">
            <w:pPr>
              <w:pStyle w:val="ListParagraph"/>
              <w:numPr>
                <w:ilvl w:val="0"/>
                <w:numId w:val="31"/>
              </w:numPr>
              <w:ind w:left="182"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Case studies</w:t>
            </w:r>
          </w:p>
          <w:p w14:paraId="228A7792" w14:textId="11F64D06" w:rsidR="00A96B5C" w:rsidRPr="00651CC0" w:rsidRDefault="00A96B5C" w:rsidP="003B672F">
            <w:pPr>
              <w:pStyle w:val="ListParagraph"/>
              <w:numPr>
                <w:ilvl w:val="0"/>
                <w:numId w:val="31"/>
              </w:numPr>
              <w:ind w:left="182"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Desk review of project documentatio</w:t>
            </w:r>
            <w:r w:rsidR="00B04610" w:rsidRPr="00651CC0">
              <w:rPr>
                <w:sz w:val="18"/>
                <w:szCs w:val="18"/>
              </w:rPr>
              <w:t>n</w:t>
            </w:r>
          </w:p>
        </w:tc>
      </w:tr>
      <w:tr w:rsidR="00A96B5C" w:rsidRPr="00BC0623" w14:paraId="79981798"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3A416581" w14:textId="77777777" w:rsidR="00A96B5C" w:rsidRPr="00651CC0" w:rsidRDefault="00A96B5C" w:rsidP="001F7466">
            <w:pPr>
              <w:rPr>
                <w:sz w:val="18"/>
                <w:szCs w:val="18"/>
              </w:rPr>
            </w:pPr>
          </w:p>
        </w:tc>
        <w:tc>
          <w:tcPr>
            <w:tcW w:w="1842" w:type="dxa"/>
          </w:tcPr>
          <w:p w14:paraId="79DFCADE" w14:textId="798F55D7" w:rsidR="00A96B5C" w:rsidRPr="00651CC0" w:rsidRDefault="00F778D3" w:rsidP="003B672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rPr>
              <w:t xml:space="preserve">What adaptations were made to the project design </w:t>
            </w:r>
            <w:r w:rsidR="00F902DB" w:rsidRPr="00651CC0">
              <w:rPr>
                <w:sz w:val="18"/>
                <w:szCs w:val="18"/>
              </w:rPr>
              <w:t>during implementation based on feedback from targeted countries, and were these justified in the context?</w:t>
            </w:r>
          </w:p>
        </w:tc>
        <w:tc>
          <w:tcPr>
            <w:tcW w:w="1660" w:type="dxa"/>
            <w:vMerge/>
          </w:tcPr>
          <w:p w14:paraId="1976B205" w14:textId="77777777" w:rsidR="00A96B5C" w:rsidRPr="00651CC0" w:rsidRDefault="00A96B5C" w:rsidP="001F7466">
            <w:pPr>
              <w:cnfStyle w:val="000000000000" w:firstRow="0" w:lastRow="0" w:firstColumn="0" w:lastColumn="0" w:oddVBand="0" w:evenVBand="0" w:oddHBand="0" w:evenHBand="0" w:firstRowFirstColumn="0" w:firstRowLastColumn="0" w:lastRowFirstColumn="0" w:lastRowLastColumn="0"/>
              <w:rPr>
                <w:sz w:val="18"/>
                <w:szCs w:val="18"/>
              </w:rPr>
            </w:pPr>
          </w:p>
        </w:tc>
      </w:tr>
      <w:tr w:rsidR="007C43BE" w:rsidRPr="00BC0623" w14:paraId="2253712F"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val="restart"/>
          </w:tcPr>
          <w:p w14:paraId="673FCCE2" w14:textId="2EDBCA3A" w:rsidR="007C43BE" w:rsidRPr="00651CC0" w:rsidRDefault="007C43BE" w:rsidP="003B672F">
            <w:pPr>
              <w:pStyle w:val="ListParagraph"/>
              <w:numPr>
                <w:ilvl w:val="0"/>
                <w:numId w:val="33"/>
              </w:numPr>
              <w:ind w:left="166" w:hanging="166"/>
              <w:rPr>
                <w:sz w:val="18"/>
                <w:szCs w:val="18"/>
              </w:rPr>
            </w:pPr>
            <w:r w:rsidRPr="00651CC0">
              <w:rPr>
                <w:sz w:val="18"/>
                <w:szCs w:val="18"/>
                <w:lang w:val="en-US"/>
              </w:rPr>
              <w:t>To what extent are project results likely to be sustained beyond the end of the project? (Sustainability)</w:t>
            </w:r>
          </w:p>
        </w:tc>
        <w:tc>
          <w:tcPr>
            <w:tcW w:w="1842" w:type="dxa"/>
          </w:tcPr>
          <w:p w14:paraId="15A3E0E8" w14:textId="60E0EE11" w:rsidR="007C43BE" w:rsidRPr="00651CC0" w:rsidRDefault="00F902DB" w:rsidP="003B672F">
            <w:pPr>
              <w:pStyle w:val="ListParagraph"/>
              <w:numPr>
                <w:ilvl w:val="0"/>
                <w:numId w:val="35"/>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 xml:space="preserve">What measures were adopted to ensure that outcomes of the project </w:t>
            </w:r>
            <w:proofErr w:type="gramStart"/>
            <w:r w:rsidRPr="00651CC0">
              <w:rPr>
                <w:sz w:val="18"/>
                <w:szCs w:val="18"/>
                <w:lang w:val="en-US"/>
              </w:rPr>
              <w:t>would</w:t>
            </w:r>
            <w:proofErr w:type="gramEnd"/>
            <w:r w:rsidRPr="00651CC0">
              <w:rPr>
                <w:sz w:val="18"/>
                <w:szCs w:val="18"/>
                <w:lang w:val="en-US"/>
              </w:rPr>
              <w:t xml:space="preserve"> continue after the project ended?</w:t>
            </w:r>
          </w:p>
        </w:tc>
        <w:tc>
          <w:tcPr>
            <w:tcW w:w="1660" w:type="dxa"/>
            <w:vMerge w:val="restart"/>
          </w:tcPr>
          <w:p w14:paraId="6EA8D621" w14:textId="77777777" w:rsidR="007C43BE" w:rsidRPr="00647DB6" w:rsidRDefault="007C43BE" w:rsidP="003B672F">
            <w:pPr>
              <w:pStyle w:val="ListParagraph"/>
              <w:numPr>
                <w:ilvl w:val="0"/>
                <w:numId w:val="39"/>
              </w:numPr>
              <w:ind w:left="180" w:hanging="180"/>
              <w:cnfStyle w:val="000000000000" w:firstRow="0" w:lastRow="0" w:firstColumn="0" w:lastColumn="0" w:oddVBand="0" w:evenVBand="0" w:oddHBand="0" w:evenHBand="0" w:firstRowFirstColumn="0" w:firstRowLastColumn="0" w:lastRowFirstColumn="0" w:lastRowLastColumn="0"/>
              <w:rPr>
                <w:sz w:val="18"/>
                <w:szCs w:val="18"/>
              </w:rPr>
            </w:pPr>
            <w:r w:rsidRPr="00647DB6">
              <w:rPr>
                <w:sz w:val="18"/>
                <w:szCs w:val="18"/>
              </w:rPr>
              <w:t>Interviews with target countries, partners and project staff</w:t>
            </w:r>
          </w:p>
          <w:p w14:paraId="4AF7DFD9" w14:textId="4C6E179B" w:rsidR="007C43BE" w:rsidRPr="00647DB6" w:rsidRDefault="007C43BE" w:rsidP="003B672F">
            <w:pPr>
              <w:pStyle w:val="ListParagraph"/>
              <w:numPr>
                <w:ilvl w:val="0"/>
                <w:numId w:val="39"/>
              </w:numPr>
              <w:ind w:left="180" w:hanging="180"/>
              <w:cnfStyle w:val="000000000000" w:firstRow="0" w:lastRow="0" w:firstColumn="0" w:lastColumn="0" w:oddVBand="0" w:evenVBand="0" w:oddHBand="0" w:evenHBand="0" w:firstRowFirstColumn="0" w:firstRowLastColumn="0" w:lastRowFirstColumn="0" w:lastRowLastColumn="0"/>
              <w:rPr>
                <w:sz w:val="18"/>
                <w:szCs w:val="18"/>
              </w:rPr>
            </w:pPr>
            <w:r w:rsidRPr="00647DB6">
              <w:rPr>
                <w:sz w:val="18"/>
                <w:szCs w:val="18"/>
              </w:rPr>
              <w:t>Case studies</w:t>
            </w:r>
          </w:p>
        </w:tc>
      </w:tr>
      <w:tr w:rsidR="007C43BE" w:rsidRPr="00BC0623" w14:paraId="7B4257C3"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61431201" w14:textId="77777777" w:rsidR="007C43BE" w:rsidRPr="00651CC0" w:rsidRDefault="007C43BE" w:rsidP="001F7466">
            <w:pPr>
              <w:rPr>
                <w:sz w:val="18"/>
                <w:szCs w:val="18"/>
              </w:rPr>
            </w:pPr>
          </w:p>
        </w:tc>
        <w:tc>
          <w:tcPr>
            <w:tcW w:w="1842" w:type="dxa"/>
          </w:tcPr>
          <w:p w14:paraId="65168CE6" w14:textId="3EEF76CC" w:rsidR="007C43BE" w:rsidRPr="00651CC0" w:rsidRDefault="000A67A1" w:rsidP="003B672F">
            <w:pPr>
              <w:pStyle w:val="ListParagraph"/>
              <w:numPr>
                <w:ilvl w:val="0"/>
                <w:numId w:val="36"/>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Which tools developed under the project have been, or have the potential to be, institutionalized by the target countries?</w:t>
            </w:r>
          </w:p>
        </w:tc>
        <w:tc>
          <w:tcPr>
            <w:tcW w:w="1660" w:type="dxa"/>
            <w:vMerge/>
          </w:tcPr>
          <w:p w14:paraId="2D2839E9" w14:textId="77777777" w:rsidR="007C43BE" w:rsidRPr="00651CC0" w:rsidRDefault="007C43BE" w:rsidP="001F7466">
            <w:pPr>
              <w:cnfStyle w:val="000000000000" w:firstRow="0" w:lastRow="0" w:firstColumn="0" w:lastColumn="0" w:oddVBand="0" w:evenVBand="0" w:oddHBand="0" w:evenHBand="0" w:firstRowFirstColumn="0" w:firstRowLastColumn="0" w:lastRowFirstColumn="0" w:lastRowLastColumn="0"/>
              <w:rPr>
                <w:sz w:val="18"/>
                <w:szCs w:val="18"/>
              </w:rPr>
            </w:pPr>
          </w:p>
        </w:tc>
      </w:tr>
      <w:tr w:rsidR="000A54DE" w:rsidRPr="00BC0623" w14:paraId="3C58FE7A" w14:textId="77777777" w:rsidTr="00651CC0">
        <w:tc>
          <w:tcPr>
            <w:cnfStyle w:val="001000000000" w:firstRow="0" w:lastRow="0" w:firstColumn="1" w:lastColumn="0" w:oddVBand="0" w:evenVBand="0" w:oddHBand="0" w:evenHBand="0" w:firstRowFirstColumn="0" w:firstRowLastColumn="0" w:lastRowFirstColumn="0" w:lastRowLastColumn="0"/>
            <w:tcW w:w="1702" w:type="dxa"/>
            <w:vMerge/>
          </w:tcPr>
          <w:p w14:paraId="1E2B940E" w14:textId="77777777" w:rsidR="000A54DE" w:rsidRPr="00651CC0" w:rsidRDefault="000A54DE" w:rsidP="001F7466">
            <w:pPr>
              <w:rPr>
                <w:sz w:val="18"/>
                <w:szCs w:val="18"/>
              </w:rPr>
            </w:pPr>
          </w:p>
        </w:tc>
        <w:tc>
          <w:tcPr>
            <w:tcW w:w="1842" w:type="dxa"/>
          </w:tcPr>
          <w:p w14:paraId="08DB9DE7" w14:textId="292A803E" w:rsidR="000A54DE" w:rsidRPr="00651CC0" w:rsidRDefault="003F479A" w:rsidP="003B672F">
            <w:pPr>
              <w:pStyle w:val="ListParagraph"/>
              <w:numPr>
                <w:ilvl w:val="0"/>
                <w:numId w:val="34"/>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Which tools developed under the project have been, or have the potential to be, adopted by other countries, project partners or other organizations?</w:t>
            </w:r>
          </w:p>
        </w:tc>
        <w:tc>
          <w:tcPr>
            <w:tcW w:w="1660" w:type="dxa"/>
          </w:tcPr>
          <w:p w14:paraId="6C455EF6" w14:textId="4DDD2CFE" w:rsidR="000A54DE" w:rsidRPr="002F1CE8" w:rsidRDefault="00752B2A" w:rsidP="003B672F">
            <w:pPr>
              <w:pStyle w:val="ListParagraph"/>
              <w:numPr>
                <w:ilvl w:val="0"/>
                <w:numId w:val="40"/>
              </w:numPr>
              <w:ind w:left="180" w:hanging="180"/>
              <w:cnfStyle w:val="000000000000" w:firstRow="0" w:lastRow="0" w:firstColumn="0" w:lastColumn="0" w:oddVBand="0" w:evenVBand="0" w:oddHBand="0" w:evenHBand="0" w:firstRowFirstColumn="0" w:firstRowLastColumn="0" w:lastRowFirstColumn="0" w:lastRowLastColumn="0"/>
              <w:rPr>
                <w:sz w:val="18"/>
                <w:szCs w:val="18"/>
              </w:rPr>
            </w:pPr>
            <w:r w:rsidRPr="002F1CE8">
              <w:rPr>
                <w:sz w:val="18"/>
                <w:szCs w:val="18"/>
              </w:rPr>
              <w:t>Study on the broader</w:t>
            </w:r>
            <w:r w:rsidR="00C06F02" w:rsidRPr="002F1CE8">
              <w:rPr>
                <w:sz w:val="18"/>
                <w:szCs w:val="18"/>
              </w:rPr>
              <w:t xml:space="preserve"> applications of project tools (to be conducted by the FfD expert)</w:t>
            </w:r>
          </w:p>
        </w:tc>
      </w:tr>
      <w:tr w:rsidR="00CB25AD" w:rsidRPr="00BC0623" w14:paraId="0040FFF5" w14:textId="77777777" w:rsidTr="00651CC0">
        <w:tc>
          <w:tcPr>
            <w:cnfStyle w:val="001000000000" w:firstRow="0" w:lastRow="0" w:firstColumn="1" w:lastColumn="0" w:oddVBand="0" w:evenVBand="0" w:oddHBand="0" w:evenHBand="0" w:firstRowFirstColumn="0" w:firstRowLastColumn="0" w:lastRowFirstColumn="0" w:lastRowLastColumn="0"/>
            <w:tcW w:w="1702" w:type="dxa"/>
          </w:tcPr>
          <w:p w14:paraId="53445A2E" w14:textId="68289445" w:rsidR="00CB25AD" w:rsidRPr="00651CC0" w:rsidRDefault="0044652F" w:rsidP="003B672F">
            <w:pPr>
              <w:pStyle w:val="ListParagraph"/>
              <w:numPr>
                <w:ilvl w:val="0"/>
                <w:numId w:val="33"/>
              </w:numPr>
              <w:tabs>
                <w:tab w:val="left" w:pos="308"/>
              </w:tabs>
              <w:ind w:left="166" w:hanging="142"/>
              <w:rPr>
                <w:sz w:val="18"/>
                <w:szCs w:val="18"/>
              </w:rPr>
            </w:pPr>
            <w:r w:rsidRPr="00651CC0">
              <w:rPr>
                <w:sz w:val="18"/>
                <w:szCs w:val="18"/>
                <w:lang w:val="en-US"/>
              </w:rPr>
              <w:t>Human rights, disability, and gender perspectives (Cross- cutting issues)</w:t>
            </w:r>
          </w:p>
        </w:tc>
        <w:tc>
          <w:tcPr>
            <w:tcW w:w="1842" w:type="dxa"/>
          </w:tcPr>
          <w:p w14:paraId="004468C3" w14:textId="6321F815" w:rsidR="00CB25AD" w:rsidRPr="00651CC0" w:rsidRDefault="00670E5B" w:rsidP="003B672F">
            <w:pPr>
              <w:pStyle w:val="ListParagraph"/>
              <w:numPr>
                <w:ilvl w:val="0"/>
                <w:numId w:val="27"/>
              </w:numPr>
              <w:cnfStyle w:val="000000000000" w:firstRow="0" w:lastRow="0" w:firstColumn="0" w:lastColumn="0" w:oddVBand="0" w:evenVBand="0" w:oddHBand="0" w:evenHBand="0" w:firstRowFirstColumn="0" w:firstRowLastColumn="0" w:lastRowFirstColumn="0" w:lastRowLastColumn="0"/>
              <w:rPr>
                <w:sz w:val="18"/>
                <w:szCs w:val="18"/>
              </w:rPr>
            </w:pPr>
            <w:r w:rsidRPr="00651CC0">
              <w:rPr>
                <w:sz w:val="18"/>
                <w:szCs w:val="18"/>
                <w:lang w:val="en-US"/>
              </w:rPr>
              <w:t>To what extent were gender equality, human rights and disability inclusion integrated into the design and implementation of the project?</w:t>
            </w:r>
          </w:p>
        </w:tc>
        <w:tc>
          <w:tcPr>
            <w:tcW w:w="1660" w:type="dxa"/>
          </w:tcPr>
          <w:p w14:paraId="33887847" w14:textId="77777777" w:rsidR="002F1CE8" w:rsidRDefault="00BF013E" w:rsidP="003B672F">
            <w:pPr>
              <w:pStyle w:val="ListParagraph"/>
              <w:numPr>
                <w:ilvl w:val="0"/>
                <w:numId w:val="40"/>
              </w:numPr>
              <w:ind w:left="181" w:hanging="180"/>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2F1CE8">
              <w:rPr>
                <w:sz w:val="18"/>
                <w:szCs w:val="18"/>
              </w:rPr>
              <w:t>Desk review of project documentation (including those related to workshop</w:t>
            </w:r>
            <w:r w:rsidR="00E0217D" w:rsidRPr="002F1CE8">
              <w:rPr>
                <w:sz w:val="18"/>
                <w:szCs w:val="18"/>
              </w:rPr>
              <w:t xml:space="preserve">/ training/ meetings, </w:t>
            </w:r>
            <w:r w:rsidR="005230D8" w:rsidRPr="002F1CE8">
              <w:rPr>
                <w:sz w:val="18"/>
                <w:szCs w:val="18"/>
              </w:rPr>
              <w:t xml:space="preserve">technical assistance, </w:t>
            </w:r>
            <w:r w:rsidR="005230D8" w:rsidRPr="002F1CE8">
              <w:rPr>
                <w:sz w:val="18"/>
                <w:szCs w:val="18"/>
              </w:rPr>
              <w:lastRenderedPageBreak/>
              <w:t>guidance documents/ tools/ other knowledge products)</w:t>
            </w:r>
            <w:r w:rsidR="002F1CE8" w:rsidRPr="002F1CE8">
              <w:rPr>
                <w:sz w:val="18"/>
                <w:szCs w:val="18"/>
              </w:rPr>
              <w:t xml:space="preserve"> </w:t>
            </w:r>
          </w:p>
          <w:p w14:paraId="36B96FAA" w14:textId="03CEE734" w:rsidR="005230D8" w:rsidRPr="002F1CE8" w:rsidRDefault="005230D8" w:rsidP="003B672F">
            <w:pPr>
              <w:pStyle w:val="ListParagraph"/>
              <w:numPr>
                <w:ilvl w:val="0"/>
                <w:numId w:val="40"/>
              </w:numPr>
              <w:ind w:left="181" w:hanging="142"/>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2F1CE8">
              <w:rPr>
                <w:sz w:val="18"/>
                <w:szCs w:val="18"/>
              </w:rPr>
              <w:t>Interviews with</w:t>
            </w:r>
            <w:r w:rsidR="00680350" w:rsidRPr="002F1CE8">
              <w:rPr>
                <w:sz w:val="18"/>
                <w:szCs w:val="18"/>
              </w:rPr>
              <w:t xml:space="preserve"> targets countries, partners and project staff</w:t>
            </w:r>
          </w:p>
          <w:p w14:paraId="5B73B058" w14:textId="28B10949" w:rsidR="00680350" w:rsidRPr="002F1CE8" w:rsidRDefault="00680350" w:rsidP="003B672F">
            <w:pPr>
              <w:pStyle w:val="ListParagraph"/>
              <w:numPr>
                <w:ilvl w:val="0"/>
                <w:numId w:val="40"/>
              </w:numPr>
              <w:ind w:left="181" w:hanging="180"/>
              <w:contextualSpacing w:val="0"/>
              <w:cnfStyle w:val="000000000000" w:firstRow="0" w:lastRow="0" w:firstColumn="0" w:lastColumn="0" w:oddVBand="0" w:evenVBand="0" w:oddHBand="0" w:evenHBand="0" w:firstRowFirstColumn="0" w:firstRowLastColumn="0" w:lastRowFirstColumn="0" w:lastRowLastColumn="0"/>
              <w:rPr>
                <w:sz w:val="18"/>
                <w:szCs w:val="18"/>
              </w:rPr>
            </w:pPr>
            <w:r w:rsidRPr="002F1CE8">
              <w:rPr>
                <w:sz w:val="18"/>
                <w:szCs w:val="18"/>
              </w:rPr>
              <w:t>Case studies</w:t>
            </w:r>
          </w:p>
        </w:tc>
      </w:tr>
    </w:tbl>
    <w:p w14:paraId="686F05B5" w14:textId="77777777" w:rsidR="00B455D8" w:rsidRPr="00E50844" w:rsidRDefault="00B455D8" w:rsidP="000A6880">
      <w:pPr>
        <w:spacing w:before="240" w:after="120"/>
        <w:jc w:val="both"/>
        <w:rPr>
          <w:lang w:val="en-US"/>
        </w:rPr>
      </w:pPr>
      <w:r w:rsidRPr="00E50844">
        <w:rPr>
          <w:lang w:val="en-US"/>
        </w:rPr>
        <w:lastRenderedPageBreak/>
        <w:t>The evaluation consultant will refine and finalize the evaluation methodology in the Inception Report, based on the preliminary document review and consultations with the key stakeholders, based on the verified availability of the project-related documentation and data. This will include, among others, conducting a thorough stakeholder analysis, confirming the exact focus and approach for the exercise, refining the evaluation questions and identifying the sources and methods for data collection (in the format of an evaluation matrix), developing the sampling strategy for the case studies, and developing tailor-made questions that target different stakeholders (based on a stakeholder analysis). The evaluation consultant is to ensure a wide representation of stakeholders.</w:t>
      </w:r>
    </w:p>
    <w:p w14:paraId="063AE75F" w14:textId="77777777" w:rsidR="00B455D8" w:rsidRPr="00E50844" w:rsidRDefault="00B455D8" w:rsidP="002C135A">
      <w:pPr>
        <w:spacing w:before="120" w:after="120"/>
        <w:jc w:val="both"/>
        <w:rPr>
          <w:lang w:val="en-US"/>
        </w:rPr>
      </w:pPr>
      <w:r w:rsidRPr="00E50844">
        <w:rPr>
          <w:noProof/>
          <w:lang w:val="en-US"/>
        </w:rPr>
        <mc:AlternateContent>
          <mc:Choice Requires="wps">
            <w:drawing>
              <wp:anchor distT="0" distB="0" distL="0" distR="0" simplePos="0" relativeHeight="251660288" behindDoc="0" locked="0" layoutInCell="1" allowOverlap="1" wp14:anchorId="3B19A212" wp14:editId="616B55AB">
                <wp:simplePos x="0" y="0"/>
                <wp:positionH relativeFrom="page">
                  <wp:posOffset>914400</wp:posOffset>
                </wp:positionH>
                <wp:positionV relativeFrom="paragraph">
                  <wp:posOffset>658495</wp:posOffset>
                </wp:positionV>
                <wp:extent cx="2006600" cy="9525"/>
                <wp:effectExtent l="0" t="0" r="0" b="0"/>
                <wp:wrapNone/>
                <wp:docPr id="765264624"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6600" cy="9525"/>
                        </a:xfrm>
                        <a:custGeom>
                          <a:avLst/>
                          <a:gdLst/>
                          <a:ahLst/>
                          <a:cxnLst/>
                          <a:rect l="l" t="t" r="r" b="b"/>
                          <a:pathLst>
                            <a:path w="2006600" h="9525">
                              <a:moveTo>
                                <a:pt x="2006473" y="0"/>
                              </a:moveTo>
                              <a:lnTo>
                                <a:pt x="0" y="0"/>
                              </a:lnTo>
                              <a:lnTo>
                                <a:pt x="0" y="9144"/>
                              </a:lnTo>
                              <a:lnTo>
                                <a:pt x="2006473" y="9144"/>
                              </a:lnTo>
                              <a:lnTo>
                                <a:pt x="2006473" y="0"/>
                              </a:lnTo>
                              <a:close/>
                            </a:path>
                          </a:pathLst>
                        </a:custGeom>
                        <a:solidFill>
                          <a:srgbClr val="0000FF"/>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12B16AA" id="Freeform: Shape 4" o:spid="_x0000_s1026" style="position:absolute;margin-left:1in;margin-top:51.85pt;width:158pt;height:.7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066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" path="m2006473,l,,,9144r2006473,l2006473,xe" fillcolor="blue" stroked="f">
                <v:path arrowok="t"/>
                <w10:wrap anchorx="page"/>
              </v:shape>
            </w:pict>
          </mc:Fallback>
        </mc:AlternateContent>
      </w:r>
      <w:r w:rsidRPr="00E50844">
        <w:rPr>
          <w:lang w:val="en-US"/>
        </w:rPr>
        <w:t xml:space="preserve">The evaluation will be conducted in line with the UN DESA capacity development Evaluation Guidelines, the </w:t>
      </w:r>
      <w:hyperlink r:id="rId86" w:history="1">
        <w:r w:rsidRPr="00E50844">
          <w:rPr>
            <w:rStyle w:val="Hyperlink"/>
            <w:lang w:val="en-US"/>
          </w:rPr>
          <w:t>DA Project Evaluation Guidelines,</w:t>
        </w:r>
      </w:hyperlink>
      <w:r w:rsidRPr="00E50844">
        <w:rPr>
          <w:lang w:val="en-US"/>
        </w:rPr>
        <w:t xml:space="preserve"> the </w:t>
      </w:r>
      <w:hyperlink r:id="rId87" w:history="1">
        <w:r w:rsidRPr="00E50844">
          <w:rPr>
            <w:rStyle w:val="Hyperlink"/>
            <w:lang w:val="en-US"/>
          </w:rPr>
          <w:t>DA guidance note on planning and conducting terminal</w:t>
        </w:r>
      </w:hyperlink>
      <w:r w:rsidRPr="00E50844">
        <w:rPr>
          <w:lang w:val="en-US"/>
        </w:rPr>
        <w:t xml:space="preserve"> </w:t>
      </w:r>
      <w:hyperlink r:id="rId88" w:history="1">
        <w:r w:rsidRPr="00E50844">
          <w:rPr>
            <w:rStyle w:val="Hyperlink"/>
            <w:lang w:val="en-US"/>
          </w:rPr>
          <w:t>evaluations of 13</w:t>
        </w:r>
        <w:r w:rsidRPr="00E50844">
          <w:rPr>
            <w:rStyle w:val="Hyperlink"/>
            <w:vertAlign w:val="superscript"/>
            <w:lang w:val="en-US"/>
          </w:rPr>
          <w:t>th</w:t>
        </w:r>
        <w:r w:rsidRPr="00E50844">
          <w:rPr>
            <w:rStyle w:val="Hyperlink"/>
            <w:lang w:val="en-US"/>
          </w:rPr>
          <w:t xml:space="preserve"> tranche projects,</w:t>
        </w:r>
      </w:hyperlink>
      <w:r w:rsidRPr="00E50844">
        <w:rPr>
          <w:lang w:val="en-US"/>
        </w:rPr>
        <w:t xml:space="preserve"> and the </w:t>
      </w:r>
      <w:hyperlink r:id="rId89" w:history="1">
        <w:r w:rsidRPr="00E50844">
          <w:rPr>
            <w:rStyle w:val="Hyperlink"/>
            <w:lang w:val="en-US"/>
          </w:rPr>
          <w:t>DA guidance note on evaluation of joint projects,</w:t>
        </w:r>
      </w:hyperlink>
      <w:r w:rsidRPr="00E50844">
        <w:rPr>
          <w:lang w:val="en-US"/>
        </w:rPr>
        <w:t xml:space="preserve"> and will strive to employ development best practices regarding promoting gender equality and a human rights- based approach, including the rights of persons with disabilities. The evaluation consultant will explicitly explain how human rights, gender, and disability inclusion will be considered during the evaluation.</w:t>
      </w:r>
    </w:p>
    <w:p w14:paraId="1CCAC93B" w14:textId="472D66CD" w:rsidR="00B455D8" w:rsidRPr="00E50844" w:rsidRDefault="0046602E" w:rsidP="00B83F21">
      <w:pPr>
        <w:spacing w:before="120" w:after="120"/>
        <w:jc w:val="both"/>
        <w:rPr>
          <w:b/>
          <w:bCs/>
          <w:lang w:val="en-US"/>
        </w:rPr>
      </w:pPr>
      <w:r>
        <w:rPr>
          <w:b/>
          <w:bCs/>
          <w:u w:val="single"/>
          <w:lang w:val="en-US"/>
        </w:rPr>
        <w:t>C</w:t>
      </w:r>
      <w:r w:rsidR="00155B48">
        <w:rPr>
          <w:b/>
          <w:bCs/>
          <w:u w:val="single"/>
          <w:lang w:val="en-US"/>
        </w:rPr>
        <w:t xml:space="preserve">.4 </w:t>
      </w:r>
      <w:r w:rsidR="00B455D8" w:rsidRPr="00E50844">
        <w:rPr>
          <w:b/>
          <w:bCs/>
          <w:u w:val="single"/>
          <w:lang w:val="en-US"/>
        </w:rPr>
        <w:t>Tasks</w:t>
      </w:r>
    </w:p>
    <w:p w14:paraId="2A96AC3C" w14:textId="77777777" w:rsidR="00B455D8" w:rsidRPr="00E50844" w:rsidRDefault="00B455D8" w:rsidP="002C135A">
      <w:pPr>
        <w:spacing w:before="120" w:after="120"/>
        <w:jc w:val="both"/>
        <w:rPr>
          <w:lang w:val="en-US"/>
        </w:rPr>
      </w:pPr>
      <w:r w:rsidRPr="00E50844">
        <w:rPr>
          <w:lang w:val="en-US"/>
        </w:rPr>
        <w:t>The primary tasks of the evaluation consultant are the following:</w:t>
      </w:r>
    </w:p>
    <w:p w14:paraId="715A3E6E" w14:textId="77777777" w:rsidR="00B455D8" w:rsidRDefault="00B455D8" w:rsidP="003B672F">
      <w:pPr>
        <w:numPr>
          <w:ilvl w:val="0"/>
          <w:numId w:val="17"/>
        </w:numPr>
        <w:spacing w:before="120" w:after="120"/>
        <w:jc w:val="both"/>
        <w:rPr>
          <w:lang w:val="en-US"/>
        </w:rPr>
      </w:pPr>
      <w:r w:rsidRPr="00E50844">
        <w:rPr>
          <w:lang w:val="en-US"/>
        </w:rPr>
        <w:t>Desk review of key reference documents related to the project.</w:t>
      </w:r>
    </w:p>
    <w:p w14:paraId="2E19EA7D" w14:textId="77777777" w:rsidR="00B455D8" w:rsidRPr="00E50844" w:rsidRDefault="00B455D8" w:rsidP="003B672F">
      <w:pPr>
        <w:numPr>
          <w:ilvl w:val="0"/>
          <w:numId w:val="17"/>
        </w:numPr>
        <w:spacing w:before="120" w:after="120"/>
        <w:jc w:val="both"/>
        <w:rPr>
          <w:lang w:val="en-US"/>
        </w:rPr>
      </w:pPr>
      <w:r w:rsidRPr="00E50844">
        <w:rPr>
          <w:lang w:val="en-US"/>
        </w:rPr>
        <w:t>Consultation with the FfD expert to discuss the approach to and the timeline for the study on the broader applications of project tools, to be conducted by the expert, and agree on how it will be incorporated into the evaluation.</w:t>
      </w:r>
    </w:p>
    <w:p w14:paraId="33457FDF" w14:textId="77777777" w:rsidR="00B455D8" w:rsidRPr="00E50844" w:rsidRDefault="00B455D8" w:rsidP="003B672F">
      <w:pPr>
        <w:numPr>
          <w:ilvl w:val="0"/>
          <w:numId w:val="17"/>
        </w:numPr>
        <w:spacing w:before="120" w:after="120"/>
        <w:jc w:val="both"/>
        <w:rPr>
          <w:lang w:val="en-US"/>
        </w:rPr>
      </w:pPr>
      <w:r w:rsidRPr="00E50844">
        <w:rPr>
          <w:lang w:val="en-US"/>
        </w:rPr>
        <w:t>Development of full methodology, which may include but not limited to:</w:t>
      </w:r>
    </w:p>
    <w:p w14:paraId="0C476C46" w14:textId="77777777" w:rsidR="00B455D8" w:rsidRPr="00E50844" w:rsidRDefault="00B455D8" w:rsidP="003B672F">
      <w:pPr>
        <w:numPr>
          <w:ilvl w:val="1"/>
          <w:numId w:val="17"/>
        </w:numPr>
        <w:spacing w:before="120" w:after="120"/>
        <w:jc w:val="both"/>
        <w:rPr>
          <w:lang w:val="en-US"/>
        </w:rPr>
      </w:pPr>
      <w:r w:rsidRPr="00E50844">
        <w:rPr>
          <w:lang w:val="en-US"/>
        </w:rPr>
        <w:t>Developing or refining key evaluation questions.</w:t>
      </w:r>
    </w:p>
    <w:p w14:paraId="2B11803D" w14:textId="77777777" w:rsidR="00B455D8" w:rsidRPr="00E50844" w:rsidRDefault="00B455D8" w:rsidP="003B672F">
      <w:pPr>
        <w:numPr>
          <w:ilvl w:val="1"/>
          <w:numId w:val="17"/>
        </w:numPr>
        <w:spacing w:before="120" w:after="120"/>
        <w:jc w:val="both"/>
        <w:rPr>
          <w:lang w:val="en-US"/>
        </w:rPr>
      </w:pPr>
      <w:r w:rsidRPr="00E50844">
        <w:rPr>
          <w:lang w:val="en-US"/>
        </w:rPr>
        <w:t>Identification of indicators and measurement.</w:t>
      </w:r>
    </w:p>
    <w:p w14:paraId="59717096" w14:textId="77777777" w:rsidR="00B455D8" w:rsidRPr="00E50844" w:rsidRDefault="00B455D8" w:rsidP="003B672F">
      <w:pPr>
        <w:numPr>
          <w:ilvl w:val="1"/>
          <w:numId w:val="17"/>
        </w:numPr>
        <w:spacing w:before="120" w:after="120"/>
        <w:jc w:val="both"/>
        <w:rPr>
          <w:lang w:val="en-US"/>
        </w:rPr>
      </w:pPr>
      <w:r w:rsidRPr="00E50844">
        <w:rPr>
          <w:lang w:val="en-US"/>
        </w:rPr>
        <w:t>Identification of data sources and methods of data collection.</w:t>
      </w:r>
    </w:p>
    <w:p w14:paraId="6FF90ED2" w14:textId="77777777" w:rsidR="00B455D8" w:rsidRPr="00E50844" w:rsidRDefault="00B455D8" w:rsidP="003B672F">
      <w:pPr>
        <w:numPr>
          <w:ilvl w:val="1"/>
          <w:numId w:val="17"/>
        </w:numPr>
        <w:spacing w:before="120" w:after="120"/>
        <w:jc w:val="both"/>
        <w:rPr>
          <w:lang w:val="en-US"/>
        </w:rPr>
      </w:pPr>
      <w:r w:rsidRPr="00E50844">
        <w:rPr>
          <w:lang w:val="en-US"/>
        </w:rPr>
        <w:t>Development of data collection instruments (e.g., interview schedule for key informants, survey questionnaire, focus group discussions, etc.).</w:t>
      </w:r>
    </w:p>
    <w:p w14:paraId="40BA7072" w14:textId="77777777" w:rsidR="00B455D8" w:rsidRPr="00E50844" w:rsidRDefault="00B455D8" w:rsidP="003B672F">
      <w:pPr>
        <w:numPr>
          <w:ilvl w:val="0"/>
          <w:numId w:val="17"/>
        </w:numPr>
        <w:spacing w:before="120" w:after="120"/>
        <w:jc w:val="both"/>
        <w:rPr>
          <w:lang w:val="en-US"/>
        </w:rPr>
      </w:pPr>
      <w:r w:rsidRPr="00E50844">
        <w:rPr>
          <w:lang w:val="en-US"/>
        </w:rPr>
        <w:t>Preparation of Inception Report, outlining full methodology.</w:t>
      </w:r>
    </w:p>
    <w:p w14:paraId="4B789D74" w14:textId="77777777" w:rsidR="00B455D8" w:rsidRPr="00E50844" w:rsidRDefault="00B455D8" w:rsidP="003B672F">
      <w:pPr>
        <w:numPr>
          <w:ilvl w:val="0"/>
          <w:numId w:val="17"/>
        </w:numPr>
        <w:spacing w:before="120" w:after="120"/>
        <w:jc w:val="both"/>
        <w:rPr>
          <w:lang w:val="en-US"/>
        </w:rPr>
      </w:pPr>
      <w:r w:rsidRPr="00E50844">
        <w:rPr>
          <w:lang w:val="en-US"/>
        </w:rPr>
        <w:t>Engagement with project staff, beneficiaries, and any relevant stakeholders.</w:t>
      </w:r>
    </w:p>
    <w:p w14:paraId="6D3D5563" w14:textId="77777777" w:rsidR="00B455D8" w:rsidRPr="00E50844" w:rsidRDefault="00B455D8" w:rsidP="003B672F">
      <w:pPr>
        <w:numPr>
          <w:ilvl w:val="0"/>
          <w:numId w:val="17"/>
        </w:numPr>
        <w:spacing w:before="120" w:after="120"/>
        <w:jc w:val="both"/>
        <w:rPr>
          <w:lang w:val="en-US"/>
        </w:rPr>
      </w:pPr>
      <w:r w:rsidRPr="00E50844">
        <w:rPr>
          <w:lang w:val="en-US"/>
        </w:rPr>
        <w:t>Development of preliminary results and recommendations; and presenting them to the Project Coordinator and the project focal points at a post-data collection debrief.</w:t>
      </w:r>
    </w:p>
    <w:p w14:paraId="6501A688" w14:textId="77777777" w:rsidR="00B455D8" w:rsidRPr="00E50844" w:rsidRDefault="00B455D8" w:rsidP="003B672F">
      <w:pPr>
        <w:numPr>
          <w:ilvl w:val="0"/>
          <w:numId w:val="17"/>
        </w:numPr>
        <w:spacing w:before="120" w:after="120"/>
        <w:jc w:val="both"/>
        <w:rPr>
          <w:lang w:val="en-US"/>
        </w:rPr>
      </w:pPr>
      <w:r w:rsidRPr="00E50844">
        <w:rPr>
          <w:lang w:val="en-US"/>
        </w:rPr>
        <w:t>Drafting and finalization of Evaluation Report, incorporating comments received.</w:t>
      </w:r>
    </w:p>
    <w:p w14:paraId="0B5E9B15" w14:textId="77777777" w:rsidR="00B455D8" w:rsidRPr="00E50844" w:rsidRDefault="00B455D8" w:rsidP="003B672F">
      <w:pPr>
        <w:numPr>
          <w:ilvl w:val="0"/>
          <w:numId w:val="17"/>
        </w:numPr>
        <w:spacing w:before="120" w:after="120"/>
        <w:jc w:val="both"/>
        <w:rPr>
          <w:lang w:val="en-US"/>
        </w:rPr>
      </w:pPr>
      <w:r w:rsidRPr="00E50844">
        <w:rPr>
          <w:lang w:val="en-US"/>
        </w:rPr>
        <w:t>Preparation of an Evaluation Brief (summary of key evaluation findings and recommendations).</w:t>
      </w:r>
    </w:p>
    <w:p w14:paraId="477028C7" w14:textId="312014A7" w:rsidR="00B455D8" w:rsidRDefault="00B455D8" w:rsidP="002C135A">
      <w:pPr>
        <w:spacing w:before="120" w:after="120"/>
        <w:jc w:val="both"/>
        <w:rPr>
          <w:lang w:val="en-US"/>
        </w:rPr>
      </w:pPr>
      <w:r w:rsidRPr="00E50844">
        <w:rPr>
          <w:lang w:val="en-US"/>
        </w:rPr>
        <w:t xml:space="preserve">The FfD expert will undertake the study on the broader applications of project tools, as described in sub- section B.2. This will involve a consultation with the evaluation consultant to discuss the approach to and the timeline for the study, and agree on how it will be incorporated into the evaluation. If requested by DESA/FSDO, the expert will also present the findings and recommendations of the study to the Project Coordinators and the project focal points in the other </w:t>
      </w:r>
      <w:r w:rsidR="00DE21FA">
        <w:rPr>
          <w:lang w:val="en-US"/>
        </w:rPr>
        <w:t>executing entities</w:t>
      </w:r>
      <w:r w:rsidRPr="00E50844">
        <w:rPr>
          <w:lang w:val="en-US"/>
        </w:rPr>
        <w:t>.</w:t>
      </w:r>
    </w:p>
    <w:p w14:paraId="1AC7D156" w14:textId="7EB69180" w:rsidR="00155B48" w:rsidRDefault="00155B48">
      <w:pPr>
        <w:rPr>
          <w:lang w:val="en-US"/>
        </w:rPr>
      </w:pPr>
      <w:r>
        <w:rPr>
          <w:lang w:val="en-US"/>
        </w:rPr>
        <w:br w:type="page"/>
      </w:r>
    </w:p>
    <w:p w14:paraId="34D94451" w14:textId="485E2A32" w:rsidR="00B455D8" w:rsidRPr="00E50844" w:rsidRDefault="00155B48" w:rsidP="00155B48">
      <w:pPr>
        <w:spacing w:before="120" w:after="120"/>
        <w:jc w:val="both"/>
        <w:rPr>
          <w:b/>
          <w:bCs/>
          <w:lang w:val="en-US"/>
        </w:rPr>
      </w:pPr>
      <w:r>
        <w:rPr>
          <w:b/>
          <w:bCs/>
          <w:lang w:val="en-US"/>
        </w:rPr>
        <w:lastRenderedPageBreak/>
        <w:t xml:space="preserve">D. </w:t>
      </w:r>
      <w:r w:rsidR="00B455D8" w:rsidRPr="00E50844">
        <w:rPr>
          <w:b/>
          <w:bCs/>
          <w:lang w:val="en-US"/>
        </w:rPr>
        <w:t>Human rights, disability and gender perspectives</w:t>
      </w:r>
    </w:p>
    <w:p w14:paraId="0E1EB218" w14:textId="77777777" w:rsidR="00B455D8" w:rsidRPr="00E50844" w:rsidRDefault="00B455D8" w:rsidP="002C135A">
      <w:pPr>
        <w:spacing w:before="120" w:after="120"/>
        <w:jc w:val="both"/>
        <w:rPr>
          <w:lang w:val="en-US"/>
        </w:rPr>
      </w:pPr>
      <w:r w:rsidRPr="00E50844">
        <w:rPr>
          <w:lang w:val="en-US"/>
        </w:rPr>
        <w:t>The consultant should explore human rights, disability and gender in the design, data collection and analysis and present relevant data wherever available and meaningful. The evaluation will also review these issues through a specific evaluation question on “To what extent were gender equality, human rights and disability inclusion integrated into the design and implementation of the project?” This approach may be further developed and refined by the evaluation consultant in the Inception Report.</w:t>
      </w:r>
    </w:p>
    <w:p w14:paraId="4AA2EDF4" w14:textId="6B423C31" w:rsidR="00B455D8" w:rsidRPr="00E50844" w:rsidRDefault="0096641A" w:rsidP="00B83F21">
      <w:pPr>
        <w:spacing w:before="120" w:after="120"/>
        <w:jc w:val="both"/>
        <w:rPr>
          <w:b/>
          <w:bCs/>
          <w:lang w:val="en-US"/>
        </w:rPr>
      </w:pPr>
      <w:r>
        <w:rPr>
          <w:b/>
          <w:bCs/>
          <w:lang w:val="en-US"/>
        </w:rPr>
        <w:t xml:space="preserve">E. </w:t>
      </w:r>
      <w:r w:rsidR="00B455D8" w:rsidRPr="00E50844">
        <w:rPr>
          <w:b/>
          <w:bCs/>
          <w:lang w:val="en-US"/>
        </w:rPr>
        <w:t>Expected outputs and delivery dates</w:t>
      </w:r>
    </w:p>
    <w:p w14:paraId="678F7C0F" w14:textId="56807247" w:rsidR="00B455D8" w:rsidRPr="00E50844" w:rsidRDefault="0096641A" w:rsidP="00B83F21">
      <w:pPr>
        <w:spacing w:before="120" w:after="120"/>
        <w:jc w:val="both"/>
        <w:rPr>
          <w:b/>
          <w:bCs/>
          <w:lang w:val="en-US"/>
        </w:rPr>
      </w:pPr>
      <w:r>
        <w:rPr>
          <w:b/>
          <w:bCs/>
          <w:u w:val="single"/>
          <w:lang w:val="en-US"/>
        </w:rPr>
        <w:t xml:space="preserve">E1. </w:t>
      </w:r>
      <w:r w:rsidR="00B455D8">
        <w:rPr>
          <w:b/>
          <w:bCs/>
          <w:u w:val="single"/>
          <w:lang w:val="en-US"/>
        </w:rPr>
        <w:t>Evaluation consultant</w:t>
      </w:r>
    </w:p>
    <w:p w14:paraId="0697442A" w14:textId="77777777" w:rsidR="00B455D8" w:rsidRDefault="00B455D8" w:rsidP="002C135A">
      <w:pPr>
        <w:spacing w:before="120" w:after="120"/>
        <w:jc w:val="both"/>
        <w:rPr>
          <w:lang w:val="en-US"/>
        </w:rPr>
      </w:pPr>
      <w:r w:rsidRPr="00E50844">
        <w:rPr>
          <w:lang w:val="en-US"/>
        </w:rPr>
        <w:t>The consultant will be responsible for, but not limited to, producing the following outputs in a timely manner.</w:t>
      </w:r>
    </w:p>
    <w:tbl>
      <w:tblPr>
        <w:tblW w:w="4663"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61"/>
        <w:gridCol w:w="3402"/>
      </w:tblGrid>
      <w:tr w:rsidR="006F58EB" w:rsidRPr="00E50844" w14:paraId="520BC6D7" w14:textId="77777777" w:rsidTr="00662021">
        <w:trPr>
          <w:trHeight w:val="268"/>
        </w:trPr>
        <w:tc>
          <w:tcPr>
            <w:tcW w:w="1261" w:type="dxa"/>
            <w:tcBorders>
              <w:top w:val="single" w:sz="4" w:space="0" w:color="000000"/>
              <w:left w:val="single" w:sz="4" w:space="0" w:color="000000"/>
              <w:bottom w:val="single" w:sz="4" w:space="0" w:color="000000"/>
              <w:right w:val="single" w:sz="4" w:space="0" w:color="000000"/>
            </w:tcBorders>
            <w:hideMark/>
          </w:tcPr>
          <w:p w14:paraId="07496521" w14:textId="77777777" w:rsidR="006F58EB" w:rsidRPr="00E50844" w:rsidRDefault="006F58EB" w:rsidP="001F7466">
            <w:pPr>
              <w:spacing w:before="120" w:after="120"/>
              <w:ind w:left="125"/>
              <w:jc w:val="both"/>
              <w:rPr>
                <w:b/>
                <w:lang w:val="en-US"/>
              </w:rPr>
            </w:pPr>
            <w:r w:rsidRPr="00E50844">
              <w:rPr>
                <w:b/>
                <w:lang w:val="en-US"/>
              </w:rPr>
              <w:t>By end of</w:t>
            </w:r>
          </w:p>
        </w:tc>
        <w:tc>
          <w:tcPr>
            <w:tcW w:w="3402" w:type="dxa"/>
            <w:tcBorders>
              <w:top w:val="single" w:sz="4" w:space="0" w:color="000000"/>
              <w:left w:val="single" w:sz="4" w:space="0" w:color="000000"/>
              <w:bottom w:val="single" w:sz="4" w:space="0" w:color="000000"/>
              <w:right w:val="single" w:sz="4" w:space="0" w:color="000000"/>
            </w:tcBorders>
            <w:hideMark/>
          </w:tcPr>
          <w:p w14:paraId="25B95558" w14:textId="77777777" w:rsidR="006F58EB" w:rsidRPr="00E50844" w:rsidRDefault="006F58EB" w:rsidP="001F7466">
            <w:pPr>
              <w:spacing w:before="120" w:after="120"/>
              <w:jc w:val="both"/>
              <w:rPr>
                <w:b/>
                <w:lang w:val="en-US"/>
              </w:rPr>
            </w:pPr>
            <w:r w:rsidRPr="00E50844">
              <w:rPr>
                <w:b/>
                <w:lang w:val="en-US"/>
              </w:rPr>
              <w:t>Output</w:t>
            </w:r>
          </w:p>
        </w:tc>
      </w:tr>
      <w:tr w:rsidR="006F58EB" w:rsidRPr="00E50844" w14:paraId="4D612851" w14:textId="77777777" w:rsidTr="00662021">
        <w:trPr>
          <w:trHeight w:val="268"/>
        </w:trPr>
        <w:tc>
          <w:tcPr>
            <w:tcW w:w="1261" w:type="dxa"/>
            <w:tcBorders>
              <w:top w:val="single" w:sz="4" w:space="0" w:color="000000"/>
              <w:left w:val="single" w:sz="4" w:space="0" w:color="000000"/>
              <w:bottom w:val="single" w:sz="4" w:space="0" w:color="000000"/>
              <w:right w:val="single" w:sz="4" w:space="0" w:color="000000"/>
            </w:tcBorders>
            <w:hideMark/>
          </w:tcPr>
          <w:p w14:paraId="28D816F3" w14:textId="77122EA2" w:rsidR="006F58EB" w:rsidRPr="00E50844" w:rsidRDefault="006F58EB" w:rsidP="001F7466">
            <w:pPr>
              <w:spacing w:before="120" w:after="120"/>
              <w:ind w:left="125"/>
              <w:jc w:val="both"/>
              <w:rPr>
                <w:lang w:val="en-US"/>
              </w:rPr>
            </w:pPr>
            <w:r w:rsidRPr="00E50844">
              <w:rPr>
                <w:lang w:val="en-US"/>
              </w:rPr>
              <w:t>Month</w:t>
            </w:r>
            <w:r>
              <w:rPr>
                <w:lang w:val="en-US"/>
              </w:rPr>
              <w:t xml:space="preserve"> 1-</w:t>
            </w:r>
            <w:r w:rsidRPr="00E50844">
              <w:rPr>
                <w:lang w:val="en-US"/>
              </w:rPr>
              <w:t>2</w:t>
            </w:r>
            <w:r>
              <w:rPr>
                <w:lang w:val="en-US"/>
              </w:rPr>
              <w:t xml:space="preserve"> </w:t>
            </w:r>
          </w:p>
        </w:tc>
        <w:tc>
          <w:tcPr>
            <w:tcW w:w="3402" w:type="dxa"/>
            <w:tcBorders>
              <w:top w:val="single" w:sz="4" w:space="0" w:color="000000"/>
              <w:left w:val="single" w:sz="4" w:space="0" w:color="000000"/>
              <w:bottom w:val="single" w:sz="4" w:space="0" w:color="000000"/>
              <w:right w:val="single" w:sz="4" w:space="0" w:color="000000"/>
            </w:tcBorders>
            <w:hideMark/>
          </w:tcPr>
          <w:p w14:paraId="04F530E3" w14:textId="7D366C68" w:rsidR="006F58EB" w:rsidRPr="00E50844" w:rsidRDefault="00254ADE" w:rsidP="001F7466">
            <w:pPr>
              <w:spacing w:before="120" w:after="120"/>
              <w:ind w:left="137" w:right="529"/>
              <w:jc w:val="both"/>
              <w:rPr>
                <w:lang w:val="en-US"/>
              </w:rPr>
            </w:pPr>
            <w:r>
              <w:rPr>
                <w:lang w:val="en-US"/>
              </w:rPr>
              <w:t>Inception Report, including an evaluation matrix</w:t>
            </w:r>
          </w:p>
        </w:tc>
      </w:tr>
      <w:tr w:rsidR="006F58EB" w:rsidRPr="00E50844" w14:paraId="0867DC53" w14:textId="77777777" w:rsidTr="00662021">
        <w:trPr>
          <w:trHeight w:val="330"/>
        </w:trPr>
        <w:tc>
          <w:tcPr>
            <w:tcW w:w="1261" w:type="dxa"/>
            <w:tcBorders>
              <w:top w:val="single" w:sz="4" w:space="0" w:color="000000"/>
              <w:left w:val="single" w:sz="4" w:space="0" w:color="000000"/>
              <w:bottom w:val="single" w:sz="4" w:space="0" w:color="000000"/>
              <w:right w:val="single" w:sz="4" w:space="0" w:color="000000"/>
            </w:tcBorders>
            <w:hideMark/>
          </w:tcPr>
          <w:p w14:paraId="23547994" w14:textId="2230DAF8" w:rsidR="006F58EB" w:rsidRPr="00E50844" w:rsidRDefault="006F58EB" w:rsidP="001F7466">
            <w:pPr>
              <w:spacing w:before="120" w:after="120"/>
              <w:ind w:left="125"/>
              <w:jc w:val="both"/>
              <w:rPr>
                <w:lang w:val="en-US"/>
              </w:rPr>
            </w:pPr>
            <w:r w:rsidRPr="00E50844">
              <w:rPr>
                <w:lang w:val="en-US"/>
              </w:rPr>
              <w:t xml:space="preserve">Month </w:t>
            </w:r>
            <w:r>
              <w:rPr>
                <w:lang w:val="en-US"/>
              </w:rPr>
              <w:t>3-5</w:t>
            </w:r>
          </w:p>
        </w:tc>
        <w:tc>
          <w:tcPr>
            <w:tcW w:w="3402" w:type="dxa"/>
            <w:tcBorders>
              <w:top w:val="single" w:sz="4" w:space="0" w:color="000000"/>
              <w:left w:val="single" w:sz="4" w:space="0" w:color="000000"/>
              <w:bottom w:val="single" w:sz="4" w:space="0" w:color="000000"/>
              <w:right w:val="single" w:sz="4" w:space="0" w:color="000000"/>
            </w:tcBorders>
            <w:hideMark/>
          </w:tcPr>
          <w:p w14:paraId="7AC8E78C" w14:textId="329DFC2B" w:rsidR="006F58EB" w:rsidRPr="00E50844" w:rsidRDefault="006F58EB" w:rsidP="001F7466">
            <w:pPr>
              <w:spacing w:before="120" w:after="120"/>
              <w:ind w:left="137"/>
              <w:jc w:val="both"/>
              <w:rPr>
                <w:lang w:val="en-US"/>
              </w:rPr>
            </w:pPr>
            <w:r w:rsidRPr="00E50844">
              <w:rPr>
                <w:lang w:val="en-US"/>
              </w:rPr>
              <w:t>D</w:t>
            </w:r>
            <w:r w:rsidR="00254ADE">
              <w:rPr>
                <w:lang w:val="en-US"/>
              </w:rPr>
              <w:t xml:space="preserve">ata collection </w:t>
            </w:r>
          </w:p>
        </w:tc>
      </w:tr>
      <w:tr w:rsidR="006F58EB" w:rsidRPr="00E50844" w14:paraId="4CA6E971" w14:textId="77777777" w:rsidTr="00662021">
        <w:trPr>
          <w:trHeight w:val="537"/>
        </w:trPr>
        <w:tc>
          <w:tcPr>
            <w:tcW w:w="1261" w:type="dxa"/>
            <w:tcBorders>
              <w:top w:val="single" w:sz="4" w:space="0" w:color="000000"/>
              <w:left w:val="single" w:sz="4" w:space="0" w:color="000000"/>
              <w:bottom w:val="single" w:sz="4" w:space="0" w:color="000000"/>
              <w:right w:val="single" w:sz="4" w:space="0" w:color="000000"/>
            </w:tcBorders>
            <w:hideMark/>
          </w:tcPr>
          <w:p w14:paraId="137C1660" w14:textId="416C1F95" w:rsidR="006F58EB" w:rsidRPr="00E50844" w:rsidRDefault="006F58EB" w:rsidP="001F7466">
            <w:pPr>
              <w:spacing w:before="120" w:after="120"/>
              <w:ind w:left="125"/>
              <w:jc w:val="both"/>
              <w:rPr>
                <w:lang w:val="en-US"/>
              </w:rPr>
            </w:pPr>
            <w:r w:rsidRPr="00E50844">
              <w:rPr>
                <w:lang w:val="en-US"/>
              </w:rPr>
              <w:t>Month 6</w:t>
            </w:r>
          </w:p>
        </w:tc>
        <w:tc>
          <w:tcPr>
            <w:tcW w:w="3402" w:type="dxa"/>
            <w:tcBorders>
              <w:top w:val="single" w:sz="4" w:space="0" w:color="000000"/>
              <w:left w:val="single" w:sz="4" w:space="0" w:color="000000"/>
              <w:bottom w:val="single" w:sz="4" w:space="0" w:color="000000"/>
              <w:right w:val="single" w:sz="4" w:space="0" w:color="000000"/>
            </w:tcBorders>
            <w:hideMark/>
          </w:tcPr>
          <w:p w14:paraId="1A731986" w14:textId="495B9BCF" w:rsidR="006F58EB" w:rsidRPr="00E50844" w:rsidRDefault="00C6552A" w:rsidP="001F7466">
            <w:pPr>
              <w:spacing w:before="120" w:after="120"/>
              <w:ind w:left="137" w:right="529"/>
              <w:jc w:val="both"/>
              <w:rPr>
                <w:lang w:val="en-US"/>
              </w:rPr>
            </w:pPr>
            <w:r>
              <w:rPr>
                <w:lang w:val="en-US"/>
              </w:rPr>
              <w:t>Analysis, development of preliminary findings and a post- data collection de</w:t>
            </w:r>
            <w:r w:rsidR="00343451">
              <w:rPr>
                <w:lang w:val="en-US"/>
              </w:rPr>
              <w:t>-</w:t>
            </w:r>
            <w:r>
              <w:rPr>
                <w:lang w:val="en-US"/>
              </w:rPr>
              <w:t>brief</w:t>
            </w:r>
          </w:p>
        </w:tc>
      </w:tr>
      <w:tr w:rsidR="00343451" w:rsidRPr="00E50844" w14:paraId="5DB8246F" w14:textId="77777777" w:rsidTr="00662021">
        <w:trPr>
          <w:trHeight w:val="537"/>
        </w:trPr>
        <w:tc>
          <w:tcPr>
            <w:tcW w:w="1261" w:type="dxa"/>
            <w:tcBorders>
              <w:top w:val="single" w:sz="4" w:space="0" w:color="000000"/>
              <w:left w:val="single" w:sz="4" w:space="0" w:color="000000"/>
              <w:bottom w:val="single" w:sz="4" w:space="0" w:color="000000"/>
              <w:right w:val="single" w:sz="4" w:space="0" w:color="000000"/>
            </w:tcBorders>
          </w:tcPr>
          <w:p w14:paraId="4C6B7797" w14:textId="08D5FEC7" w:rsidR="00343451" w:rsidRPr="00E50844" w:rsidRDefault="00343451" w:rsidP="001F7466">
            <w:pPr>
              <w:spacing w:before="120" w:after="120"/>
              <w:ind w:left="125"/>
              <w:jc w:val="both"/>
              <w:rPr>
                <w:lang w:val="en-US"/>
              </w:rPr>
            </w:pPr>
            <w:r>
              <w:rPr>
                <w:lang w:val="en-US"/>
              </w:rPr>
              <w:t>Month 7</w:t>
            </w:r>
          </w:p>
        </w:tc>
        <w:tc>
          <w:tcPr>
            <w:tcW w:w="3402" w:type="dxa"/>
            <w:tcBorders>
              <w:top w:val="single" w:sz="4" w:space="0" w:color="000000"/>
              <w:left w:val="single" w:sz="4" w:space="0" w:color="000000"/>
              <w:bottom w:val="single" w:sz="4" w:space="0" w:color="000000"/>
              <w:right w:val="single" w:sz="4" w:space="0" w:color="000000"/>
            </w:tcBorders>
          </w:tcPr>
          <w:p w14:paraId="51D7C547" w14:textId="7EBE5596" w:rsidR="00343451" w:rsidRDefault="00CD4287" w:rsidP="001F7466">
            <w:pPr>
              <w:spacing w:before="120" w:after="120"/>
              <w:ind w:left="137" w:right="529"/>
              <w:jc w:val="both"/>
              <w:rPr>
                <w:lang w:val="en-US"/>
              </w:rPr>
            </w:pPr>
            <w:r>
              <w:rPr>
                <w:lang w:val="en-US"/>
              </w:rPr>
              <w:t>Draft evaluation report</w:t>
            </w:r>
          </w:p>
        </w:tc>
      </w:tr>
      <w:tr w:rsidR="00343451" w:rsidRPr="00E50844" w14:paraId="2BDA86C2" w14:textId="77777777" w:rsidTr="00662021">
        <w:trPr>
          <w:trHeight w:val="537"/>
        </w:trPr>
        <w:tc>
          <w:tcPr>
            <w:tcW w:w="1261" w:type="dxa"/>
            <w:tcBorders>
              <w:top w:val="single" w:sz="4" w:space="0" w:color="000000"/>
              <w:left w:val="single" w:sz="4" w:space="0" w:color="000000"/>
              <w:bottom w:val="single" w:sz="4" w:space="0" w:color="000000"/>
              <w:right w:val="single" w:sz="4" w:space="0" w:color="000000"/>
            </w:tcBorders>
          </w:tcPr>
          <w:p w14:paraId="5D793FC5" w14:textId="0991D57E" w:rsidR="00343451" w:rsidRPr="00E50844" w:rsidRDefault="00343451" w:rsidP="001F7466">
            <w:pPr>
              <w:spacing w:before="120" w:after="120"/>
              <w:ind w:left="125"/>
              <w:jc w:val="both"/>
              <w:rPr>
                <w:lang w:val="en-US"/>
              </w:rPr>
            </w:pPr>
            <w:r>
              <w:rPr>
                <w:lang w:val="en-US"/>
              </w:rPr>
              <w:t>Month 8-9</w:t>
            </w:r>
          </w:p>
        </w:tc>
        <w:tc>
          <w:tcPr>
            <w:tcW w:w="3402" w:type="dxa"/>
            <w:tcBorders>
              <w:top w:val="single" w:sz="4" w:space="0" w:color="000000"/>
              <w:left w:val="single" w:sz="4" w:space="0" w:color="000000"/>
              <w:bottom w:val="single" w:sz="4" w:space="0" w:color="000000"/>
              <w:right w:val="single" w:sz="4" w:space="0" w:color="000000"/>
            </w:tcBorders>
          </w:tcPr>
          <w:p w14:paraId="0F903F56" w14:textId="63773CE5" w:rsidR="00343451" w:rsidRDefault="00CD4287" w:rsidP="001F7466">
            <w:pPr>
              <w:spacing w:before="120" w:after="120"/>
              <w:ind w:left="137" w:right="529"/>
              <w:jc w:val="both"/>
              <w:rPr>
                <w:lang w:val="en-US"/>
              </w:rPr>
            </w:pPr>
            <w:r>
              <w:rPr>
                <w:lang w:val="en-US"/>
              </w:rPr>
              <w:t>Review (2 weeks) and revision based on comments (2 weeks)</w:t>
            </w:r>
          </w:p>
        </w:tc>
      </w:tr>
      <w:tr w:rsidR="00343451" w:rsidRPr="00E50844" w14:paraId="7EDC87D4" w14:textId="77777777" w:rsidTr="00662021">
        <w:trPr>
          <w:trHeight w:val="537"/>
        </w:trPr>
        <w:tc>
          <w:tcPr>
            <w:tcW w:w="1261" w:type="dxa"/>
            <w:tcBorders>
              <w:top w:val="single" w:sz="4" w:space="0" w:color="000000"/>
              <w:left w:val="single" w:sz="4" w:space="0" w:color="000000"/>
              <w:bottom w:val="single" w:sz="4" w:space="0" w:color="000000"/>
              <w:right w:val="single" w:sz="4" w:space="0" w:color="000000"/>
            </w:tcBorders>
          </w:tcPr>
          <w:p w14:paraId="110FDF8E" w14:textId="0A8DBADD" w:rsidR="00343451" w:rsidRPr="00E50844" w:rsidRDefault="00CD4287" w:rsidP="001F7466">
            <w:pPr>
              <w:spacing w:before="120" w:after="120"/>
              <w:ind w:left="125"/>
              <w:jc w:val="both"/>
              <w:rPr>
                <w:lang w:val="en-US"/>
              </w:rPr>
            </w:pPr>
            <w:r>
              <w:rPr>
                <w:lang w:val="en-US"/>
              </w:rPr>
              <w:t>Month 9</w:t>
            </w:r>
          </w:p>
        </w:tc>
        <w:tc>
          <w:tcPr>
            <w:tcW w:w="3402" w:type="dxa"/>
            <w:tcBorders>
              <w:top w:val="single" w:sz="4" w:space="0" w:color="000000"/>
              <w:left w:val="single" w:sz="4" w:space="0" w:color="000000"/>
              <w:bottom w:val="single" w:sz="4" w:space="0" w:color="000000"/>
              <w:right w:val="single" w:sz="4" w:space="0" w:color="000000"/>
            </w:tcBorders>
          </w:tcPr>
          <w:p w14:paraId="28FFF812" w14:textId="7D77BCED" w:rsidR="00343451" w:rsidRDefault="00CD4287" w:rsidP="001F7466">
            <w:pPr>
              <w:spacing w:before="120" w:after="120"/>
              <w:ind w:left="137" w:right="529"/>
              <w:jc w:val="both"/>
              <w:rPr>
                <w:lang w:val="en-US"/>
              </w:rPr>
            </w:pPr>
            <w:r>
              <w:rPr>
                <w:lang w:val="en-US"/>
              </w:rPr>
              <w:t>Finaliza</w:t>
            </w:r>
            <w:r w:rsidR="007F3B43">
              <w:rPr>
                <w:lang w:val="en-US"/>
              </w:rPr>
              <w:t>t</w:t>
            </w:r>
            <w:r>
              <w:rPr>
                <w:lang w:val="en-US"/>
              </w:rPr>
              <w:t>ion of the Evaluation Report and Evaluation Brief (</w:t>
            </w:r>
            <w:r w:rsidR="007F3B43">
              <w:rPr>
                <w:lang w:val="en-US"/>
              </w:rPr>
              <w:t>summary of key evaluation findings)</w:t>
            </w:r>
          </w:p>
        </w:tc>
      </w:tr>
    </w:tbl>
    <w:p w14:paraId="64195873" w14:textId="77777777" w:rsidR="00B455D8" w:rsidRPr="00E50844" w:rsidRDefault="00B455D8" w:rsidP="007F3B43">
      <w:pPr>
        <w:spacing w:before="240" w:after="120"/>
        <w:jc w:val="both"/>
        <w:rPr>
          <w:lang w:val="en-US"/>
        </w:rPr>
      </w:pPr>
      <w:r w:rsidRPr="00E50844">
        <w:rPr>
          <w:lang w:val="en-US"/>
        </w:rPr>
        <w:t xml:space="preserve">Other outputs may be discussed and </w:t>
      </w:r>
      <w:proofErr w:type="gramStart"/>
      <w:r w:rsidRPr="00E50844">
        <w:rPr>
          <w:lang w:val="en-US"/>
        </w:rPr>
        <w:t>agreed</w:t>
      </w:r>
      <w:proofErr w:type="gramEnd"/>
      <w:r w:rsidRPr="00E50844">
        <w:rPr>
          <w:lang w:val="en-US"/>
        </w:rPr>
        <w:t xml:space="preserve"> during the consultancy among the consultant and the supervisor, in consultation with the project team as required. All outputs should be submitted electronically in English, along with any compiled data, to the supervisor.</w:t>
      </w:r>
    </w:p>
    <w:p w14:paraId="3B6323B9" w14:textId="7AF38B41" w:rsidR="00B455D8" w:rsidRPr="00E50844" w:rsidRDefault="0096641A" w:rsidP="00B83F21">
      <w:pPr>
        <w:spacing w:before="120" w:after="120"/>
        <w:jc w:val="both"/>
        <w:rPr>
          <w:b/>
          <w:bCs/>
          <w:lang w:val="en-US"/>
        </w:rPr>
      </w:pPr>
      <w:r>
        <w:rPr>
          <w:b/>
          <w:bCs/>
          <w:u w:val="single"/>
          <w:lang w:val="en-US"/>
        </w:rPr>
        <w:t xml:space="preserve">E2. </w:t>
      </w:r>
      <w:r w:rsidR="00B455D8">
        <w:rPr>
          <w:b/>
          <w:bCs/>
          <w:u w:val="single"/>
          <w:lang w:val="en-US"/>
        </w:rPr>
        <w:t>FfD expert</w:t>
      </w:r>
    </w:p>
    <w:p w14:paraId="655E31EB" w14:textId="77777777" w:rsidR="00B455D8" w:rsidRDefault="00B455D8" w:rsidP="002C135A">
      <w:pPr>
        <w:spacing w:before="120" w:after="120"/>
        <w:jc w:val="both"/>
        <w:rPr>
          <w:lang w:val="en-US"/>
        </w:rPr>
      </w:pPr>
      <w:r w:rsidRPr="00E50844">
        <w:rPr>
          <w:lang w:val="en-US"/>
        </w:rPr>
        <w:t xml:space="preserve">The FfD expert </w:t>
      </w:r>
      <w:r>
        <w:rPr>
          <w:lang w:val="en-US"/>
        </w:rPr>
        <w:t>will be responsible for producing the following outputs:</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36"/>
        <w:gridCol w:w="3189"/>
      </w:tblGrid>
      <w:tr w:rsidR="00B455D8" w:rsidRPr="00E50844" w14:paraId="6CC52C8B" w14:textId="77777777" w:rsidTr="00646A17">
        <w:trPr>
          <w:trHeight w:val="268"/>
        </w:trPr>
        <w:tc>
          <w:tcPr>
            <w:tcW w:w="0" w:type="auto"/>
            <w:tcBorders>
              <w:top w:val="single" w:sz="4" w:space="0" w:color="000000"/>
              <w:left w:val="single" w:sz="4" w:space="0" w:color="000000"/>
              <w:bottom w:val="single" w:sz="4" w:space="0" w:color="000000"/>
              <w:right w:val="single" w:sz="4" w:space="0" w:color="000000"/>
            </w:tcBorders>
            <w:hideMark/>
          </w:tcPr>
          <w:p w14:paraId="69ADE9AC" w14:textId="77777777" w:rsidR="00B455D8" w:rsidRPr="00E50844" w:rsidRDefault="00B455D8" w:rsidP="002C135A">
            <w:pPr>
              <w:spacing w:before="120" w:after="120"/>
              <w:ind w:left="125"/>
              <w:jc w:val="both"/>
              <w:rPr>
                <w:b/>
                <w:lang w:val="en-US"/>
              </w:rPr>
            </w:pPr>
            <w:r w:rsidRPr="00E50844">
              <w:rPr>
                <w:b/>
                <w:lang w:val="en-US"/>
              </w:rPr>
              <w:t>By end of</w:t>
            </w:r>
          </w:p>
        </w:tc>
        <w:tc>
          <w:tcPr>
            <w:tcW w:w="3189" w:type="dxa"/>
            <w:tcBorders>
              <w:top w:val="single" w:sz="4" w:space="0" w:color="000000"/>
              <w:left w:val="single" w:sz="4" w:space="0" w:color="000000"/>
              <w:bottom w:val="single" w:sz="4" w:space="0" w:color="000000"/>
              <w:right w:val="single" w:sz="4" w:space="0" w:color="000000"/>
            </w:tcBorders>
            <w:hideMark/>
          </w:tcPr>
          <w:p w14:paraId="4FEA5B80" w14:textId="3695DAC7" w:rsidR="00B455D8" w:rsidRPr="00E50844" w:rsidRDefault="00B455D8" w:rsidP="00DD4026">
            <w:pPr>
              <w:spacing w:before="120" w:after="120"/>
              <w:ind w:left="112"/>
              <w:rPr>
                <w:b/>
                <w:lang w:val="en-US"/>
              </w:rPr>
            </w:pPr>
            <w:r w:rsidRPr="00E50844">
              <w:rPr>
                <w:b/>
                <w:lang w:val="en-US"/>
              </w:rPr>
              <w:t>O</w:t>
            </w:r>
            <w:r w:rsidR="00DD4026">
              <w:rPr>
                <w:b/>
                <w:lang w:val="en-US"/>
              </w:rPr>
              <w:t>u</w:t>
            </w:r>
            <w:r w:rsidRPr="00E50844">
              <w:rPr>
                <w:b/>
                <w:lang w:val="en-US"/>
              </w:rPr>
              <w:t>tput</w:t>
            </w:r>
          </w:p>
        </w:tc>
      </w:tr>
      <w:tr w:rsidR="00B455D8" w:rsidRPr="00E50844" w14:paraId="6657318D" w14:textId="77777777" w:rsidTr="00646A17">
        <w:trPr>
          <w:trHeight w:val="268"/>
        </w:trPr>
        <w:tc>
          <w:tcPr>
            <w:tcW w:w="0" w:type="auto"/>
            <w:tcBorders>
              <w:top w:val="single" w:sz="4" w:space="0" w:color="000000"/>
              <w:left w:val="single" w:sz="4" w:space="0" w:color="000000"/>
              <w:bottom w:val="single" w:sz="4" w:space="0" w:color="000000"/>
              <w:right w:val="single" w:sz="4" w:space="0" w:color="000000"/>
            </w:tcBorders>
            <w:hideMark/>
          </w:tcPr>
          <w:p w14:paraId="634AB1AD" w14:textId="77777777" w:rsidR="00B455D8" w:rsidRPr="00E50844" w:rsidRDefault="00B455D8" w:rsidP="002C135A">
            <w:pPr>
              <w:spacing w:before="120" w:after="120"/>
              <w:ind w:left="125"/>
              <w:jc w:val="both"/>
              <w:rPr>
                <w:lang w:val="en-US"/>
              </w:rPr>
            </w:pPr>
            <w:r w:rsidRPr="00E50844">
              <w:rPr>
                <w:lang w:val="en-US"/>
              </w:rPr>
              <w:t>Month</w:t>
            </w:r>
            <w:r>
              <w:rPr>
                <w:lang w:val="en-US"/>
              </w:rPr>
              <w:t xml:space="preserve"> </w:t>
            </w:r>
            <w:r w:rsidRPr="00E50844">
              <w:rPr>
                <w:lang w:val="en-US"/>
              </w:rPr>
              <w:t>2</w:t>
            </w:r>
            <w:r>
              <w:rPr>
                <w:lang w:val="en-US"/>
              </w:rPr>
              <w:t xml:space="preserve"> (of the evaluation </w:t>
            </w:r>
            <w:proofErr w:type="gramStart"/>
            <w:r>
              <w:rPr>
                <w:lang w:val="en-US"/>
              </w:rPr>
              <w:t>consultant’</w:t>
            </w:r>
            <w:proofErr w:type="gramEnd"/>
            <w:r>
              <w:rPr>
                <w:lang w:val="en-US"/>
              </w:rPr>
              <w:t xml:space="preserve"> contract)</w:t>
            </w:r>
          </w:p>
        </w:tc>
        <w:tc>
          <w:tcPr>
            <w:tcW w:w="3189" w:type="dxa"/>
            <w:tcBorders>
              <w:top w:val="single" w:sz="4" w:space="0" w:color="000000"/>
              <w:left w:val="single" w:sz="4" w:space="0" w:color="000000"/>
              <w:bottom w:val="single" w:sz="4" w:space="0" w:color="000000"/>
              <w:right w:val="single" w:sz="4" w:space="0" w:color="000000"/>
            </w:tcBorders>
            <w:hideMark/>
          </w:tcPr>
          <w:p w14:paraId="438F2A51" w14:textId="77777777" w:rsidR="00B455D8" w:rsidRPr="00E50844" w:rsidRDefault="00B455D8" w:rsidP="002C135A">
            <w:pPr>
              <w:spacing w:before="120" w:after="120"/>
              <w:ind w:left="137" w:right="529"/>
              <w:jc w:val="both"/>
              <w:rPr>
                <w:lang w:val="en-US"/>
              </w:rPr>
            </w:pPr>
            <w:r>
              <w:rPr>
                <w:lang w:val="en-US"/>
              </w:rPr>
              <w:t>List of documentation to be reviewed and the list of stakeholders to be interviewed</w:t>
            </w:r>
          </w:p>
        </w:tc>
      </w:tr>
      <w:tr w:rsidR="00B455D8" w:rsidRPr="00E50844" w14:paraId="78CD42D2" w14:textId="77777777" w:rsidTr="00646A17">
        <w:trPr>
          <w:trHeight w:val="330"/>
        </w:trPr>
        <w:tc>
          <w:tcPr>
            <w:tcW w:w="0" w:type="auto"/>
            <w:tcBorders>
              <w:top w:val="single" w:sz="4" w:space="0" w:color="000000"/>
              <w:left w:val="single" w:sz="4" w:space="0" w:color="000000"/>
              <w:bottom w:val="single" w:sz="4" w:space="0" w:color="000000"/>
              <w:right w:val="single" w:sz="4" w:space="0" w:color="000000"/>
            </w:tcBorders>
            <w:hideMark/>
          </w:tcPr>
          <w:p w14:paraId="3A14DD0B" w14:textId="77777777" w:rsidR="00B455D8" w:rsidRPr="00E50844" w:rsidRDefault="00B455D8" w:rsidP="002C135A">
            <w:pPr>
              <w:spacing w:before="120" w:after="120"/>
              <w:ind w:left="125"/>
              <w:jc w:val="both"/>
              <w:rPr>
                <w:lang w:val="en-US"/>
              </w:rPr>
            </w:pPr>
            <w:r w:rsidRPr="00E50844">
              <w:rPr>
                <w:lang w:val="en-US"/>
              </w:rPr>
              <w:t xml:space="preserve">Month </w:t>
            </w:r>
            <w:r>
              <w:rPr>
                <w:lang w:val="en-US"/>
              </w:rPr>
              <w:t>4</w:t>
            </w:r>
          </w:p>
        </w:tc>
        <w:tc>
          <w:tcPr>
            <w:tcW w:w="3189" w:type="dxa"/>
            <w:tcBorders>
              <w:top w:val="single" w:sz="4" w:space="0" w:color="000000"/>
              <w:left w:val="single" w:sz="4" w:space="0" w:color="000000"/>
              <w:bottom w:val="single" w:sz="4" w:space="0" w:color="000000"/>
              <w:right w:val="single" w:sz="4" w:space="0" w:color="000000"/>
            </w:tcBorders>
            <w:hideMark/>
          </w:tcPr>
          <w:p w14:paraId="4D70BB46" w14:textId="77777777" w:rsidR="00B455D8" w:rsidRPr="00E50844" w:rsidRDefault="00B455D8" w:rsidP="002C135A">
            <w:pPr>
              <w:spacing w:before="120" w:after="120"/>
              <w:ind w:left="137"/>
              <w:jc w:val="both"/>
              <w:rPr>
                <w:lang w:val="en-US"/>
              </w:rPr>
            </w:pPr>
            <w:r w:rsidRPr="00E50844">
              <w:rPr>
                <w:lang w:val="en-US"/>
              </w:rPr>
              <w:t>D</w:t>
            </w:r>
            <w:r>
              <w:rPr>
                <w:lang w:val="en-US"/>
              </w:rPr>
              <w:t>raft study report</w:t>
            </w:r>
          </w:p>
        </w:tc>
      </w:tr>
      <w:tr w:rsidR="00B455D8" w:rsidRPr="00E50844" w14:paraId="203E19B3" w14:textId="77777777" w:rsidTr="00646A17">
        <w:trPr>
          <w:trHeight w:val="537"/>
        </w:trPr>
        <w:tc>
          <w:tcPr>
            <w:tcW w:w="0" w:type="auto"/>
            <w:tcBorders>
              <w:top w:val="single" w:sz="4" w:space="0" w:color="000000"/>
              <w:left w:val="single" w:sz="4" w:space="0" w:color="000000"/>
              <w:bottom w:val="single" w:sz="4" w:space="0" w:color="000000"/>
              <w:right w:val="single" w:sz="4" w:space="0" w:color="000000"/>
            </w:tcBorders>
            <w:hideMark/>
          </w:tcPr>
          <w:p w14:paraId="75895CAF" w14:textId="77777777" w:rsidR="00B455D8" w:rsidRPr="00E50844" w:rsidRDefault="00B455D8" w:rsidP="002C135A">
            <w:pPr>
              <w:spacing w:before="120" w:after="120"/>
              <w:ind w:left="125"/>
              <w:jc w:val="both"/>
              <w:rPr>
                <w:lang w:val="en-US"/>
              </w:rPr>
            </w:pPr>
            <w:r w:rsidRPr="00E50844">
              <w:rPr>
                <w:lang w:val="en-US"/>
              </w:rPr>
              <w:t xml:space="preserve">Month </w:t>
            </w:r>
            <w:r>
              <w:rPr>
                <w:lang w:val="en-US"/>
              </w:rPr>
              <w:t>5-</w:t>
            </w:r>
            <w:r w:rsidRPr="00E50844">
              <w:rPr>
                <w:lang w:val="en-US"/>
              </w:rPr>
              <w:t>6</w:t>
            </w:r>
          </w:p>
        </w:tc>
        <w:tc>
          <w:tcPr>
            <w:tcW w:w="3189" w:type="dxa"/>
            <w:tcBorders>
              <w:top w:val="single" w:sz="4" w:space="0" w:color="000000"/>
              <w:left w:val="single" w:sz="4" w:space="0" w:color="000000"/>
              <w:bottom w:val="single" w:sz="4" w:space="0" w:color="000000"/>
              <w:right w:val="single" w:sz="4" w:space="0" w:color="000000"/>
            </w:tcBorders>
            <w:hideMark/>
          </w:tcPr>
          <w:p w14:paraId="31B5A315" w14:textId="77777777" w:rsidR="00B455D8" w:rsidRPr="00E50844" w:rsidRDefault="00B455D8" w:rsidP="002C135A">
            <w:pPr>
              <w:spacing w:before="120" w:after="120"/>
              <w:ind w:left="137" w:right="529"/>
              <w:jc w:val="both"/>
              <w:rPr>
                <w:lang w:val="en-US"/>
              </w:rPr>
            </w:pPr>
            <w:r>
              <w:rPr>
                <w:lang w:val="en-US"/>
              </w:rPr>
              <w:t xml:space="preserve">Final study report, incorporating comments from the Project Coordinator and the project focal points, and a presentation of the key findings and recommendations of the study, as and if requested </w:t>
            </w:r>
          </w:p>
        </w:tc>
      </w:tr>
    </w:tbl>
    <w:p w14:paraId="26CD1314" w14:textId="2213F600" w:rsidR="00B455D8" w:rsidRPr="00E50844" w:rsidRDefault="0096641A" w:rsidP="0046602E">
      <w:pPr>
        <w:spacing w:before="240" w:after="120"/>
        <w:jc w:val="both"/>
        <w:rPr>
          <w:b/>
          <w:bCs/>
          <w:lang w:val="en-US"/>
        </w:rPr>
      </w:pPr>
      <w:r>
        <w:rPr>
          <w:b/>
          <w:bCs/>
          <w:lang w:val="en-US"/>
        </w:rPr>
        <w:t xml:space="preserve">F. </w:t>
      </w:r>
      <w:r w:rsidR="00B455D8" w:rsidRPr="00E50844">
        <w:rPr>
          <w:b/>
          <w:bCs/>
          <w:lang w:val="en-US"/>
        </w:rPr>
        <w:t>Evaluation ethics</w:t>
      </w:r>
    </w:p>
    <w:p w14:paraId="2461BE15" w14:textId="77777777" w:rsidR="00B455D8" w:rsidRPr="00E50844" w:rsidRDefault="00B455D8" w:rsidP="002C135A">
      <w:pPr>
        <w:spacing w:before="120" w:after="120"/>
        <w:jc w:val="both"/>
        <w:rPr>
          <w:lang w:val="en-US"/>
        </w:rPr>
      </w:pPr>
      <w:r w:rsidRPr="00E50844">
        <w:rPr>
          <w:lang w:val="en-US"/>
        </w:rPr>
        <w:t>The evaluation will be conducted in accordance with the principles outlined in the UNEG ‘Ethical Guidelines for Evaluation’ (</w:t>
      </w:r>
      <w:hyperlink r:id="rId90" w:history="1">
        <w:r w:rsidRPr="00E50844">
          <w:rPr>
            <w:rStyle w:val="Hyperlink"/>
            <w:lang w:val="en-US"/>
          </w:rPr>
          <w:t>http://www.unevaluation.org/document/detail/102</w:t>
        </w:r>
      </w:hyperlink>
      <w:r w:rsidRPr="00E50844">
        <w:rPr>
          <w:lang w:val="en-US"/>
        </w:rPr>
        <w:t xml:space="preserve">). The evaluation consultant should demonstrate independence, impartiality, credibility, honesty, integrity, and accountability to avoid any bias in the evaluation process. The evaluation consultant must address in the design and implementation of the evaluation, such as procedures to safeguard the rights and confidentiality of information providers. The evaluation consultant will follow the </w:t>
      </w:r>
      <w:hyperlink r:id="rId91" w:history="1">
        <w:r w:rsidRPr="00E50844">
          <w:rPr>
            <w:rStyle w:val="Hyperlink"/>
            <w:lang w:val="en-US"/>
          </w:rPr>
          <w:t>UNEG Code of Conduct</w:t>
        </w:r>
      </w:hyperlink>
      <w:r w:rsidRPr="00E50844">
        <w:rPr>
          <w:lang w:val="en-US"/>
        </w:rPr>
        <w:t xml:space="preserve"> which should be carefully read and signed.</w:t>
      </w:r>
    </w:p>
    <w:p w14:paraId="54C600F9" w14:textId="1A88464A" w:rsidR="00B455D8" w:rsidRPr="00E50844" w:rsidRDefault="0096641A" w:rsidP="007A50CE">
      <w:pPr>
        <w:spacing w:before="120" w:after="120"/>
        <w:jc w:val="both"/>
        <w:rPr>
          <w:b/>
          <w:bCs/>
          <w:lang w:val="en-US"/>
        </w:rPr>
      </w:pPr>
      <w:r>
        <w:rPr>
          <w:b/>
          <w:bCs/>
          <w:lang w:val="en-US"/>
        </w:rPr>
        <w:t xml:space="preserve">G. </w:t>
      </w:r>
      <w:r w:rsidR="00B455D8" w:rsidRPr="00E50844">
        <w:rPr>
          <w:b/>
          <w:bCs/>
          <w:lang w:val="en-US"/>
        </w:rPr>
        <w:t>Duration of contract</w:t>
      </w:r>
    </w:p>
    <w:p w14:paraId="4B202606" w14:textId="77777777" w:rsidR="00B455D8" w:rsidRPr="00E50844" w:rsidRDefault="00B455D8" w:rsidP="002C135A">
      <w:pPr>
        <w:spacing w:before="120" w:after="120"/>
        <w:jc w:val="both"/>
        <w:rPr>
          <w:lang w:val="en-US"/>
        </w:rPr>
      </w:pPr>
      <w:r>
        <w:rPr>
          <w:lang w:val="en-US"/>
        </w:rPr>
        <w:t>For the evaluation consultant, th</w:t>
      </w:r>
      <w:r w:rsidRPr="00E50844">
        <w:rPr>
          <w:lang w:val="en-US"/>
        </w:rPr>
        <w:t>e duration of the contract is from 23 December 2024 to 30 September 2025.</w:t>
      </w:r>
    </w:p>
    <w:p w14:paraId="2B5F9EA8" w14:textId="77777777" w:rsidR="00B455D8" w:rsidRPr="00E50844" w:rsidRDefault="00B455D8" w:rsidP="002C135A">
      <w:pPr>
        <w:spacing w:before="120" w:after="120"/>
        <w:jc w:val="both"/>
        <w:rPr>
          <w:lang w:val="en-US"/>
        </w:rPr>
      </w:pPr>
      <w:r>
        <w:rPr>
          <w:lang w:val="en-US"/>
        </w:rPr>
        <w:t>For the FfD expert, the duration of the contract is from 1 January 2025 to 30 June 2025.</w:t>
      </w:r>
    </w:p>
    <w:p w14:paraId="0E564AC8" w14:textId="2DB6AE9C" w:rsidR="00B455D8" w:rsidRPr="00E50844" w:rsidRDefault="004640F4" w:rsidP="007A50CE">
      <w:pPr>
        <w:spacing w:before="120" w:after="120"/>
        <w:jc w:val="both"/>
        <w:rPr>
          <w:b/>
          <w:bCs/>
          <w:lang w:val="en-US"/>
        </w:rPr>
      </w:pPr>
      <w:r>
        <w:rPr>
          <w:b/>
          <w:bCs/>
          <w:lang w:val="en-US"/>
        </w:rPr>
        <w:t xml:space="preserve">H. </w:t>
      </w:r>
      <w:r w:rsidR="00B455D8" w:rsidRPr="00E50844">
        <w:rPr>
          <w:b/>
          <w:bCs/>
          <w:lang w:val="en-US"/>
        </w:rPr>
        <w:t>Duty station or location of assignment</w:t>
      </w:r>
    </w:p>
    <w:p w14:paraId="1F7F9387" w14:textId="77777777" w:rsidR="00B455D8" w:rsidRPr="00E50844" w:rsidRDefault="00B455D8" w:rsidP="002C135A">
      <w:pPr>
        <w:spacing w:before="120" w:after="120"/>
        <w:jc w:val="both"/>
        <w:rPr>
          <w:lang w:val="en-US"/>
        </w:rPr>
      </w:pPr>
      <w:r w:rsidRPr="00E50844">
        <w:rPr>
          <w:lang w:val="en-US"/>
        </w:rPr>
        <w:t>Home-based. The consultant</w:t>
      </w:r>
      <w:r>
        <w:rPr>
          <w:lang w:val="en-US"/>
        </w:rPr>
        <w:t>s (the evaluation consultant and the FfD expert)</w:t>
      </w:r>
      <w:r w:rsidRPr="00E50844">
        <w:rPr>
          <w:lang w:val="en-US"/>
        </w:rPr>
        <w:t xml:space="preserve"> should be available for regular review meetings/teleconferences as needed.</w:t>
      </w:r>
    </w:p>
    <w:p w14:paraId="059B5E47" w14:textId="77777777" w:rsidR="004640F4" w:rsidRDefault="004640F4" w:rsidP="007A50CE">
      <w:pPr>
        <w:spacing w:before="120" w:after="120"/>
        <w:jc w:val="both"/>
        <w:rPr>
          <w:b/>
          <w:bCs/>
          <w:lang w:val="en-US"/>
        </w:rPr>
      </w:pPr>
    </w:p>
    <w:p w14:paraId="24CDA989" w14:textId="77777777" w:rsidR="004640F4" w:rsidRDefault="004640F4">
      <w:pPr>
        <w:rPr>
          <w:b/>
          <w:bCs/>
          <w:lang w:val="en-US"/>
        </w:rPr>
      </w:pPr>
      <w:r>
        <w:rPr>
          <w:b/>
          <w:bCs/>
          <w:lang w:val="en-US"/>
        </w:rPr>
        <w:br w:type="page"/>
      </w:r>
    </w:p>
    <w:p w14:paraId="7C4B76B5" w14:textId="347C6F7C" w:rsidR="00B455D8" w:rsidRPr="00E50844" w:rsidRDefault="004640F4" w:rsidP="007A50CE">
      <w:pPr>
        <w:spacing w:before="120" w:after="120"/>
        <w:jc w:val="both"/>
        <w:rPr>
          <w:b/>
          <w:bCs/>
          <w:lang w:val="en-US"/>
        </w:rPr>
      </w:pPr>
      <w:r>
        <w:rPr>
          <w:b/>
          <w:bCs/>
          <w:lang w:val="en-US"/>
        </w:rPr>
        <w:lastRenderedPageBreak/>
        <w:t xml:space="preserve">I. </w:t>
      </w:r>
      <w:r w:rsidR="00B455D8" w:rsidRPr="00E50844">
        <w:rPr>
          <w:b/>
          <w:bCs/>
          <w:lang w:val="en-US"/>
        </w:rPr>
        <w:t>Travel</w:t>
      </w:r>
    </w:p>
    <w:p w14:paraId="761607B2" w14:textId="2AAAA64A" w:rsidR="00B455D8" w:rsidRPr="00E50844" w:rsidRDefault="00B455D8" w:rsidP="002C135A">
      <w:pPr>
        <w:spacing w:before="120" w:after="120"/>
        <w:jc w:val="both"/>
        <w:rPr>
          <w:lang w:val="en-US"/>
        </w:rPr>
      </w:pPr>
      <w:r w:rsidRPr="00E50844">
        <w:rPr>
          <w:lang w:val="en-US"/>
        </w:rPr>
        <w:t>The evaluation consultant will be required to travel as required for the evaluation. Travel-related expenses will be obligated separately.</w:t>
      </w:r>
      <w:r>
        <w:rPr>
          <w:lang w:val="en-US"/>
        </w:rPr>
        <w:t xml:space="preserve"> No travel is required for the FfD expert.</w:t>
      </w:r>
    </w:p>
    <w:p w14:paraId="463220F0" w14:textId="05013420" w:rsidR="00B455D8" w:rsidRDefault="00855CFD" w:rsidP="00B83F21">
      <w:pPr>
        <w:spacing w:before="120" w:after="120"/>
        <w:jc w:val="both"/>
        <w:rPr>
          <w:b/>
          <w:bCs/>
          <w:lang w:val="en-US"/>
        </w:rPr>
      </w:pPr>
      <w:r>
        <w:rPr>
          <w:b/>
          <w:bCs/>
          <w:lang w:val="en-US"/>
        </w:rPr>
        <w:t xml:space="preserve">J. </w:t>
      </w:r>
      <w:r w:rsidR="00B455D8" w:rsidRPr="00E50844">
        <w:rPr>
          <w:b/>
          <w:bCs/>
          <w:lang w:val="en-US"/>
        </w:rPr>
        <w:t>Fees and payment schedule</w:t>
      </w:r>
    </w:p>
    <w:p w14:paraId="24F24142" w14:textId="04C58F71" w:rsidR="00855CFD" w:rsidRPr="00E50844" w:rsidRDefault="00855CFD" w:rsidP="00B83F21">
      <w:pPr>
        <w:spacing w:before="120" w:after="120"/>
        <w:jc w:val="both"/>
        <w:rPr>
          <w:b/>
          <w:bCs/>
          <w:lang w:val="en-US"/>
        </w:rPr>
      </w:pPr>
      <w:r>
        <w:rPr>
          <w:b/>
          <w:bCs/>
          <w:lang w:val="en-US"/>
        </w:rPr>
        <w:t>J1. Evaluation consultant</w:t>
      </w:r>
    </w:p>
    <w:p w14:paraId="0C2678F9" w14:textId="77777777" w:rsidR="00B455D8" w:rsidRDefault="00B455D8" w:rsidP="002C135A">
      <w:pPr>
        <w:spacing w:before="120" w:after="120"/>
        <w:jc w:val="both"/>
        <w:rPr>
          <w:lang w:val="en-US"/>
        </w:rPr>
      </w:pPr>
      <w:r w:rsidRPr="00E50844">
        <w:rPr>
          <w:lang w:val="en-US"/>
        </w:rPr>
        <w:t>The evaluation consultant will receive a total payment of USD $50,000 for the duration of the contract. Payment will be initiated upon successful completion or implementation of expected tasks as mentioned in the above activities, expected outputs and milestones, upon certification from the evaluation manager that the tasks have been satisfactorily carried out.</w:t>
      </w: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9"/>
        <w:gridCol w:w="1909"/>
        <w:gridCol w:w="1597"/>
      </w:tblGrid>
      <w:tr w:rsidR="004F3914" w:rsidRPr="00E50844" w14:paraId="69DE8B6F" w14:textId="0E924316" w:rsidTr="004F3914">
        <w:trPr>
          <w:trHeight w:val="268"/>
        </w:trPr>
        <w:tc>
          <w:tcPr>
            <w:tcW w:w="1119" w:type="dxa"/>
            <w:tcBorders>
              <w:top w:val="single" w:sz="4" w:space="0" w:color="000000"/>
              <w:left w:val="single" w:sz="4" w:space="0" w:color="000000"/>
              <w:bottom w:val="single" w:sz="4" w:space="0" w:color="000000"/>
              <w:right w:val="single" w:sz="4" w:space="0" w:color="000000"/>
            </w:tcBorders>
            <w:hideMark/>
          </w:tcPr>
          <w:p w14:paraId="294DBCB2" w14:textId="77777777" w:rsidR="004F3914" w:rsidRPr="00E50844" w:rsidRDefault="004F3914" w:rsidP="001F7466">
            <w:pPr>
              <w:spacing w:before="120" w:after="120"/>
              <w:ind w:left="125" w:right="68"/>
              <w:jc w:val="both"/>
              <w:rPr>
                <w:b/>
                <w:lang w:val="en-US"/>
              </w:rPr>
            </w:pPr>
            <w:r w:rsidRPr="00E50844">
              <w:rPr>
                <w:b/>
                <w:lang w:val="en-US"/>
              </w:rPr>
              <w:t>By end of</w:t>
            </w:r>
          </w:p>
        </w:tc>
        <w:tc>
          <w:tcPr>
            <w:tcW w:w="1909" w:type="dxa"/>
            <w:tcBorders>
              <w:top w:val="single" w:sz="4" w:space="0" w:color="000000"/>
              <w:left w:val="single" w:sz="4" w:space="0" w:color="000000"/>
              <w:bottom w:val="single" w:sz="4" w:space="0" w:color="000000"/>
              <w:right w:val="single" w:sz="4" w:space="0" w:color="000000"/>
            </w:tcBorders>
            <w:hideMark/>
          </w:tcPr>
          <w:p w14:paraId="264CC2EB" w14:textId="77777777" w:rsidR="004F3914" w:rsidRPr="00E50844" w:rsidRDefault="004F3914" w:rsidP="00777CD9">
            <w:pPr>
              <w:tabs>
                <w:tab w:val="left" w:pos="2194"/>
              </w:tabs>
              <w:spacing w:before="120" w:after="120"/>
              <w:ind w:left="226" w:hanging="142"/>
              <w:jc w:val="both"/>
              <w:rPr>
                <w:b/>
                <w:lang w:val="en-US"/>
              </w:rPr>
            </w:pPr>
            <w:r w:rsidRPr="00E50844">
              <w:rPr>
                <w:b/>
                <w:lang w:val="en-US"/>
              </w:rPr>
              <w:t>Output</w:t>
            </w:r>
          </w:p>
        </w:tc>
        <w:tc>
          <w:tcPr>
            <w:tcW w:w="1597" w:type="dxa"/>
            <w:tcBorders>
              <w:top w:val="single" w:sz="4" w:space="0" w:color="000000"/>
              <w:left w:val="single" w:sz="4" w:space="0" w:color="000000"/>
              <w:bottom w:val="single" w:sz="4" w:space="0" w:color="000000"/>
              <w:right w:val="single" w:sz="4" w:space="0" w:color="000000"/>
            </w:tcBorders>
          </w:tcPr>
          <w:p w14:paraId="1C246BAD" w14:textId="21ED0D9C" w:rsidR="004F3914" w:rsidRPr="00E50844" w:rsidRDefault="002D62C6" w:rsidP="00777CD9">
            <w:pPr>
              <w:tabs>
                <w:tab w:val="left" w:pos="2194"/>
              </w:tabs>
              <w:spacing w:before="120" w:after="120"/>
              <w:ind w:left="226" w:hanging="142"/>
              <w:jc w:val="both"/>
              <w:rPr>
                <w:b/>
                <w:lang w:val="en-US"/>
              </w:rPr>
            </w:pPr>
            <w:r>
              <w:rPr>
                <w:b/>
                <w:lang w:val="en-US"/>
              </w:rPr>
              <w:t>Notes</w:t>
            </w:r>
          </w:p>
        </w:tc>
      </w:tr>
      <w:tr w:rsidR="004F3914" w:rsidRPr="00E50844" w14:paraId="13AF1444" w14:textId="50B55553" w:rsidTr="004F3914">
        <w:trPr>
          <w:trHeight w:val="268"/>
        </w:trPr>
        <w:tc>
          <w:tcPr>
            <w:tcW w:w="1119" w:type="dxa"/>
            <w:tcBorders>
              <w:top w:val="single" w:sz="4" w:space="0" w:color="000000"/>
              <w:left w:val="single" w:sz="4" w:space="0" w:color="000000"/>
              <w:bottom w:val="single" w:sz="4" w:space="0" w:color="000000"/>
              <w:right w:val="single" w:sz="4" w:space="0" w:color="000000"/>
            </w:tcBorders>
            <w:hideMark/>
          </w:tcPr>
          <w:p w14:paraId="199807E7" w14:textId="153BD6B5" w:rsidR="004F3914" w:rsidRPr="00E50844" w:rsidRDefault="004F3914" w:rsidP="001F7466">
            <w:pPr>
              <w:spacing w:before="120" w:after="120"/>
              <w:ind w:left="125"/>
              <w:jc w:val="both"/>
              <w:rPr>
                <w:lang w:val="en-US"/>
              </w:rPr>
            </w:pPr>
            <w:r w:rsidRPr="00E50844">
              <w:rPr>
                <w:lang w:val="en-US"/>
              </w:rPr>
              <w:t>Month</w:t>
            </w:r>
            <w:r>
              <w:rPr>
                <w:lang w:val="en-US"/>
              </w:rPr>
              <w:t xml:space="preserve"> </w:t>
            </w:r>
            <w:r w:rsidRPr="00E50844">
              <w:rPr>
                <w:lang w:val="en-US"/>
              </w:rPr>
              <w:t>2</w:t>
            </w:r>
            <w:r>
              <w:rPr>
                <w:lang w:val="en-US"/>
              </w:rPr>
              <w:t xml:space="preserve"> </w:t>
            </w:r>
          </w:p>
        </w:tc>
        <w:tc>
          <w:tcPr>
            <w:tcW w:w="1909" w:type="dxa"/>
            <w:tcBorders>
              <w:top w:val="single" w:sz="4" w:space="0" w:color="000000"/>
              <w:left w:val="single" w:sz="4" w:space="0" w:color="000000"/>
              <w:bottom w:val="single" w:sz="4" w:space="0" w:color="000000"/>
              <w:right w:val="single" w:sz="4" w:space="0" w:color="000000"/>
            </w:tcBorders>
            <w:hideMark/>
          </w:tcPr>
          <w:p w14:paraId="7873F5F1" w14:textId="02C9F8B2" w:rsidR="004F3914" w:rsidRPr="00E50844" w:rsidRDefault="004F3914" w:rsidP="001F7466">
            <w:pPr>
              <w:spacing w:before="120" w:after="120"/>
              <w:ind w:left="137" w:right="529"/>
              <w:jc w:val="both"/>
              <w:rPr>
                <w:lang w:val="en-US"/>
              </w:rPr>
            </w:pPr>
            <w:r>
              <w:rPr>
                <w:lang w:val="en-US"/>
              </w:rPr>
              <w:t>Inception report (30%)</w:t>
            </w:r>
          </w:p>
        </w:tc>
        <w:tc>
          <w:tcPr>
            <w:tcW w:w="1597" w:type="dxa"/>
            <w:tcBorders>
              <w:top w:val="single" w:sz="4" w:space="0" w:color="000000"/>
              <w:left w:val="single" w:sz="4" w:space="0" w:color="000000"/>
              <w:bottom w:val="single" w:sz="4" w:space="0" w:color="000000"/>
              <w:right w:val="single" w:sz="4" w:space="0" w:color="000000"/>
            </w:tcBorders>
          </w:tcPr>
          <w:p w14:paraId="57974417" w14:textId="03D97840" w:rsidR="004F3914" w:rsidRDefault="00E86BC2" w:rsidP="002D62C6">
            <w:pPr>
              <w:spacing w:before="120" w:after="120"/>
              <w:ind w:left="137" w:right="529" w:hanging="59"/>
              <w:jc w:val="both"/>
              <w:rPr>
                <w:lang w:val="en-US"/>
              </w:rPr>
            </w:pPr>
            <w:r>
              <w:rPr>
                <w:lang w:val="en-US"/>
              </w:rPr>
              <w:t>$15,000</w:t>
            </w:r>
          </w:p>
        </w:tc>
      </w:tr>
      <w:tr w:rsidR="004F3914" w:rsidRPr="00E50844" w14:paraId="0E3D2AE0" w14:textId="4DEE767D" w:rsidTr="004F3914">
        <w:trPr>
          <w:trHeight w:val="330"/>
        </w:trPr>
        <w:tc>
          <w:tcPr>
            <w:tcW w:w="1119" w:type="dxa"/>
            <w:tcBorders>
              <w:top w:val="single" w:sz="4" w:space="0" w:color="000000"/>
              <w:left w:val="single" w:sz="4" w:space="0" w:color="000000"/>
              <w:bottom w:val="single" w:sz="4" w:space="0" w:color="000000"/>
              <w:right w:val="single" w:sz="4" w:space="0" w:color="000000"/>
            </w:tcBorders>
            <w:hideMark/>
          </w:tcPr>
          <w:p w14:paraId="3EA935F7" w14:textId="6916E538" w:rsidR="004F3914" w:rsidRPr="00E50844" w:rsidRDefault="004F3914" w:rsidP="001F7466">
            <w:pPr>
              <w:spacing w:before="120" w:after="120"/>
              <w:ind w:left="125"/>
              <w:jc w:val="both"/>
              <w:rPr>
                <w:lang w:val="en-US"/>
              </w:rPr>
            </w:pPr>
            <w:r w:rsidRPr="00E50844">
              <w:rPr>
                <w:lang w:val="en-US"/>
              </w:rPr>
              <w:t xml:space="preserve">Month </w:t>
            </w:r>
            <w:r>
              <w:rPr>
                <w:lang w:val="en-US"/>
              </w:rPr>
              <w:t>7</w:t>
            </w:r>
          </w:p>
        </w:tc>
        <w:tc>
          <w:tcPr>
            <w:tcW w:w="1909" w:type="dxa"/>
            <w:tcBorders>
              <w:top w:val="single" w:sz="4" w:space="0" w:color="000000"/>
              <w:left w:val="single" w:sz="4" w:space="0" w:color="000000"/>
              <w:bottom w:val="single" w:sz="4" w:space="0" w:color="000000"/>
              <w:right w:val="single" w:sz="4" w:space="0" w:color="000000"/>
            </w:tcBorders>
            <w:hideMark/>
          </w:tcPr>
          <w:p w14:paraId="7C882695" w14:textId="0120599D" w:rsidR="004F3914" w:rsidRPr="00E50844" w:rsidRDefault="004F3914" w:rsidP="002D62C6">
            <w:pPr>
              <w:spacing w:before="120" w:after="120"/>
              <w:ind w:left="137" w:right="206"/>
              <w:jc w:val="both"/>
              <w:rPr>
                <w:lang w:val="en-US"/>
              </w:rPr>
            </w:pPr>
            <w:r>
              <w:rPr>
                <w:lang w:val="en-US"/>
              </w:rPr>
              <w:t>Submit draft report (35%)</w:t>
            </w:r>
          </w:p>
        </w:tc>
        <w:tc>
          <w:tcPr>
            <w:tcW w:w="1597" w:type="dxa"/>
            <w:tcBorders>
              <w:top w:val="single" w:sz="4" w:space="0" w:color="000000"/>
              <w:left w:val="single" w:sz="4" w:space="0" w:color="000000"/>
              <w:bottom w:val="single" w:sz="4" w:space="0" w:color="000000"/>
              <w:right w:val="single" w:sz="4" w:space="0" w:color="000000"/>
            </w:tcBorders>
          </w:tcPr>
          <w:p w14:paraId="50446EAE" w14:textId="494F1E10" w:rsidR="004F3914" w:rsidRDefault="002D62C6" w:rsidP="002D62C6">
            <w:pPr>
              <w:spacing w:before="120" w:after="120"/>
              <w:ind w:left="137" w:hanging="59"/>
              <w:jc w:val="both"/>
              <w:rPr>
                <w:lang w:val="en-US"/>
              </w:rPr>
            </w:pPr>
            <w:r>
              <w:rPr>
                <w:lang w:val="en-US"/>
              </w:rPr>
              <w:t>$17,500</w:t>
            </w:r>
          </w:p>
        </w:tc>
      </w:tr>
      <w:tr w:rsidR="004F3914" w:rsidRPr="00E50844" w14:paraId="0E827045" w14:textId="161E5F7C" w:rsidTr="004F3914">
        <w:trPr>
          <w:trHeight w:val="537"/>
        </w:trPr>
        <w:tc>
          <w:tcPr>
            <w:tcW w:w="1119" w:type="dxa"/>
            <w:tcBorders>
              <w:top w:val="single" w:sz="4" w:space="0" w:color="000000"/>
              <w:left w:val="single" w:sz="4" w:space="0" w:color="000000"/>
              <w:bottom w:val="single" w:sz="4" w:space="0" w:color="000000"/>
              <w:right w:val="single" w:sz="4" w:space="0" w:color="000000"/>
            </w:tcBorders>
            <w:hideMark/>
          </w:tcPr>
          <w:p w14:paraId="5BA299E2" w14:textId="132A8743" w:rsidR="004F3914" w:rsidRPr="00E50844" w:rsidRDefault="004F3914" w:rsidP="001F7466">
            <w:pPr>
              <w:spacing w:before="120" w:after="120"/>
              <w:ind w:left="125"/>
              <w:jc w:val="both"/>
              <w:rPr>
                <w:lang w:val="en-US"/>
              </w:rPr>
            </w:pPr>
            <w:r w:rsidRPr="00E50844">
              <w:rPr>
                <w:lang w:val="en-US"/>
              </w:rPr>
              <w:t xml:space="preserve">Month </w:t>
            </w:r>
            <w:r>
              <w:rPr>
                <w:lang w:val="en-US"/>
              </w:rPr>
              <w:t>9</w:t>
            </w:r>
          </w:p>
        </w:tc>
        <w:tc>
          <w:tcPr>
            <w:tcW w:w="1909" w:type="dxa"/>
            <w:tcBorders>
              <w:top w:val="single" w:sz="4" w:space="0" w:color="000000"/>
              <w:left w:val="single" w:sz="4" w:space="0" w:color="000000"/>
              <w:bottom w:val="single" w:sz="4" w:space="0" w:color="000000"/>
              <w:right w:val="single" w:sz="4" w:space="0" w:color="000000"/>
            </w:tcBorders>
            <w:hideMark/>
          </w:tcPr>
          <w:p w14:paraId="07F64A06" w14:textId="7C702107" w:rsidR="004F3914" w:rsidRPr="00E50844" w:rsidRDefault="004F3914" w:rsidP="002D62C6">
            <w:pPr>
              <w:spacing w:before="120" w:after="120"/>
              <w:ind w:left="137" w:right="206"/>
              <w:jc w:val="both"/>
              <w:rPr>
                <w:lang w:val="en-US"/>
              </w:rPr>
            </w:pPr>
            <w:r>
              <w:rPr>
                <w:lang w:val="en-US"/>
              </w:rPr>
              <w:t xml:space="preserve">Submit final report and Evaluation Brief (summary of key evaluation findings) and presentation (35%) </w:t>
            </w:r>
          </w:p>
        </w:tc>
        <w:tc>
          <w:tcPr>
            <w:tcW w:w="1597" w:type="dxa"/>
            <w:tcBorders>
              <w:top w:val="single" w:sz="4" w:space="0" w:color="000000"/>
              <w:left w:val="single" w:sz="4" w:space="0" w:color="000000"/>
              <w:bottom w:val="single" w:sz="4" w:space="0" w:color="000000"/>
              <w:right w:val="single" w:sz="4" w:space="0" w:color="000000"/>
            </w:tcBorders>
          </w:tcPr>
          <w:p w14:paraId="2641D471" w14:textId="18806E8F" w:rsidR="004F3914" w:rsidRDefault="002D62C6" w:rsidP="002D62C6">
            <w:pPr>
              <w:spacing w:before="120" w:after="120"/>
              <w:ind w:left="137" w:right="125" w:hanging="59"/>
              <w:jc w:val="both"/>
              <w:rPr>
                <w:lang w:val="en-US"/>
              </w:rPr>
            </w:pPr>
            <w:r>
              <w:rPr>
                <w:lang w:val="en-US"/>
              </w:rPr>
              <w:t>$17,500</w:t>
            </w:r>
          </w:p>
        </w:tc>
      </w:tr>
    </w:tbl>
    <w:p w14:paraId="196FD098" w14:textId="77777777" w:rsidR="00B455D8" w:rsidRPr="00E50844" w:rsidRDefault="00B455D8" w:rsidP="002C135A">
      <w:pPr>
        <w:spacing w:before="120" w:after="120"/>
        <w:jc w:val="both"/>
        <w:rPr>
          <w:lang w:val="en-US"/>
        </w:rPr>
      </w:pPr>
      <w:r w:rsidRPr="00E50844">
        <w:rPr>
          <w:lang w:val="en-US"/>
        </w:rPr>
        <w:t>Additionally, interpreter costs for interviews with stakeholders, particularly for those requiring languages other than English, will be covered by DESA separately from the consultant fees. The evaluation consultant is expected to coordinate the hiring of interpreters as necessary, with related expenses reimbursed by DESA upon submission of appropriate documentation.</w:t>
      </w:r>
    </w:p>
    <w:p w14:paraId="71A225E4" w14:textId="1B794745" w:rsidR="00B455D8" w:rsidRPr="00E50844" w:rsidRDefault="00AC3771" w:rsidP="007A50CE">
      <w:pPr>
        <w:spacing w:before="120" w:after="120"/>
        <w:jc w:val="both"/>
        <w:rPr>
          <w:b/>
          <w:bCs/>
          <w:lang w:val="en-US"/>
        </w:rPr>
      </w:pPr>
      <w:r>
        <w:rPr>
          <w:b/>
          <w:bCs/>
          <w:lang w:val="en-US"/>
        </w:rPr>
        <w:t xml:space="preserve">J2. </w:t>
      </w:r>
      <w:r w:rsidR="00B455D8" w:rsidRPr="00E50844">
        <w:rPr>
          <w:b/>
          <w:bCs/>
          <w:lang w:val="en-US"/>
        </w:rPr>
        <w:t>Performance Indicators</w:t>
      </w:r>
    </w:p>
    <w:p w14:paraId="74949163" w14:textId="77777777" w:rsidR="00B455D8" w:rsidRPr="00E50844" w:rsidRDefault="00B455D8" w:rsidP="002C135A">
      <w:pPr>
        <w:spacing w:before="120" w:after="120"/>
        <w:jc w:val="both"/>
        <w:rPr>
          <w:lang w:val="en-US"/>
        </w:rPr>
      </w:pPr>
      <w:r w:rsidRPr="00E50844">
        <w:rPr>
          <w:lang w:val="en-US"/>
        </w:rPr>
        <w:t>The following set of indicators will be used to evaluate the performance of the evaluation consultant</w:t>
      </w:r>
      <w:r>
        <w:rPr>
          <w:lang w:val="en-US"/>
        </w:rPr>
        <w:t xml:space="preserve"> and the </w:t>
      </w:r>
      <w:r w:rsidRPr="00E50844">
        <w:rPr>
          <w:lang w:val="en-US"/>
        </w:rPr>
        <w:t>:</w:t>
      </w:r>
      <w:r w:rsidRPr="00971B64">
        <w:rPr>
          <w:lang w:val="en-US"/>
        </w:rPr>
        <w:t xml:space="preserve"> </w:t>
      </w:r>
      <w:r>
        <w:rPr>
          <w:lang w:val="en-US"/>
        </w:rPr>
        <w:t>FfD expert</w:t>
      </w:r>
    </w:p>
    <w:p w14:paraId="029A8305" w14:textId="77777777" w:rsidR="00B455D8" w:rsidRPr="00E50844" w:rsidRDefault="00B455D8" w:rsidP="003B672F">
      <w:pPr>
        <w:numPr>
          <w:ilvl w:val="0"/>
          <w:numId w:val="18"/>
        </w:numPr>
        <w:spacing w:before="120" w:after="120"/>
        <w:jc w:val="both"/>
        <w:rPr>
          <w:lang w:val="en-US"/>
        </w:rPr>
      </w:pPr>
      <w:r w:rsidRPr="00E50844">
        <w:rPr>
          <w:lang w:val="en-US"/>
        </w:rPr>
        <w:t>Quality of the outputs, including the draft evaluation report meeting the Secretariat-</w:t>
      </w:r>
      <w:r w:rsidRPr="00E50844">
        <w:rPr>
          <w:lang w:val="en-US"/>
        </w:rPr>
        <w:t xml:space="preserve">wide quality standards in the </w:t>
      </w:r>
      <w:hyperlink r:id="rId92" w:history="1">
        <w:r w:rsidRPr="00E50844">
          <w:rPr>
            <w:rStyle w:val="Hyperlink"/>
            <w:lang w:val="en-US"/>
          </w:rPr>
          <w:t>annotated DA evaluation report template</w:t>
        </w:r>
      </w:hyperlink>
      <w:r w:rsidRPr="00E50844">
        <w:rPr>
          <w:lang w:val="en-US"/>
        </w:rPr>
        <w:t>.</w:t>
      </w:r>
    </w:p>
    <w:p w14:paraId="7CA11AA0" w14:textId="77777777" w:rsidR="00B455D8" w:rsidRPr="00E50844" w:rsidRDefault="00B455D8" w:rsidP="003B672F">
      <w:pPr>
        <w:numPr>
          <w:ilvl w:val="0"/>
          <w:numId w:val="18"/>
        </w:numPr>
        <w:spacing w:before="120" w:after="120"/>
        <w:jc w:val="both"/>
        <w:rPr>
          <w:lang w:val="en-US"/>
        </w:rPr>
      </w:pPr>
      <w:r w:rsidRPr="00E50844">
        <w:rPr>
          <w:lang w:val="en-US"/>
        </w:rPr>
        <w:t>Timely submission of outputs;</w:t>
      </w:r>
    </w:p>
    <w:p w14:paraId="4B8754BA" w14:textId="77777777" w:rsidR="00B455D8" w:rsidRPr="00E50844" w:rsidRDefault="00B455D8" w:rsidP="003B672F">
      <w:pPr>
        <w:numPr>
          <w:ilvl w:val="0"/>
          <w:numId w:val="18"/>
        </w:numPr>
        <w:spacing w:before="120" w:after="120"/>
        <w:jc w:val="both"/>
        <w:rPr>
          <w:lang w:val="en-US"/>
        </w:rPr>
      </w:pPr>
      <w:r w:rsidRPr="00E50844">
        <w:rPr>
          <w:lang w:val="en-US"/>
        </w:rPr>
        <w:t>Receptive/responsive to feedback.</w:t>
      </w:r>
    </w:p>
    <w:p w14:paraId="21CA4401" w14:textId="77777777" w:rsidR="00B455D8" w:rsidRDefault="00B455D8" w:rsidP="002C135A">
      <w:pPr>
        <w:spacing w:before="120" w:after="120"/>
        <w:jc w:val="both"/>
        <w:rPr>
          <w:lang w:val="en-US"/>
        </w:rPr>
      </w:pPr>
      <w:r w:rsidRPr="00E50844">
        <w:rPr>
          <w:lang w:val="en-US"/>
        </w:rPr>
        <w:t>These will set the basis for acceptance of deliverables, satisfactory completion and full payment of fees.</w:t>
      </w:r>
    </w:p>
    <w:p w14:paraId="679FAB6F" w14:textId="5E05FDC7" w:rsidR="00B455D8" w:rsidRPr="00E50844" w:rsidRDefault="00036A1A" w:rsidP="007A50CE">
      <w:pPr>
        <w:spacing w:before="120" w:after="120"/>
        <w:jc w:val="both"/>
        <w:rPr>
          <w:b/>
          <w:bCs/>
          <w:lang w:val="en-US"/>
        </w:rPr>
      </w:pPr>
      <w:r>
        <w:rPr>
          <w:b/>
          <w:bCs/>
          <w:lang w:val="en-US"/>
        </w:rPr>
        <w:t xml:space="preserve">K. </w:t>
      </w:r>
      <w:r w:rsidR="00B455D8" w:rsidRPr="00E50844">
        <w:rPr>
          <w:b/>
          <w:bCs/>
          <w:lang w:val="en-US"/>
        </w:rPr>
        <w:t>Qualifications</w:t>
      </w:r>
    </w:p>
    <w:p w14:paraId="7380AFB1" w14:textId="62D0F2E7" w:rsidR="00B455D8" w:rsidRPr="00036A1A" w:rsidRDefault="00036A1A" w:rsidP="007A50CE">
      <w:pPr>
        <w:spacing w:before="120" w:after="120"/>
        <w:jc w:val="both"/>
        <w:rPr>
          <w:b/>
          <w:bCs/>
          <w:lang w:val="en-US"/>
        </w:rPr>
      </w:pPr>
      <w:r w:rsidRPr="00036A1A">
        <w:rPr>
          <w:b/>
          <w:bCs/>
          <w:lang w:val="en-US"/>
        </w:rPr>
        <w:t xml:space="preserve">K1. </w:t>
      </w:r>
      <w:r w:rsidR="00B455D8" w:rsidRPr="00036A1A">
        <w:rPr>
          <w:b/>
          <w:bCs/>
          <w:lang w:val="en-US"/>
        </w:rPr>
        <w:t>Evaluation consultant</w:t>
      </w:r>
    </w:p>
    <w:p w14:paraId="2AE1087F" w14:textId="77777777" w:rsidR="00B455D8" w:rsidRPr="00E50844" w:rsidRDefault="00B455D8" w:rsidP="003B672F">
      <w:pPr>
        <w:numPr>
          <w:ilvl w:val="0"/>
          <w:numId w:val="19"/>
        </w:numPr>
        <w:spacing w:before="120" w:after="120"/>
        <w:jc w:val="both"/>
        <w:rPr>
          <w:lang w:val="en-US"/>
        </w:rPr>
      </w:pPr>
      <w:r w:rsidRPr="00E50844">
        <w:rPr>
          <w:lang w:val="en-US"/>
        </w:rPr>
        <w:t>Advanced university degree (Master’s degree or equivalent) in business administration, management, economics, development studies or a related field.</w:t>
      </w:r>
    </w:p>
    <w:p w14:paraId="160FB8E5" w14:textId="77777777" w:rsidR="00B455D8" w:rsidRPr="00E50844" w:rsidRDefault="00B455D8" w:rsidP="003B672F">
      <w:pPr>
        <w:numPr>
          <w:ilvl w:val="0"/>
          <w:numId w:val="19"/>
        </w:numPr>
        <w:spacing w:before="120" w:after="120"/>
        <w:jc w:val="both"/>
        <w:rPr>
          <w:lang w:val="en-US"/>
        </w:rPr>
      </w:pPr>
      <w:r w:rsidRPr="00E50844">
        <w:rPr>
          <w:lang w:val="en-US"/>
        </w:rPr>
        <w:t>A minimum of ten years of progressively responsible experience in evaluation, including experience conducting evaluations of capacity development projects in the UN context.</w:t>
      </w:r>
    </w:p>
    <w:p w14:paraId="7434EAFA" w14:textId="77777777" w:rsidR="00B455D8" w:rsidRPr="00E50844" w:rsidRDefault="00B455D8" w:rsidP="003B672F">
      <w:pPr>
        <w:numPr>
          <w:ilvl w:val="0"/>
          <w:numId w:val="19"/>
        </w:numPr>
        <w:spacing w:before="120" w:after="120"/>
        <w:jc w:val="both"/>
        <w:rPr>
          <w:lang w:val="en-US"/>
        </w:rPr>
      </w:pPr>
      <w:r w:rsidRPr="00E50844">
        <w:rPr>
          <w:lang w:val="en-US"/>
        </w:rPr>
        <w:t>Advanced skills in statistical research and analysis.</w:t>
      </w:r>
    </w:p>
    <w:p w14:paraId="2D276518" w14:textId="77777777" w:rsidR="00B455D8" w:rsidRPr="00E50844" w:rsidRDefault="00B455D8" w:rsidP="003B672F">
      <w:pPr>
        <w:numPr>
          <w:ilvl w:val="0"/>
          <w:numId w:val="19"/>
        </w:numPr>
        <w:spacing w:before="120" w:after="120"/>
        <w:jc w:val="both"/>
        <w:rPr>
          <w:lang w:val="en-US"/>
        </w:rPr>
      </w:pPr>
      <w:r w:rsidRPr="00E50844">
        <w:rPr>
          <w:lang w:val="en-US"/>
        </w:rPr>
        <w:t>Demonstrated relevant professional experience in design, management and conduct of evaluation processes with multiple stakeholders, including within the UN system, survey design and implementation, project planning, monitoring and management.</w:t>
      </w:r>
    </w:p>
    <w:p w14:paraId="5B5E0F53" w14:textId="77777777" w:rsidR="00B455D8" w:rsidRPr="00E50844" w:rsidRDefault="00B455D8" w:rsidP="003B672F">
      <w:pPr>
        <w:numPr>
          <w:ilvl w:val="0"/>
          <w:numId w:val="19"/>
        </w:numPr>
        <w:spacing w:before="120" w:after="120"/>
        <w:jc w:val="both"/>
        <w:rPr>
          <w:lang w:val="en-US"/>
        </w:rPr>
      </w:pPr>
      <w:r w:rsidRPr="00E50844">
        <w:rPr>
          <w:lang w:val="en-US"/>
        </w:rPr>
        <w:t>Demonstrated methodological knowledge of evaluations, including quantitative and qualitative data collection and analysis for end-of-cycle project evaluations.</w:t>
      </w:r>
    </w:p>
    <w:p w14:paraId="427ED98A" w14:textId="77777777" w:rsidR="00B455D8" w:rsidRPr="00E50844" w:rsidRDefault="00B455D8" w:rsidP="003B672F">
      <w:pPr>
        <w:numPr>
          <w:ilvl w:val="0"/>
          <w:numId w:val="19"/>
        </w:numPr>
        <w:spacing w:before="120" w:after="120"/>
        <w:jc w:val="both"/>
        <w:rPr>
          <w:lang w:val="en-US"/>
        </w:rPr>
      </w:pPr>
      <w:r w:rsidRPr="00E50844">
        <w:rPr>
          <w:lang w:val="en-US"/>
        </w:rPr>
        <w:t>Possess a mix of evaluation skills and technical or sectoral/thematic knowledge relevant to the evaluation.</w:t>
      </w:r>
    </w:p>
    <w:p w14:paraId="176C5CAD" w14:textId="77777777" w:rsidR="00B455D8" w:rsidRPr="00E50844" w:rsidRDefault="00B455D8" w:rsidP="003B672F">
      <w:pPr>
        <w:numPr>
          <w:ilvl w:val="0"/>
          <w:numId w:val="19"/>
        </w:numPr>
        <w:spacing w:before="120" w:after="120"/>
        <w:jc w:val="both"/>
        <w:rPr>
          <w:lang w:val="en-US"/>
        </w:rPr>
      </w:pPr>
      <w:r w:rsidRPr="00E50844">
        <w:rPr>
          <w:lang w:val="en-US"/>
        </w:rPr>
        <w:t>Demonstrated knowledge and expertise in the areas of financing for sustainable development.</w:t>
      </w:r>
    </w:p>
    <w:p w14:paraId="332C0EA6" w14:textId="77777777" w:rsidR="00B455D8" w:rsidRPr="00E50844" w:rsidRDefault="00B455D8" w:rsidP="003B672F">
      <w:pPr>
        <w:numPr>
          <w:ilvl w:val="0"/>
          <w:numId w:val="19"/>
        </w:numPr>
        <w:spacing w:before="120" w:after="120"/>
        <w:jc w:val="both"/>
        <w:rPr>
          <w:lang w:val="en-US"/>
        </w:rPr>
      </w:pPr>
      <w:r w:rsidRPr="00E50844">
        <w:rPr>
          <w:lang w:val="en-US"/>
        </w:rPr>
        <w:t>Fluent in written and spoken English. Knowledge also of one or more of the following languages would be an asset – Spanish, French, Arabic, Russian.</w:t>
      </w:r>
    </w:p>
    <w:p w14:paraId="076115E1" w14:textId="77777777" w:rsidR="00036A1A" w:rsidRDefault="00036A1A">
      <w:pPr>
        <w:rPr>
          <w:b/>
          <w:bCs/>
          <w:u w:val="single"/>
          <w:lang w:val="en-US"/>
        </w:rPr>
      </w:pPr>
      <w:r>
        <w:rPr>
          <w:b/>
          <w:bCs/>
          <w:u w:val="single"/>
          <w:lang w:val="en-US"/>
        </w:rPr>
        <w:br w:type="page"/>
      </w:r>
    </w:p>
    <w:p w14:paraId="3C3AB9D1" w14:textId="6E8F37EB" w:rsidR="00B455D8" w:rsidRPr="00036A1A" w:rsidRDefault="00036A1A" w:rsidP="007A50CE">
      <w:pPr>
        <w:spacing w:before="120" w:after="120"/>
        <w:jc w:val="both"/>
        <w:rPr>
          <w:b/>
          <w:bCs/>
          <w:lang w:val="en-US"/>
        </w:rPr>
      </w:pPr>
      <w:r w:rsidRPr="00036A1A">
        <w:rPr>
          <w:b/>
          <w:bCs/>
          <w:lang w:val="en-US"/>
        </w:rPr>
        <w:lastRenderedPageBreak/>
        <w:t xml:space="preserve">L. </w:t>
      </w:r>
      <w:r w:rsidR="00B455D8" w:rsidRPr="00036A1A">
        <w:rPr>
          <w:b/>
          <w:bCs/>
          <w:lang w:val="en-US"/>
        </w:rPr>
        <w:t>FfD expert</w:t>
      </w:r>
    </w:p>
    <w:p w14:paraId="33F753A7" w14:textId="5FFF36A4" w:rsidR="00B455D8" w:rsidRPr="00E50844" w:rsidRDefault="00B455D8" w:rsidP="003B672F">
      <w:pPr>
        <w:numPr>
          <w:ilvl w:val="0"/>
          <w:numId w:val="19"/>
        </w:numPr>
        <w:spacing w:before="120" w:after="120"/>
        <w:jc w:val="both"/>
        <w:rPr>
          <w:lang w:val="en-US"/>
        </w:rPr>
      </w:pPr>
      <w:r w:rsidRPr="00E50844">
        <w:rPr>
          <w:lang w:val="en-US"/>
        </w:rPr>
        <w:t>Advanced university degree in</w:t>
      </w:r>
      <w:r>
        <w:rPr>
          <w:lang w:val="en-US"/>
        </w:rPr>
        <w:t xml:space="preserve"> </w:t>
      </w:r>
      <w:r w:rsidRPr="00E50844">
        <w:rPr>
          <w:lang w:val="en-US"/>
        </w:rPr>
        <w:t>economics, development studies</w:t>
      </w:r>
      <w:r>
        <w:rPr>
          <w:lang w:val="en-US"/>
        </w:rPr>
        <w:t xml:space="preserve">, international relations, </w:t>
      </w:r>
      <w:r w:rsidR="00192ABB">
        <w:rPr>
          <w:lang w:val="en-US"/>
        </w:rPr>
        <w:t>political</w:t>
      </w:r>
      <w:r>
        <w:rPr>
          <w:lang w:val="en-US"/>
        </w:rPr>
        <w:t xml:space="preserve"> science or other relevant academic discipline. </w:t>
      </w:r>
    </w:p>
    <w:p w14:paraId="32510782" w14:textId="77777777" w:rsidR="00B455D8" w:rsidRPr="00E50844" w:rsidRDefault="00B455D8" w:rsidP="003B672F">
      <w:pPr>
        <w:numPr>
          <w:ilvl w:val="0"/>
          <w:numId w:val="19"/>
        </w:numPr>
        <w:spacing w:before="120" w:after="120"/>
        <w:jc w:val="both"/>
        <w:rPr>
          <w:lang w:val="en-US"/>
        </w:rPr>
      </w:pPr>
      <w:r w:rsidRPr="00E50844">
        <w:rPr>
          <w:lang w:val="en-US"/>
        </w:rPr>
        <w:t xml:space="preserve">A minimum of </w:t>
      </w:r>
      <w:r>
        <w:rPr>
          <w:lang w:val="en-US"/>
        </w:rPr>
        <w:t>eight</w:t>
      </w:r>
      <w:r w:rsidRPr="00E50844">
        <w:rPr>
          <w:lang w:val="en-US"/>
        </w:rPr>
        <w:t xml:space="preserve"> years of experience in </w:t>
      </w:r>
      <w:r>
        <w:rPr>
          <w:lang w:val="en-US"/>
        </w:rPr>
        <w:t xml:space="preserve">financing policy and analysis, particularly in a </w:t>
      </w:r>
      <w:r w:rsidRPr="00E50844">
        <w:rPr>
          <w:lang w:val="en-US"/>
        </w:rPr>
        <w:t>development context.</w:t>
      </w:r>
    </w:p>
    <w:p w14:paraId="6999D7E5" w14:textId="77777777" w:rsidR="00B455D8" w:rsidRPr="00E50844" w:rsidRDefault="00B455D8" w:rsidP="003B672F">
      <w:pPr>
        <w:numPr>
          <w:ilvl w:val="0"/>
          <w:numId w:val="19"/>
        </w:numPr>
        <w:spacing w:before="120" w:after="120"/>
        <w:jc w:val="both"/>
        <w:rPr>
          <w:lang w:val="en-US"/>
        </w:rPr>
      </w:pPr>
      <w:r>
        <w:rPr>
          <w:lang w:val="en-US"/>
        </w:rPr>
        <w:t xml:space="preserve">Experience in advising countries and/ or developing guidance on integrated approaches to development financing </w:t>
      </w:r>
      <w:proofErr w:type="gramStart"/>
      <w:r>
        <w:rPr>
          <w:lang w:val="en-US"/>
        </w:rPr>
        <w:t>desirable</w:t>
      </w:r>
      <w:proofErr w:type="gramEnd"/>
      <w:r w:rsidRPr="00E50844">
        <w:rPr>
          <w:lang w:val="en-US"/>
        </w:rPr>
        <w:t>.</w:t>
      </w:r>
    </w:p>
    <w:p w14:paraId="4DFC6BF2" w14:textId="77777777" w:rsidR="00B455D8" w:rsidRPr="00E50844" w:rsidRDefault="00B455D8" w:rsidP="003B672F">
      <w:pPr>
        <w:numPr>
          <w:ilvl w:val="0"/>
          <w:numId w:val="19"/>
        </w:numPr>
        <w:spacing w:before="120" w:after="120"/>
        <w:jc w:val="both"/>
        <w:rPr>
          <w:lang w:val="en-US"/>
        </w:rPr>
      </w:pPr>
      <w:r>
        <w:rPr>
          <w:lang w:val="en-US"/>
        </w:rPr>
        <w:t>Experience in preparing knowledge products, publications or reports related to financing for sustainable development, INFFs, or similar topics</w:t>
      </w:r>
      <w:r w:rsidRPr="00E50844">
        <w:rPr>
          <w:lang w:val="en-US"/>
        </w:rPr>
        <w:t>.</w:t>
      </w:r>
    </w:p>
    <w:p w14:paraId="67C5F123" w14:textId="77777777" w:rsidR="00B455D8" w:rsidRPr="00E50844" w:rsidRDefault="00B455D8" w:rsidP="003B672F">
      <w:pPr>
        <w:numPr>
          <w:ilvl w:val="0"/>
          <w:numId w:val="19"/>
        </w:numPr>
        <w:spacing w:before="120" w:after="120"/>
        <w:jc w:val="both"/>
        <w:rPr>
          <w:lang w:val="en-US"/>
        </w:rPr>
      </w:pPr>
      <w:r>
        <w:rPr>
          <w:lang w:val="en-US"/>
        </w:rPr>
        <w:t>Strong analytical and conceptual skills</w:t>
      </w:r>
      <w:r w:rsidRPr="00E50844">
        <w:rPr>
          <w:lang w:val="en-US"/>
        </w:rPr>
        <w:t>.</w:t>
      </w:r>
    </w:p>
    <w:p w14:paraId="2FC0BDD5" w14:textId="77777777" w:rsidR="00B455D8" w:rsidRPr="00E50844" w:rsidRDefault="00B455D8" w:rsidP="003B672F">
      <w:pPr>
        <w:numPr>
          <w:ilvl w:val="0"/>
          <w:numId w:val="19"/>
        </w:numPr>
        <w:spacing w:before="120" w:after="120"/>
        <w:jc w:val="both"/>
        <w:rPr>
          <w:lang w:val="en-US"/>
        </w:rPr>
      </w:pPr>
      <w:r>
        <w:rPr>
          <w:lang w:val="en-US"/>
        </w:rPr>
        <w:t>Excellent drafting and communication abilities</w:t>
      </w:r>
      <w:r w:rsidRPr="00E50844">
        <w:rPr>
          <w:lang w:val="en-US"/>
        </w:rPr>
        <w:t>.</w:t>
      </w:r>
    </w:p>
    <w:p w14:paraId="103F605C" w14:textId="77777777" w:rsidR="00B455D8" w:rsidRPr="00E50844" w:rsidRDefault="00B455D8" w:rsidP="003B672F">
      <w:pPr>
        <w:numPr>
          <w:ilvl w:val="0"/>
          <w:numId w:val="19"/>
        </w:numPr>
        <w:spacing w:before="120" w:after="120"/>
        <w:jc w:val="both"/>
        <w:rPr>
          <w:lang w:val="en-US"/>
        </w:rPr>
      </w:pPr>
      <w:r w:rsidRPr="00E50844">
        <w:rPr>
          <w:lang w:val="en-US"/>
        </w:rPr>
        <w:t>Fluen</w:t>
      </w:r>
      <w:r>
        <w:rPr>
          <w:lang w:val="en-US"/>
        </w:rPr>
        <w:t xml:space="preserve">cy </w:t>
      </w:r>
      <w:r w:rsidRPr="00E50844">
        <w:rPr>
          <w:lang w:val="en-US"/>
        </w:rPr>
        <w:t>in English.</w:t>
      </w:r>
    </w:p>
    <w:p w14:paraId="0EE6E913" w14:textId="77777777" w:rsidR="00B455D8" w:rsidRPr="00E50844" w:rsidRDefault="00B455D8" w:rsidP="002B7222">
      <w:pPr>
        <w:spacing w:before="240" w:after="120"/>
        <w:jc w:val="both"/>
        <w:rPr>
          <w:b/>
          <w:bCs/>
          <w:lang w:val="en-US"/>
        </w:rPr>
      </w:pPr>
      <w:r w:rsidRPr="00E50844">
        <w:rPr>
          <w:b/>
          <w:bCs/>
          <w:lang w:val="en-US"/>
        </w:rPr>
        <w:t>Supervisor</w:t>
      </w:r>
    </w:p>
    <w:p w14:paraId="4B882D2F" w14:textId="77777777" w:rsidR="00B455D8" w:rsidRPr="00E50844" w:rsidRDefault="00B455D8" w:rsidP="002C135A">
      <w:pPr>
        <w:spacing w:before="120" w:after="120"/>
        <w:jc w:val="both"/>
        <w:rPr>
          <w:lang w:val="en-US"/>
        </w:rPr>
      </w:pPr>
      <w:r w:rsidRPr="00E50844">
        <w:rPr>
          <w:lang w:val="en-US"/>
        </w:rPr>
        <w:t>Mr. Peter Chowla</w:t>
      </w:r>
    </w:p>
    <w:p w14:paraId="423A2F27" w14:textId="77777777" w:rsidR="00B455D8" w:rsidRDefault="00B455D8" w:rsidP="002C135A">
      <w:pPr>
        <w:spacing w:before="120" w:after="120"/>
        <w:jc w:val="both"/>
        <w:rPr>
          <w:lang w:val="en-US"/>
        </w:rPr>
      </w:pPr>
      <w:r w:rsidRPr="00E50844">
        <w:rPr>
          <w:lang w:val="en-US"/>
        </w:rPr>
        <w:t>Senior Economic Affairs Officer</w:t>
      </w:r>
    </w:p>
    <w:p w14:paraId="4D2FC528" w14:textId="77777777" w:rsidR="00B455D8" w:rsidRDefault="00B455D8" w:rsidP="002C135A">
      <w:pPr>
        <w:spacing w:before="120" w:after="120"/>
        <w:jc w:val="both"/>
        <w:rPr>
          <w:lang w:val="en-US"/>
        </w:rPr>
      </w:pPr>
      <w:r w:rsidRPr="00E50844">
        <w:rPr>
          <w:lang w:val="en-US"/>
        </w:rPr>
        <w:t>Policy Analysis and Development Branch</w:t>
      </w:r>
    </w:p>
    <w:p w14:paraId="3CAB6F24" w14:textId="77777777" w:rsidR="00B455D8" w:rsidRDefault="00B455D8" w:rsidP="002C135A">
      <w:pPr>
        <w:spacing w:before="120" w:after="120"/>
        <w:jc w:val="both"/>
        <w:rPr>
          <w:lang w:val="en-US"/>
        </w:rPr>
      </w:pPr>
      <w:r>
        <w:rPr>
          <w:lang w:val="en-US"/>
        </w:rPr>
        <w:t>FSDO/</w:t>
      </w:r>
      <w:r w:rsidRPr="00E50844">
        <w:rPr>
          <w:lang w:val="en-US"/>
        </w:rPr>
        <w:t xml:space="preserve">DESA </w:t>
      </w:r>
    </w:p>
    <w:p w14:paraId="17D3893A" w14:textId="77777777" w:rsidR="00B455D8" w:rsidRPr="00E50844" w:rsidRDefault="00B455D8" w:rsidP="002C135A">
      <w:pPr>
        <w:spacing w:before="120" w:after="120"/>
        <w:jc w:val="both"/>
        <w:rPr>
          <w:lang w:val="en-US"/>
        </w:rPr>
      </w:pPr>
      <w:hyperlink r:id="rId93" w:history="1">
        <w:r w:rsidRPr="00E50844">
          <w:rPr>
            <w:rStyle w:val="Hyperlink"/>
            <w:lang w:val="en-US"/>
          </w:rPr>
          <w:t>chowla@un.org</w:t>
        </w:r>
      </w:hyperlink>
    </w:p>
    <w:p w14:paraId="24F12ACF" w14:textId="24F5D6A5" w:rsidR="001D6108" w:rsidRPr="000F0763" w:rsidRDefault="001D6108" w:rsidP="001D6108">
      <w:pPr>
        <w:pStyle w:val="BodyText"/>
      </w:pPr>
    </w:p>
    <w:p w14:paraId="69F35FEE" w14:textId="77777777" w:rsidR="005151BB" w:rsidRDefault="005151BB" w:rsidP="0057628A">
      <w:pPr>
        <w:rPr>
          <w:b/>
          <w:color w:val="FFFFFF" w:themeColor="background1"/>
        </w:rPr>
        <w:sectPr w:rsidR="005151BB" w:rsidSect="00F666A1">
          <w:type w:val="continuous"/>
          <w:pgSz w:w="12240" w:h="15840" w:code="1"/>
          <w:pgMar w:top="1276" w:right="1276" w:bottom="1588" w:left="1276" w:header="720" w:footer="720" w:gutter="0"/>
          <w:cols w:num="2" w:space="397"/>
          <w:docGrid w:linePitch="360"/>
        </w:sectPr>
      </w:pPr>
    </w:p>
    <w:p w14:paraId="7628296A" w14:textId="77777777" w:rsidR="000F0763" w:rsidRDefault="000F0763">
      <w:r>
        <w:rPr>
          <w:b/>
        </w:rPr>
        <w:br w:type="page"/>
      </w:r>
    </w:p>
    <w:p w14:paraId="4F9A4129" w14:textId="15A8EB36" w:rsidR="0096030F" w:rsidRDefault="006C0A7E" w:rsidP="006C0A7E">
      <w:pPr>
        <w:pStyle w:val="Heading9"/>
      </w:pPr>
      <w:bookmarkStart w:id="57" w:name="_Toc210730354"/>
      <w:r w:rsidRPr="006B7EFB">
        <w:lastRenderedPageBreak/>
        <w:t xml:space="preserve">Annex 2 </w:t>
      </w:r>
      <w:bookmarkStart w:id="58" w:name="_Hlk181282080"/>
      <w:r w:rsidR="004129D2">
        <w:t xml:space="preserve">Theory of Change/ </w:t>
      </w:r>
      <w:r w:rsidR="00CF47B5" w:rsidRPr="006B7EFB">
        <w:t>Results</w:t>
      </w:r>
      <w:r w:rsidR="007333D6" w:rsidRPr="006B7EFB">
        <w:t xml:space="preserve"> </w:t>
      </w:r>
      <w:r w:rsidR="005A4C06" w:rsidRPr="006B7EFB">
        <w:t>Framework</w:t>
      </w:r>
      <w:bookmarkEnd w:id="57"/>
      <w:r w:rsidR="002E310F">
        <w:t xml:space="preserve"> </w:t>
      </w:r>
    </w:p>
    <w:tbl>
      <w:tblPr>
        <w:tblStyle w:val="BlueTable"/>
        <w:tblW w:w="4997" w:type="pct"/>
        <w:tblInd w:w="3" w:type="dxa"/>
        <w:tblLook w:val="0620" w:firstRow="1" w:lastRow="0" w:firstColumn="0" w:lastColumn="0" w:noHBand="1" w:noVBand="1"/>
      </w:tblPr>
      <w:tblGrid>
        <w:gridCol w:w="1976"/>
        <w:gridCol w:w="2125"/>
        <w:gridCol w:w="3117"/>
        <w:gridCol w:w="2407"/>
        <w:gridCol w:w="41"/>
      </w:tblGrid>
      <w:tr w:rsidR="008506F0" w:rsidRPr="00E43E98" w14:paraId="6BD044C3" w14:textId="77777777" w:rsidTr="008506F0">
        <w:trPr>
          <w:cnfStyle w:val="100000000000" w:firstRow="1" w:lastRow="0" w:firstColumn="0" w:lastColumn="0" w:oddVBand="0" w:evenVBand="0" w:oddHBand="0" w:evenHBand="0" w:firstRowFirstColumn="0" w:firstRowLastColumn="0" w:lastRowFirstColumn="0" w:lastRowLastColumn="0"/>
          <w:tblHeader/>
        </w:trPr>
        <w:tc>
          <w:tcPr>
            <w:tcW w:w="9672" w:type="dxa"/>
            <w:gridSpan w:val="5"/>
          </w:tcPr>
          <w:p w14:paraId="787CEE56" w14:textId="77777777" w:rsidR="008506F0" w:rsidRPr="00E43E98" w:rsidRDefault="008506F0" w:rsidP="002B7B14">
            <w:pPr>
              <w:spacing w:after="120"/>
              <w:rPr>
                <w:sz w:val="22"/>
                <w:szCs w:val="22"/>
              </w:rPr>
            </w:pPr>
            <w:r w:rsidRPr="00E43E98">
              <w:rPr>
                <w:rFonts w:cstheme="minorHAnsi"/>
                <w:smallCaps/>
                <w:sz w:val="22"/>
                <w:szCs w:val="22"/>
              </w:rPr>
              <w:t>objective: to strengthen capacities of selected countries to mobilise and align financing with national sustainable development priorities</w:t>
            </w:r>
          </w:p>
        </w:tc>
      </w:tr>
      <w:tr w:rsidR="00FB6385" w:rsidRPr="00041EA7" w14:paraId="0003986A" w14:textId="77777777" w:rsidTr="002B7B14">
        <w:tblPrEx>
          <w:jc w:val="center"/>
          <w:tblInd w:w="0" w:type="dxa"/>
          <w:tblLook w:val="04A0" w:firstRow="1" w:lastRow="0" w:firstColumn="1" w:lastColumn="0" w:noHBand="0" w:noVBand="1"/>
        </w:tblPrEx>
        <w:trPr>
          <w:gridAfter w:val="1"/>
          <w:cnfStyle w:val="100000000000" w:firstRow="1" w:lastRow="0" w:firstColumn="0" w:lastColumn="0" w:oddVBand="0" w:evenVBand="0" w:oddHBand="0" w:evenHBand="0" w:firstRowFirstColumn="0" w:firstRowLastColumn="0" w:lastRowFirstColumn="0" w:lastRowLastColumn="0"/>
          <w:wAfter w:w="38" w:type="dxa"/>
          <w:tblHeader/>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7E42F1ED" w14:textId="77777777" w:rsidR="00FB6385" w:rsidRDefault="00FB6385" w:rsidP="002B7B14">
            <w:r>
              <w:t>Outcome</w:t>
            </w:r>
          </w:p>
        </w:tc>
        <w:tc>
          <w:tcPr>
            <w:tcW w:w="2126" w:type="dxa"/>
            <w:vMerge w:val="restart"/>
            <w:vAlign w:val="center"/>
          </w:tcPr>
          <w:p w14:paraId="694814AB" w14:textId="77777777" w:rsidR="00FB6385" w:rsidRDefault="00FB6385" w:rsidP="002B7B14">
            <w:pPr>
              <w:jc w:val="center"/>
              <w:cnfStyle w:val="100000000000" w:firstRow="1" w:lastRow="0" w:firstColumn="0" w:lastColumn="0" w:oddVBand="0" w:evenVBand="0" w:oddHBand="0" w:evenHBand="0" w:firstRowFirstColumn="0" w:firstRowLastColumn="0" w:lastRowFirstColumn="0" w:lastRowLastColumn="0"/>
            </w:pPr>
            <w:r>
              <w:t>Indicator</w:t>
            </w:r>
          </w:p>
        </w:tc>
        <w:tc>
          <w:tcPr>
            <w:tcW w:w="5528" w:type="dxa"/>
            <w:gridSpan w:val="2"/>
          </w:tcPr>
          <w:p w14:paraId="0D4DE2D4" w14:textId="77777777" w:rsidR="00FB6385" w:rsidRDefault="00FB6385" w:rsidP="002B7B14">
            <w:pPr>
              <w:jc w:val="center"/>
              <w:cnfStyle w:val="100000000000" w:firstRow="1" w:lastRow="0" w:firstColumn="0" w:lastColumn="0" w:oddVBand="0" w:evenVBand="0" w:oddHBand="0" w:evenHBand="0" w:firstRowFirstColumn="0" w:firstRowLastColumn="0" w:lastRowFirstColumn="0" w:lastRowLastColumn="0"/>
            </w:pPr>
            <w:r>
              <w:t>Status of indicator</w:t>
            </w:r>
          </w:p>
        </w:tc>
      </w:tr>
      <w:tr w:rsidR="00FB6385" w:rsidRPr="00041EA7" w14:paraId="612FA227" w14:textId="77777777" w:rsidTr="002B7B14">
        <w:tblPrEx>
          <w:jc w:val="center"/>
          <w:tblInd w:w="0" w:type="dxa"/>
          <w:tblLook w:val="04A0" w:firstRow="1" w:lastRow="0" w:firstColumn="1" w:lastColumn="0" w:noHBand="0" w:noVBand="1"/>
        </w:tblPrEx>
        <w:trPr>
          <w:gridAfter w:val="1"/>
          <w:cnfStyle w:val="100000000000" w:firstRow="1" w:lastRow="0" w:firstColumn="0" w:lastColumn="0" w:oddVBand="0" w:evenVBand="0" w:oddHBand="0" w:evenHBand="0" w:firstRowFirstColumn="0" w:firstRowLastColumn="0" w:lastRowFirstColumn="0" w:lastRowLastColumn="0"/>
          <w:wAfter w:w="38" w:type="dxa"/>
          <w:tblHeader/>
          <w:jc w:val="center"/>
        </w:trPr>
        <w:tc>
          <w:tcPr>
            <w:cnfStyle w:val="001000000000" w:firstRow="0" w:lastRow="0" w:firstColumn="1" w:lastColumn="0" w:oddVBand="0" w:evenVBand="0" w:oddHBand="0" w:evenHBand="0" w:firstRowFirstColumn="0" w:firstRowLastColumn="0" w:lastRowFirstColumn="0" w:lastRowLastColumn="0"/>
            <w:tcW w:w="1977" w:type="dxa"/>
            <w:vMerge/>
          </w:tcPr>
          <w:p w14:paraId="24FAD33B" w14:textId="77777777" w:rsidR="00FB6385" w:rsidRPr="002628BE" w:rsidRDefault="00FB6385" w:rsidP="002B7B14"/>
        </w:tc>
        <w:tc>
          <w:tcPr>
            <w:tcW w:w="2126" w:type="dxa"/>
            <w:vMerge/>
          </w:tcPr>
          <w:p w14:paraId="4586452B" w14:textId="77777777" w:rsidR="00FB6385" w:rsidRPr="002628BE" w:rsidRDefault="00FB6385" w:rsidP="002B7B14">
            <w:pPr>
              <w:jc w:val="center"/>
              <w:cnfStyle w:val="100000000000" w:firstRow="1" w:lastRow="0" w:firstColumn="0" w:lastColumn="0" w:oddVBand="0" w:evenVBand="0" w:oddHBand="0" w:evenHBand="0" w:firstRowFirstColumn="0" w:firstRowLastColumn="0" w:lastRowFirstColumn="0" w:lastRowLastColumn="0"/>
            </w:pPr>
          </w:p>
        </w:tc>
        <w:tc>
          <w:tcPr>
            <w:tcW w:w="3119" w:type="dxa"/>
          </w:tcPr>
          <w:p w14:paraId="4B1855E7" w14:textId="77777777" w:rsidR="00FB6385" w:rsidRPr="002628BE" w:rsidRDefault="00FB6385" w:rsidP="002B7B14">
            <w:pPr>
              <w:jc w:val="center"/>
              <w:cnfStyle w:val="100000000000" w:firstRow="1" w:lastRow="0" w:firstColumn="0" w:lastColumn="0" w:oddVBand="0" w:evenVBand="0" w:oddHBand="0" w:evenHBand="0" w:firstRowFirstColumn="0" w:firstRowLastColumn="0" w:lastRowFirstColumn="0" w:lastRowLastColumn="0"/>
            </w:pPr>
            <w:r>
              <w:t>Baseline</w:t>
            </w:r>
          </w:p>
        </w:tc>
        <w:tc>
          <w:tcPr>
            <w:tcW w:w="2409" w:type="dxa"/>
          </w:tcPr>
          <w:p w14:paraId="7FA467D0" w14:textId="77777777" w:rsidR="00FB6385" w:rsidRPr="002628BE" w:rsidRDefault="00FB6385" w:rsidP="002B7B14">
            <w:pPr>
              <w:jc w:val="center"/>
              <w:cnfStyle w:val="100000000000" w:firstRow="1" w:lastRow="0" w:firstColumn="0" w:lastColumn="0" w:oddVBand="0" w:evenVBand="0" w:oddHBand="0" w:evenHBand="0" w:firstRowFirstColumn="0" w:firstRowLastColumn="0" w:lastRowFirstColumn="0" w:lastRowLastColumn="0"/>
            </w:pPr>
            <w:r>
              <w:t>Endline</w:t>
            </w:r>
          </w:p>
        </w:tc>
      </w:tr>
      <w:tr w:rsidR="00FB6385" w:rsidRPr="00041EA7" w14:paraId="4283FAEB"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7B6C9B4A" w14:textId="77777777" w:rsidR="00FB6385" w:rsidRPr="00D14369" w:rsidRDefault="00FB6385" w:rsidP="002B7B14">
            <w:pPr>
              <w:rPr>
                <w:b w:val="0"/>
                <w:bCs/>
                <w:sz w:val="16"/>
                <w:szCs w:val="16"/>
              </w:rPr>
            </w:pPr>
            <w:r w:rsidRPr="002F5338">
              <w:rPr>
                <w:sz w:val="16"/>
                <w:szCs w:val="16"/>
              </w:rPr>
              <w:t>OC1:</w:t>
            </w:r>
            <w:r>
              <w:rPr>
                <w:b w:val="0"/>
                <w:bCs/>
                <w:sz w:val="16"/>
                <w:szCs w:val="16"/>
              </w:rPr>
              <w:t xml:space="preserve"> </w:t>
            </w:r>
            <w:r w:rsidRPr="00D14369">
              <w:rPr>
                <w:b w:val="0"/>
                <w:bCs/>
                <w:sz w:val="16"/>
                <w:szCs w:val="16"/>
              </w:rPr>
              <w:t>Strengthened national capacity of target countries in developing financing strategies that align with their national development plans and mitigate the impact of COVID-19</w:t>
            </w:r>
          </w:p>
        </w:tc>
        <w:tc>
          <w:tcPr>
            <w:tcW w:w="2126" w:type="dxa"/>
          </w:tcPr>
          <w:p w14:paraId="108E6005" w14:textId="77777777" w:rsidR="00FB6385" w:rsidRPr="00D14369" w:rsidRDefault="00FB6385"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IA1.1</w:t>
            </w:r>
            <w:r w:rsidRPr="00D14369">
              <w:rPr>
                <w:sz w:val="16"/>
                <w:szCs w:val="16"/>
              </w:rPr>
              <w:t>: Targeted global guidance material is developed and applied in target countries and regions</w:t>
            </w:r>
          </w:p>
        </w:tc>
        <w:tc>
          <w:tcPr>
            <w:tcW w:w="3119" w:type="dxa"/>
          </w:tcPr>
          <w:p w14:paraId="4106564A"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Guidance not yet developed for</w:t>
            </w:r>
            <w:r w:rsidRPr="00BB65D7">
              <w:rPr>
                <w:sz w:val="16"/>
                <w:szCs w:val="16"/>
              </w:rPr>
              <w:t xml:space="preserve"> </w:t>
            </w:r>
            <w:r w:rsidRPr="00E14B32">
              <w:rPr>
                <w:b/>
                <w:bCs/>
                <w:sz w:val="16"/>
                <w:szCs w:val="16"/>
              </w:rPr>
              <w:t xml:space="preserve">two </w:t>
            </w:r>
            <w:r w:rsidRPr="00BB65D7">
              <w:rPr>
                <w:sz w:val="16"/>
                <w:szCs w:val="16"/>
              </w:rPr>
              <w:t>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2B2930BF" w14:textId="77777777" w:rsidR="00FB6385"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663FDD63" w14:textId="77777777" w:rsidR="00FB6385" w:rsidRPr="00BB65D7" w:rsidRDefault="00FB6385"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w:t>
            </w:r>
          </w:p>
          <w:p w14:paraId="3B1CFC2D"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Guidance exists but has not been applied yet </w:t>
            </w:r>
            <w:r w:rsidRPr="00BB65D7">
              <w:rPr>
                <w:sz w:val="16"/>
                <w:szCs w:val="16"/>
              </w:rPr>
              <w:t xml:space="preserve">in </w:t>
            </w:r>
            <w:r w:rsidRPr="00BB65D7">
              <w:rPr>
                <w:b/>
                <w:bCs/>
                <w:sz w:val="16"/>
                <w:szCs w:val="16"/>
              </w:rPr>
              <w:t>seven</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620322B0"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2D5699B3"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6E5320BF" w14:textId="77777777" w:rsidR="00FB6385"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Egypt (UNESCWA)</w:t>
            </w:r>
          </w:p>
          <w:p w14:paraId="061C2C7C" w14:textId="77777777" w:rsidR="00FB6385"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Jordan (UNESCWA)</w:t>
            </w:r>
          </w:p>
          <w:p w14:paraId="01E35682"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097A7B51"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(UNCTAD)</w:t>
            </w:r>
          </w:p>
          <w:p w14:paraId="3AD98DD9" w14:textId="77777777" w:rsidR="00FB6385" w:rsidRDefault="00FB6385"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 (UNCTAD)</w:t>
            </w:r>
          </w:p>
          <w:p w14:paraId="472389E0"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in </w:t>
            </w:r>
            <w:r>
              <w:rPr>
                <w:b/>
                <w:bCs/>
                <w:sz w:val="16"/>
                <w:szCs w:val="16"/>
              </w:rPr>
              <w:t>one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396D2EF1" w14:textId="77777777" w:rsidR="00FB6385" w:rsidRPr="00E14B32"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pPr>
            <w:r>
              <w:rPr>
                <w:sz w:val="16"/>
                <w:szCs w:val="16"/>
              </w:rPr>
              <w:t>Pakistan (UNESCAP)</w:t>
            </w:r>
          </w:p>
        </w:tc>
        <w:tc>
          <w:tcPr>
            <w:tcW w:w="2409" w:type="dxa"/>
          </w:tcPr>
          <w:p w14:paraId="2CAEA1DA" w14:textId="77777777" w:rsidR="00FB6385" w:rsidRPr="00D14369"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Guidance material developed and applied in all target countries</w:t>
            </w:r>
            <w:r>
              <w:rPr>
                <w:sz w:val="16"/>
                <w:szCs w:val="16"/>
              </w:rPr>
              <w:t xml:space="preserve"> and regions</w:t>
            </w:r>
          </w:p>
        </w:tc>
      </w:tr>
      <w:tr w:rsidR="00FB6385" w:rsidRPr="00041EA7" w14:paraId="303B9F3A"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5C3DD13A" w14:textId="77777777" w:rsidR="00FB6385" w:rsidRPr="00D14369" w:rsidRDefault="00FB6385" w:rsidP="002B7B14">
            <w:pPr>
              <w:rPr>
                <w:sz w:val="16"/>
                <w:szCs w:val="16"/>
              </w:rPr>
            </w:pPr>
          </w:p>
        </w:tc>
        <w:tc>
          <w:tcPr>
            <w:tcW w:w="2126" w:type="dxa"/>
          </w:tcPr>
          <w:p w14:paraId="4A907F54" w14:textId="77777777" w:rsidR="00FB6385" w:rsidRPr="00D14369" w:rsidRDefault="00FB6385"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IA1.2:</w:t>
            </w:r>
            <w:r w:rsidRPr="00D14369">
              <w:rPr>
                <w:sz w:val="16"/>
                <w:szCs w:val="16"/>
              </w:rPr>
              <w:t xml:space="preserve"> 80% of participants in national trainings have a sound understanding of the value of INFF in their country context</w:t>
            </w:r>
          </w:p>
        </w:tc>
        <w:tc>
          <w:tcPr>
            <w:tcW w:w="3119" w:type="dxa"/>
          </w:tcPr>
          <w:p w14:paraId="24718A84" w14:textId="77777777" w:rsidR="00FB6385" w:rsidRPr="00D14369"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sz w:val="16"/>
                <w:szCs w:val="16"/>
              </w:rPr>
              <w:t>Not a</w:t>
            </w:r>
            <w:r>
              <w:rPr>
                <w:sz w:val="16"/>
                <w:szCs w:val="16"/>
              </w:rPr>
              <w:t>pplicable</w:t>
            </w:r>
          </w:p>
        </w:tc>
        <w:tc>
          <w:tcPr>
            <w:tcW w:w="2409" w:type="dxa"/>
          </w:tcPr>
          <w:p w14:paraId="32DBAAFE" w14:textId="77777777" w:rsidR="00FB6385" w:rsidRPr="00D14369"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More than 80% of the participants of national INFF inception/ training workshops where surveys were conducted indicated a sound understanding of the value of INFF in their country context</w:t>
            </w:r>
          </w:p>
        </w:tc>
      </w:tr>
      <w:tr w:rsidR="00FB6385" w:rsidRPr="00041EA7" w14:paraId="037C66A3"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7A583C73" w14:textId="77777777" w:rsidR="00FB6385" w:rsidRPr="002628BE" w:rsidRDefault="00FB6385" w:rsidP="002B7B14"/>
        </w:tc>
        <w:tc>
          <w:tcPr>
            <w:tcW w:w="2126" w:type="dxa"/>
          </w:tcPr>
          <w:p w14:paraId="2613F374" w14:textId="77777777" w:rsidR="00FB6385" w:rsidRPr="00BB65D7" w:rsidRDefault="00FB6385"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BB65D7">
              <w:rPr>
                <w:b/>
                <w:bCs/>
                <w:sz w:val="16"/>
                <w:szCs w:val="16"/>
              </w:rPr>
              <w:t>IA1.3:</w:t>
            </w:r>
            <w:r w:rsidRPr="00BB65D7">
              <w:rPr>
                <w:sz w:val="16"/>
                <w:szCs w:val="16"/>
              </w:rPr>
              <w:t xml:space="preserve"> 10 target countries developed and commenced implementation of INFF methodology for their country</w:t>
            </w:r>
          </w:p>
          <w:p w14:paraId="666F5D5D" w14:textId="77777777" w:rsidR="00FB6385" w:rsidRPr="00BB65D7" w:rsidRDefault="00FB6385" w:rsidP="002B7B14">
            <w:pPr>
              <w:pStyle w:val="Normal-sizedTableBullets"/>
              <w:numPr>
                <w:ilvl w:val="0"/>
                <w:numId w:val="0"/>
              </w:numPr>
              <w:spacing w:after="60"/>
              <w:ind w:left="170" w:hanging="170"/>
              <w:cnfStyle w:val="000000000000" w:firstRow="0" w:lastRow="0" w:firstColumn="0" w:lastColumn="0" w:oddVBand="0" w:evenVBand="0" w:oddHBand="0" w:evenHBand="0" w:firstRowFirstColumn="0" w:firstRowLastColumn="0" w:lastRowFirstColumn="0" w:lastRowLastColumn="0"/>
              <w:rPr>
                <w:sz w:val="16"/>
                <w:szCs w:val="16"/>
              </w:rPr>
            </w:pPr>
          </w:p>
        </w:tc>
        <w:tc>
          <w:tcPr>
            <w:tcW w:w="3119" w:type="dxa"/>
          </w:tcPr>
          <w:p w14:paraId="595DA9C7"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No capacity/ policies/ systems/ processes in place in focus area in </w:t>
            </w:r>
            <w:r w:rsidRPr="00BB65D7">
              <w:rPr>
                <w:b/>
                <w:bCs/>
                <w:sz w:val="16"/>
                <w:szCs w:val="16"/>
              </w:rPr>
              <w:t>four</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79470DD5"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35EA9CB7"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 UNCTAD)</w:t>
            </w:r>
          </w:p>
          <w:p w14:paraId="048AE789"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Egypt</w:t>
            </w:r>
            <w:r>
              <w:rPr>
                <w:sz w:val="16"/>
                <w:szCs w:val="16"/>
              </w:rPr>
              <w:t xml:space="preserve"> (UNESCWA)</w:t>
            </w:r>
          </w:p>
          <w:p w14:paraId="5FE11815"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Jordan</w:t>
            </w:r>
            <w:r>
              <w:rPr>
                <w:sz w:val="16"/>
                <w:szCs w:val="16"/>
              </w:rPr>
              <w:t xml:space="preserve"> (UNESCWA)</w:t>
            </w:r>
          </w:p>
          <w:p w14:paraId="5965C900" w14:textId="77777777" w:rsidR="00FB6385" w:rsidRPr="00BB65D7" w:rsidRDefault="00FB6385"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30DCEA01"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Some</w:t>
            </w:r>
            <w:r w:rsidRPr="006E6E55">
              <w:rPr>
                <w:sz w:val="16"/>
                <w:szCs w:val="16"/>
              </w:rPr>
              <w:t xml:space="preserve"> capacity/ policies/ systems/ processes in place in focus area, but scope remains to strengthen them and/or enhance their integration</w:t>
            </w:r>
            <w:r w:rsidRPr="00BB65D7">
              <w:rPr>
                <w:sz w:val="16"/>
                <w:szCs w:val="16"/>
              </w:rPr>
              <w:t xml:space="preserve"> in </w:t>
            </w:r>
            <w:r w:rsidRPr="00BB65D7">
              <w:rPr>
                <w:b/>
                <w:bCs/>
                <w:sz w:val="16"/>
                <w:szCs w:val="16"/>
              </w:rPr>
              <w:t>seven</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2609FC82"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 UNCTAD)</w:t>
            </w:r>
          </w:p>
          <w:p w14:paraId="6828E064"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lastRenderedPageBreak/>
              <w:t>Kyrgyzstan</w:t>
            </w:r>
            <w:r>
              <w:rPr>
                <w:sz w:val="16"/>
                <w:szCs w:val="16"/>
              </w:rPr>
              <w:t xml:space="preserve"> </w:t>
            </w:r>
            <w:r w:rsidRPr="00BB65D7">
              <w:rPr>
                <w:sz w:val="16"/>
                <w:szCs w:val="16"/>
              </w:rPr>
              <w:t>(UNECE; UNCTAD)</w:t>
            </w:r>
          </w:p>
          <w:p w14:paraId="03353C04"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2C4C1735" w14:textId="77777777" w:rsidR="00FB6385" w:rsidRPr="00BB65D7"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 UNCTAD)</w:t>
            </w:r>
          </w:p>
          <w:p w14:paraId="7E23171B" w14:textId="77777777" w:rsidR="00FB6385" w:rsidRPr="00BB65D7" w:rsidRDefault="00FB6385"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233A6943"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w:t>
            </w:r>
            <w:r w:rsidRPr="00BB65D7">
              <w:rPr>
                <w:sz w:val="16"/>
                <w:szCs w:val="16"/>
              </w:rPr>
              <w:t xml:space="preserve">in </w:t>
            </w:r>
            <w:r>
              <w:rPr>
                <w:b/>
                <w:bCs/>
                <w:sz w:val="16"/>
                <w:szCs w:val="16"/>
              </w:rPr>
              <w:t>o</w:t>
            </w:r>
            <w:r w:rsidRPr="00BB65D7">
              <w:rPr>
                <w:b/>
                <w:bCs/>
                <w:sz w:val="16"/>
                <w:szCs w:val="16"/>
              </w:rPr>
              <w:t>n</w:t>
            </w:r>
            <w:r>
              <w:rPr>
                <w:b/>
                <w:bCs/>
                <w:sz w:val="16"/>
                <w:szCs w:val="16"/>
              </w:rPr>
              <w:t>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12E4EBF6" w14:textId="77777777" w:rsidR="00FB6385" w:rsidRPr="00D14369" w:rsidRDefault="00FB6385"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w:t>
            </w:r>
            <w:r w:rsidRPr="00BB65D7">
              <w:rPr>
                <w:sz w:val="16"/>
                <w:szCs w:val="16"/>
              </w:rPr>
              <w:t xml:space="preserve"> (UNE</w:t>
            </w:r>
            <w:r>
              <w:rPr>
                <w:sz w:val="16"/>
                <w:szCs w:val="16"/>
              </w:rPr>
              <w:t>SCAP</w:t>
            </w:r>
            <w:r w:rsidRPr="00BB65D7">
              <w:rPr>
                <w:sz w:val="16"/>
                <w:szCs w:val="16"/>
              </w:rPr>
              <w:t>; UNCTAD)</w:t>
            </w:r>
          </w:p>
        </w:tc>
        <w:tc>
          <w:tcPr>
            <w:tcW w:w="2409" w:type="dxa"/>
          </w:tcPr>
          <w:p w14:paraId="733CEDD1" w14:textId="77777777" w:rsidR="00FB6385" w:rsidRPr="00BB65D7" w:rsidRDefault="00FB6385"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lastRenderedPageBreak/>
              <w:t>Achieved:</w:t>
            </w:r>
            <w:r>
              <w:rPr>
                <w:b/>
                <w:bCs/>
                <w:sz w:val="16"/>
                <w:szCs w:val="16"/>
              </w:rPr>
              <w:t xml:space="preserve"> </w:t>
            </w:r>
            <w:r w:rsidRPr="00BB65D7">
              <w:rPr>
                <w:sz w:val="16"/>
                <w:szCs w:val="16"/>
              </w:rPr>
              <w:t xml:space="preserve">Capacity and integrated policies/ systems/ processes in place </w:t>
            </w:r>
            <w:r>
              <w:rPr>
                <w:sz w:val="16"/>
                <w:szCs w:val="16"/>
              </w:rPr>
              <w:t xml:space="preserve">in focus area </w:t>
            </w:r>
            <w:r w:rsidRPr="00BB65D7">
              <w:rPr>
                <w:sz w:val="16"/>
                <w:szCs w:val="16"/>
              </w:rPr>
              <w:t>in all target countries</w:t>
            </w:r>
          </w:p>
        </w:tc>
      </w:tr>
      <w:tr w:rsidR="005658B0" w:rsidRPr="00041EA7" w14:paraId="4B5774E4"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restart"/>
            <w:vAlign w:val="center"/>
          </w:tcPr>
          <w:p w14:paraId="6565CAD8" w14:textId="5456647F" w:rsidR="005658B0" w:rsidRPr="00B15CA0" w:rsidRDefault="005658B0" w:rsidP="002B7B14">
            <w:pPr>
              <w:rPr>
                <w:b w:val="0"/>
                <w:bCs/>
                <w:sz w:val="16"/>
                <w:szCs w:val="16"/>
              </w:rPr>
            </w:pPr>
            <w:r w:rsidRPr="00B15CA0">
              <w:rPr>
                <w:sz w:val="16"/>
                <w:szCs w:val="16"/>
              </w:rPr>
              <w:t xml:space="preserve">OC1: </w:t>
            </w:r>
            <w:r w:rsidRPr="00B15CA0">
              <w:rPr>
                <w:b w:val="0"/>
                <w:bCs/>
                <w:sz w:val="16"/>
                <w:szCs w:val="16"/>
              </w:rPr>
              <w:t xml:space="preserve">Increased </w:t>
            </w:r>
            <w:r w:rsidR="006321A6">
              <w:rPr>
                <w:b w:val="0"/>
                <w:bCs/>
                <w:sz w:val="16"/>
                <w:szCs w:val="16"/>
              </w:rPr>
              <w:t>knowledge-exchange</w:t>
            </w:r>
            <w:r w:rsidRPr="00B15CA0">
              <w:rPr>
                <w:b w:val="0"/>
                <w:bCs/>
                <w:sz w:val="16"/>
                <w:szCs w:val="16"/>
              </w:rPr>
              <w:t xml:space="preserve"> and </w:t>
            </w:r>
            <w:r w:rsidR="006321A6">
              <w:rPr>
                <w:b w:val="0"/>
                <w:bCs/>
                <w:sz w:val="16"/>
                <w:szCs w:val="16"/>
              </w:rPr>
              <w:t>peer-learning</w:t>
            </w:r>
            <w:r w:rsidRPr="00B15CA0">
              <w:rPr>
                <w:b w:val="0"/>
                <w:bCs/>
                <w:sz w:val="16"/>
                <w:szCs w:val="16"/>
              </w:rPr>
              <w:t xml:space="preserve"> on applying INFF concepts among target countries and inform wider implementation efforts of INFFs in other countries and UN support to this effect</w:t>
            </w:r>
          </w:p>
        </w:tc>
        <w:tc>
          <w:tcPr>
            <w:tcW w:w="2126" w:type="dxa"/>
          </w:tcPr>
          <w:p w14:paraId="0D23B0CA" w14:textId="77777777" w:rsidR="005658B0" w:rsidRPr="00D14369" w:rsidRDefault="005658B0"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w:t>
            </w:r>
            <w:r>
              <w:rPr>
                <w:b/>
                <w:bCs/>
                <w:sz w:val="16"/>
                <w:szCs w:val="16"/>
              </w:rPr>
              <w:t>2</w:t>
            </w:r>
            <w:r w:rsidRPr="00D14369">
              <w:rPr>
                <w:b/>
                <w:bCs/>
                <w:sz w:val="16"/>
                <w:szCs w:val="16"/>
              </w:rPr>
              <w:t>.1</w:t>
            </w:r>
            <w:r w:rsidRPr="00D14369">
              <w:rPr>
                <w:sz w:val="16"/>
                <w:szCs w:val="16"/>
              </w:rPr>
              <w:t xml:space="preserve">: </w:t>
            </w:r>
            <w:r w:rsidRPr="00B15CA0">
              <w:rPr>
                <w:sz w:val="16"/>
                <w:szCs w:val="16"/>
              </w:rPr>
              <w:t>75% of participants submitted positive end-of-workshop surveys from the exchange with peer countries</w:t>
            </w:r>
          </w:p>
        </w:tc>
        <w:tc>
          <w:tcPr>
            <w:tcW w:w="3119" w:type="dxa"/>
          </w:tcPr>
          <w:p w14:paraId="2D41F393" w14:textId="77777777" w:rsidR="005658B0" w:rsidRPr="00286E7F"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Not applicable</w:t>
            </w:r>
          </w:p>
        </w:tc>
        <w:tc>
          <w:tcPr>
            <w:tcW w:w="2409" w:type="dxa"/>
          </w:tcPr>
          <w:p w14:paraId="562A1F19" w14:textId="77777777" w:rsidR="005658B0"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More than </w:t>
            </w:r>
            <w:r>
              <w:rPr>
                <w:sz w:val="16"/>
                <w:szCs w:val="16"/>
              </w:rPr>
              <w:t>75</w:t>
            </w:r>
            <w:r w:rsidRPr="00D14369">
              <w:rPr>
                <w:sz w:val="16"/>
                <w:szCs w:val="16"/>
              </w:rPr>
              <w:t xml:space="preserve">% of the participants of </w:t>
            </w:r>
            <w:r>
              <w:rPr>
                <w:sz w:val="16"/>
                <w:szCs w:val="16"/>
              </w:rPr>
              <w:t xml:space="preserve">regional workshops </w:t>
            </w:r>
            <w:r w:rsidRPr="00D14369">
              <w:rPr>
                <w:sz w:val="16"/>
                <w:szCs w:val="16"/>
              </w:rPr>
              <w:t>where surveys were conducted</w:t>
            </w:r>
            <w:r>
              <w:rPr>
                <w:sz w:val="16"/>
                <w:szCs w:val="16"/>
              </w:rPr>
              <w:t xml:space="preserve"> submitted positive end-of-workshop surveys on the exchange with peer countries </w:t>
            </w:r>
          </w:p>
          <w:p w14:paraId="28F7F3FA" w14:textId="77777777" w:rsidR="005658B0" w:rsidRPr="00F37C80" w:rsidRDefault="005658B0" w:rsidP="002B7B14">
            <w:pPr>
              <w:pStyle w:val="Normal-sizedTableBullets"/>
              <w:numPr>
                <w:ilvl w:val="0"/>
                <w:numId w:val="0"/>
              </w:numPr>
              <w:ind w:left="170"/>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(Similar positive review were submitted at the end of national workshops)</w:t>
            </w:r>
          </w:p>
        </w:tc>
      </w:tr>
      <w:tr w:rsidR="005658B0" w:rsidRPr="00041EA7" w14:paraId="306E1BCA"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752C3C12" w14:textId="77777777" w:rsidR="005658B0" w:rsidRPr="00D14369" w:rsidRDefault="005658B0" w:rsidP="002B7B14">
            <w:pPr>
              <w:rPr>
                <w:sz w:val="16"/>
                <w:szCs w:val="16"/>
              </w:rPr>
            </w:pPr>
          </w:p>
        </w:tc>
        <w:tc>
          <w:tcPr>
            <w:tcW w:w="2126" w:type="dxa"/>
          </w:tcPr>
          <w:p w14:paraId="3D09784C" w14:textId="77777777" w:rsidR="005658B0" w:rsidRPr="00D14369" w:rsidRDefault="005658B0" w:rsidP="002B7B14">
            <w:pPr>
              <w:spacing w:after="60"/>
              <w:ind w:right="242"/>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IA</w:t>
            </w:r>
            <w:r>
              <w:rPr>
                <w:b/>
                <w:bCs/>
                <w:sz w:val="16"/>
                <w:szCs w:val="16"/>
              </w:rPr>
              <w:t>2</w:t>
            </w:r>
            <w:r w:rsidRPr="00D14369">
              <w:rPr>
                <w:b/>
                <w:bCs/>
                <w:sz w:val="16"/>
                <w:szCs w:val="16"/>
              </w:rPr>
              <w:t>.2:</w:t>
            </w:r>
            <w:r w:rsidRPr="00D14369">
              <w:rPr>
                <w:sz w:val="16"/>
                <w:szCs w:val="16"/>
              </w:rPr>
              <w:t xml:space="preserve"> </w:t>
            </w:r>
            <w:r w:rsidRPr="00D70551">
              <w:rPr>
                <w:sz w:val="16"/>
                <w:szCs w:val="16"/>
              </w:rPr>
              <w:t>Target countries advance INFF implementation in at least one building block, based on lessons learned at the regional workshop</w:t>
            </w:r>
          </w:p>
        </w:tc>
        <w:tc>
          <w:tcPr>
            <w:tcW w:w="3119" w:type="dxa"/>
          </w:tcPr>
          <w:p w14:paraId="2F58DBE5" w14:textId="77777777" w:rsidR="005658B0" w:rsidRPr="00BB65D7"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No capacity/ policies/ systems/ processes in place in focus area in </w:t>
            </w:r>
            <w:r w:rsidRPr="00BB65D7">
              <w:rPr>
                <w:b/>
                <w:bCs/>
                <w:sz w:val="16"/>
                <w:szCs w:val="16"/>
              </w:rPr>
              <w:t>f</w:t>
            </w:r>
            <w:r>
              <w:rPr>
                <w:b/>
                <w:bCs/>
                <w:sz w:val="16"/>
                <w:szCs w:val="16"/>
              </w:rPr>
              <w:t>ive</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7EF8A353"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 xml:space="preserve">Belarus </w:t>
            </w:r>
            <w:r>
              <w:rPr>
                <w:sz w:val="16"/>
                <w:szCs w:val="16"/>
              </w:rPr>
              <w:t>(</w:t>
            </w:r>
            <w:r w:rsidRPr="00BB65D7">
              <w:rPr>
                <w:sz w:val="16"/>
                <w:szCs w:val="16"/>
              </w:rPr>
              <w:t>UNCTAD)</w:t>
            </w:r>
          </w:p>
          <w:p w14:paraId="239E9DC4"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(UNCTAD)</w:t>
            </w:r>
          </w:p>
          <w:p w14:paraId="1717305D"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Egypt</w:t>
            </w:r>
            <w:r>
              <w:rPr>
                <w:sz w:val="16"/>
                <w:szCs w:val="16"/>
              </w:rPr>
              <w:t xml:space="preserve"> (UNESCWA)</w:t>
            </w:r>
          </w:p>
          <w:p w14:paraId="6FA71030"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Jordan</w:t>
            </w:r>
            <w:r>
              <w:rPr>
                <w:sz w:val="16"/>
                <w:szCs w:val="16"/>
              </w:rPr>
              <w:t xml:space="preserve"> (UNESCWA)</w:t>
            </w:r>
          </w:p>
          <w:p w14:paraId="7724E850" w14:textId="77777777" w:rsidR="005658B0" w:rsidRPr="00BB65D7" w:rsidRDefault="005658B0" w:rsidP="003B672F">
            <w:pPr>
              <w:pStyle w:val="Normal-sizedTableBullets"/>
              <w:numPr>
                <w:ilvl w:val="1"/>
                <w:numId w:val="10"/>
              </w:numPr>
              <w:spacing w:after="120"/>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Costa Rica</w:t>
            </w:r>
            <w:r>
              <w:rPr>
                <w:sz w:val="16"/>
                <w:szCs w:val="16"/>
              </w:rPr>
              <w:t xml:space="preserve"> (UNECLAC)</w:t>
            </w:r>
          </w:p>
          <w:p w14:paraId="5DF12E09" w14:textId="77777777" w:rsidR="005658B0" w:rsidRPr="00BB65D7"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Some</w:t>
            </w:r>
            <w:r w:rsidRPr="006E6E55">
              <w:rPr>
                <w:sz w:val="16"/>
                <w:szCs w:val="16"/>
              </w:rPr>
              <w:t xml:space="preserve"> capacity/ policies/ systems/ processes in place in focus area, but scope remains to strengthen them and/or enhance their integration</w:t>
            </w:r>
            <w:r w:rsidRPr="00BB65D7">
              <w:rPr>
                <w:sz w:val="16"/>
                <w:szCs w:val="16"/>
              </w:rPr>
              <w:t xml:space="preserve"> in </w:t>
            </w:r>
            <w:r>
              <w:rPr>
                <w:b/>
                <w:bCs/>
                <w:sz w:val="16"/>
                <w:szCs w:val="16"/>
              </w:rPr>
              <w:t>four</w:t>
            </w:r>
            <w:r w:rsidRPr="00BB65D7">
              <w:rPr>
                <w:sz w:val="16"/>
                <w:szCs w:val="16"/>
              </w:rPr>
              <w:t xml:space="preserve"> target countries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087FFB8B"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Belarus (UNECE)</w:t>
            </w:r>
          </w:p>
          <w:p w14:paraId="30E1C908"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Kyrgyzstan</w:t>
            </w:r>
            <w:r>
              <w:rPr>
                <w:sz w:val="16"/>
                <w:szCs w:val="16"/>
              </w:rPr>
              <w:t xml:space="preserve"> </w:t>
            </w:r>
            <w:r w:rsidRPr="00BB65D7">
              <w:rPr>
                <w:sz w:val="16"/>
                <w:szCs w:val="16"/>
              </w:rPr>
              <w:t>(UNECE)</w:t>
            </w:r>
          </w:p>
          <w:p w14:paraId="60EA00F6"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Burkina Faso (UNECA; UNCTAD)</w:t>
            </w:r>
          </w:p>
          <w:p w14:paraId="0C33BB08" w14:textId="77777777" w:rsidR="005658B0" w:rsidRPr="00BB65D7" w:rsidRDefault="005658B0" w:rsidP="003B672F">
            <w:pPr>
              <w:pStyle w:val="Normal-sizedTableBullets"/>
              <w:numPr>
                <w:ilvl w:val="1"/>
                <w:numId w:val="10"/>
              </w:numPr>
              <w:ind w:left="602" w:hanging="284"/>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Zambia (UNECA; UNCTAD)</w:t>
            </w:r>
          </w:p>
          <w:p w14:paraId="379AD755" w14:textId="77777777" w:rsidR="005658B0" w:rsidRPr="00BB65D7"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 xml:space="preserve">Not applicable/ project activities not yet defined </w:t>
            </w:r>
            <w:r w:rsidRPr="00BB65D7">
              <w:rPr>
                <w:sz w:val="16"/>
                <w:szCs w:val="16"/>
              </w:rPr>
              <w:t xml:space="preserve">in </w:t>
            </w:r>
            <w:r>
              <w:rPr>
                <w:b/>
                <w:bCs/>
                <w:sz w:val="16"/>
                <w:szCs w:val="16"/>
              </w:rPr>
              <w:t>o</w:t>
            </w:r>
            <w:r w:rsidRPr="00BB65D7">
              <w:rPr>
                <w:b/>
                <w:bCs/>
                <w:sz w:val="16"/>
                <w:szCs w:val="16"/>
              </w:rPr>
              <w:t>n</w:t>
            </w:r>
            <w:r>
              <w:rPr>
                <w:b/>
                <w:bCs/>
                <w:sz w:val="16"/>
                <w:szCs w:val="16"/>
              </w:rPr>
              <w:t>e</w:t>
            </w:r>
            <w:r w:rsidRPr="00BB65D7">
              <w:rPr>
                <w:sz w:val="16"/>
                <w:szCs w:val="16"/>
              </w:rPr>
              <w:t xml:space="preserve"> target countr</w:t>
            </w:r>
            <w:r>
              <w:rPr>
                <w:sz w:val="16"/>
                <w:szCs w:val="16"/>
              </w:rPr>
              <w:t>y</w:t>
            </w:r>
            <w:r w:rsidRPr="00BB65D7">
              <w:rPr>
                <w:sz w:val="16"/>
                <w:szCs w:val="16"/>
              </w:rPr>
              <w:t xml:space="preserve"> (</w:t>
            </w:r>
            <w:r w:rsidRPr="00BB65D7">
              <w:rPr>
                <w:b/>
                <w:bCs/>
                <w:sz w:val="16"/>
                <w:szCs w:val="16"/>
              </w:rPr>
              <w:t>support being provided by entit</w:t>
            </w:r>
            <w:r>
              <w:rPr>
                <w:b/>
                <w:bCs/>
                <w:sz w:val="16"/>
                <w:szCs w:val="16"/>
              </w:rPr>
              <w:t>ies</w:t>
            </w:r>
            <w:r w:rsidRPr="00BB65D7">
              <w:rPr>
                <w:b/>
                <w:bCs/>
                <w:sz w:val="16"/>
                <w:szCs w:val="16"/>
              </w:rPr>
              <w:t xml:space="preserve"> in parentheses</w:t>
            </w:r>
            <w:r w:rsidRPr="00BB65D7">
              <w:rPr>
                <w:sz w:val="16"/>
                <w:szCs w:val="16"/>
              </w:rPr>
              <w:t xml:space="preserve">): </w:t>
            </w:r>
          </w:p>
          <w:p w14:paraId="4A439EE9" w14:textId="77777777" w:rsidR="005658B0" w:rsidRPr="00D14369"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Pakistan</w:t>
            </w:r>
            <w:r w:rsidRPr="00BB65D7">
              <w:rPr>
                <w:sz w:val="16"/>
                <w:szCs w:val="16"/>
              </w:rPr>
              <w:t xml:space="preserve"> (UNE</w:t>
            </w:r>
            <w:r>
              <w:rPr>
                <w:sz w:val="16"/>
                <w:szCs w:val="16"/>
              </w:rPr>
              <w:t>SCAP</w:t>
            </w:r>
            <w:r w:rsidRPr="00BB65D7">
              <w:rPr>
                <w:sz w:val="16"/>
                <w:szCs w:val="16"/>
              </w:rPr>
              <w:t>; UNCTAD)</w:t>
            </w:r>
          </w:p>
        </w:tc>
        <w:tc>
          <w:tcPr>
            <w:tcW w:w="2409" w:type="dxa"/>
          </w:tcPr>
          <w:p w14:paraId="1F3431FB" w14:textId="77777777" w:rsidR="005658B0" w:rsidRPr="00D14369"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sidRPr="00D14369">
              <w:rPr>
                <w:sz w:val="16"/>
                <w:szCs w:val="16"/>
              </w:rPr>
              <w:t xml:space="preserve"> </w:t>
            </w:r>
            <w:r w:rsidRPr="00BB65D7">
              <w:rPr>
                <w:sz w:val="16"/>
                <w:szCs w:val="16"/>
              </w:rPr>
              <w:t xml:space="preserve">Capacity and integrated policies/ systems/ processes in place in </w:t>
            </w:r>
            <w:r>
              <w:rPr>
                <w:sz w:val="16"/>
                <w:szCs w:val="16"/>
              </w:rPr>
              <w:t xml:space="preserve">focus area in </w:t>
            </w:r>
            <w:r w:rsidRPr="00BB65D7">
              <w:rPr>
                <w:sz w:val="16"/>
                <w:szCs w:val="16"/>
              </w:rPr>
              <w:t>all target countries</w:t>
            </w:r>
          </w:p>
        </w:tc>
      </w:tr>
      <w:tr w:rsidR="005658B0" w:rsidRPr="00041EA7" w14:paraId="10F6FDCE"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Merge/>
            <w:vAlign w:val="center"/>
          </w:tcPr>
          <w:p w14:paraId="0B2CD14E" w14:textId="77777777" w:rsidR="005658B0" w:rsidRPr="002628BE" w:rsidRDefault="005658B0" w:rsidP="002B7B14"/>
        </w:tc>
        <w:tc>
          <w:tcPr>
            <w:tcW w:w="2126" w:type="dxa"/>
          </w:tcPr>
          <w:p w14:paraId="5166444C" w14:textId="7287C6E7" w:rsidR="005658B0" w:rsidRPr="00BB65D7" w:rsidRDefault="005658B0" w:rsidP="002B7B14">
            <w:pPr>
              <w:pStyle w:val="Normal-sizedTableBullets"/>
              <w:numPr>
                <w:ilvl w:val="0"/>
                <w:numId w:val="0"/>
              </w:numPr>
              <w:spacing w:after="60"/>
              <w:cnfStyle w:val="000000000000" w:firstRow="0" w:lastRow="0" w:firstColumn="0" w:lastColumn="0" w:oddVBand="0" w:evenVBand="0" w:oddHBand="0" w:evenHBand="0" w:firstRowFirstColumn="0" w:firstRowLastColumn="0" w:lastRowFirstColumn="0" w:lastRowLastColumn="0"/>
              <w:rPr>
                <w:sz w:val="16"/>
                <w:szCs w:val="16"/>
              </w:rPr>
            </w:pPr>
            <w:r w:rsidRPr="005D2E81">
              <w:rPr>
                <w:b/>
                <w:bCs/>
                <w:sz w:val="16"/>
                <w:szCs w:val="16"/>
              </w:rPr>
              <w:t>IA 2.3:</w:t>
            </w:r>
            <w:r>
              <w:rPr>
                <w:sz w:val="16"/>
                <w:szCs w:val="16"/>
              </w:rPr>
              <w:t xml:space="preserve"> </w:t>
            </w:r>
            <w:r w:rsidRPr="00877CDC">
              <w:rPr>
                <w:sz w:val="16"/>
                <w:szCs w:val="16"/>
              </w:rPr>
              <w:t>75% of participants,</w:t>
            </w:r>
            <w:r>
              <w:rPr>
                <w:sz w:val="16"/>
                <w:szCs w:val="16"/>
              </w:rPr>
              <w:t xml:space="preserve"> </w:t>
            </w:r>
            <w:r w:rsidRPr="00877CDC">
              <w:rPr>
                <w:sz w:val="16"/>
                <w:szCs w:val="16"/>
              </w:rPr>
              <w:t xml:space="preserve">including target country representatives and other stakeholders, benefited from the global </w:t>
            </w:r>
            <w:r w:rsidR="006321A6">
              <w:rPr>
                <w:sz w:val="16"/>
                <w:szCs w:val="16"/>
              </w:rPr>
              <w:t>knowledge-exchange</w:t>
            </w:r>
            <w:r w:rsidRPr="00BB65D7">
              <w:rPr>
                <w:sz w:val="16"/>
                <w:szCs w:val="16"/>
              </w:rPr>
              <w:t xml:space="preserve"> </w:t>
            </w:r>
          </w:p>
        </w:tc>
        <w:tc>
          <w:tcPr>
            <w:tcW w:w="3119" w:type="dxa"/>
          </w:tcPr>
          <w:p w14:paraId="5B5702D5" w14:textId="77777777" w:rsidR="005658B0" w:rsidRPr="00D14369"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BB65D7">
              <w:rPr>
                <w:sz w:val="16"/>
                <w:szCs w:val="16"/>
              </w:rPr>
              <w:t>N</w:t>
            </w:r>
            <w:r>
              <w:rPr>
                <w:sz w:val="16"/>
                <w:szCs w:val="16"/>
              </w:rPr>
              <w:t>ot applicable</w:t>
            </w:r>
          </w:p>
        </w:tc>
        <w:tc>
          <w:tcPr>
            <w:tcW w:w="2409" w:type="dxa"/>
          </w:tcPr>
          <w:p w14:paraId="34147C72" w14:textId="6E9AAA07" w:rsidR="005658B0" w:rsidRPr="00722D8D"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D14369">
              <w:rPr>
                <w:b/>
                <w:bCs/>
                <w:sz w:val="16"/>
                <w:szCs w:val="16"/>
              </w:rPr>
              <w:t>Achieved:</w:t>
            </w:r>
            <w:r>
              <w:rPr>
                <w:b/>
                <w:bCs/>
                <w:sz w:val="16"/>
                <w:szCs w:val="16"/>
              </w:rPr>
              <w:t xml:space="preserve"> </w:t>
            </w:r>
            <w:r w:rsidRPr="00722D8D">
              <w:rPr>
                <w:sz w:val="16"/>
                <w:szCs w:val="16"/>
              </w:rPr>
              <w:t xml:space="preserve">INFF survey results indicated that over 75 % of participants at the global workshop, including target country representatives and other stakeholders, benefited from </w:t>
            </w:r>
            <w:r w:rsidRPr="00722D8D">
              <w:rPr>
                <w:sz w:val="16"/>
                <w:szCs w:val="16"/>
              </w:rPr>
              <w:lastRenderedPageBreak/>
              <w:t xml:space="preserve">the global </w:t>
            </w:r>
            <w:r w:rsidR="006321A6">
              <w:rPr>
                <w:sz w:val="16"/>
                <w:szCs w:val="16"/>
              </w:rPr>
              <w:t>knowledge-exchange</w:t>
            </w:r>
          </w:p>
        </w:tc>
      </w:tr>
      <w:tr w:rsidR="005658B0" w:rsidRPr="00041EA7" w14:paraId="458F98E4" w14:textId="77777777" w:rsidTr="002B7B14">
        <w:tblPrEx>
          <w:jc w:val="center"/>
          <w:tblInd w:w="0" w:type="dxa"/>
          <w:tblLook w:val="04A0" w:firstRow="1" w:lastRow="0" w:firstColumn="1" w:lastColumn="0" w:noHBand="0" w:noVBand="1"/>
        </w:tblPrEx>
        <w:trPr>
          <w:gridAfter w:val="1"/>
          <w:wAfter w:w="38" w:type="dxa"/>
          <w:jc w:val="center"/>
        </w:trPr>
        <w:tc>
          <w:tcPr>
            <w:cnfStyle w:val="001000000000" w:firstRow="0" w:lastRow="0" w:firstColumn="1" w:lastColumn="0" w:oddVBand="0" w:evenVBand="0" w:oddHBand="0" w:evenHBand="0" w:firstRowFirstColumn="0" w:firstRowLastColumn="0" w:lastRowFirstColumn="0" w:lastRowLastColumn="0"/>
            <w:tcW w:w="1977" w:type="dxa"/>
            <w:vAlign w:val="center"/>
          </w:tcPr>
          <w:p w14:paraId="6E7379E3" w14:textId="77777777" w:rsidR="005658B0" w:rsidRPr="002628BE" w:rsidRDefault="005658B0" w:rsidP="002B7B14"/>
        </w:tc>
        <w:tc>
          <w:tcPr>
            <w:tcW w:w="2126" w:type="dxa"/>
          </w:tcPr>
          <w:p w14:paraId="5F17E031" w14:textId="77777777" w:rsidR="005658B0" w:rsidRPr="00712E72" w:rsidRDefault="005658B0" w:rsidP="002B7B14">
            <w:pPr>
              <w:pStyle w:val="Normal-sizedTableBullets"/>
              <w:numPr>
                <w:ilvl w:val="0"/>
                <w:numId w:val="0"/>
              </w:numPr>
              <w:spacing w:after="60"/>
              <w:cnfStyle w:val="000000000000" w:firstRow="0" w:lastRow="0" w:firstColumn="0" w:lastColumn="0" w:oddVBand="0" w:evenVBand="0" w:oddHBand="0" w:evenHBand="0" w:firstRowFirstColumn="0" w:firstRowLastColumn="0" w:lastRowFirstColumn="0" w:lastRowLastColumn="0"/>
              <w:rPr>
                <w:b/>
                <w:bCs/>
                <w:sz w:val="16"/>
                <w:szCs w:val="16"/>
              </w:rPr>
            </w:pPr>
            <w:r w:rsidRPr="005D2E81">
              <w:rPr>
                <w:b/>
                <w:bCs/>
                <w:sz w:val="16"/>
                <w:szCs w:val="16"/>
              </w:rPr>
              <w:t>IA 2.4:</w:t>
            </w:r>
            <w:r>
              <w:rPr>
                <w:sz w:val="16"/>
                <w:szCs w:val="16"/>
              </w:rPr>
              <w:t xml:space="preserve"> </w:t>
            </w:r>
            <w:r w:rsidRPr="00712E72">
              <w:rPr>
                <w:sz w:val="16"/>
                <w:szCs w:val="16"/>
              </w:rPr>
              <w:t>Increase in the number of countries that initiate design and implementation of an INFF, over and above the baseline of 10 target countries and additional countries that receive support from the Joint SDG Fund</w:t>
            </w:r>
          </w:p>
        </w:tc>
        <w:tc>
          <w:tcPr>
            <w:tcW w:w="3119" w:type="dxa"/>
          </w:tcPr>
          <w:p w14:paraId="320092D7" w14:textId="77777777" w:rsidR="005658B0" w:rsidRPr="00BB65D7"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Pr>
                <w:sz w:val="16"/>
                <w:szCs w:val="16"/>
              </w:rPr>
              <w:t>79 countries</w:t>
            </w:r>
          </w:p>
        </w:tc>
        <w:tc>
          <w:tcPr>
            <w:tcW w:w="2409" w:type="dxa"/>
          </w:tcPr>
          <w:p w14:paraId="5B0E102E" w14:textId="77777777" w:rsidR="005658B0" w:rsidRPr="00733178" w:rsidRDefault="005658B0" w:rsidP="002B7B14">
            <w:pPr>
              <w:pStyle w:val="Normal-sizedTableBullets"/>
              <w:cnfStyle w:val="000000000000" w:firstRow="0" w:lastRow="0" w:firstColumn="0" w:lastColumn="0" w:oddVBand="0" w:evenVBand="0" w:oddHBand="0" w:evenHBand="0" w:firstRowFirstColumn="0" w:firstRowLastColumn="0" w:lastRowFirstColumn="0" w:lastRowLastColumn="0"/>
              <w:rPr>
                <w:sz w:val="16"/>
                <w:szCs w:val="16"/>
              </w:rPr>
            </w:pPr>
            <w:r w:rsidRPr="00733178">
              <w:rPr>
                <w:sz w:val="16"/>
                <w:szCs w:val="16"/>
              </w:rPr>
              <w:t>86 countries as of March 2025</w:t>
            </w:r>
          </w:p>
        </w:tc>
      </w:tr>
    </w:tbl>
    <w:p w14:paraId="0CD603BA" w14:textId="77777777" w:rsidR="00FB6385" w:rsidRDefault="00FB6385" w:rsidP="00FB6385"/>
    <w:tbl>
      <w:tblPr>
        <w:tblStyle w:val="BlueTable"/>
        <w:tblW w:w="5003" w:type="pct"/>
        <w:tblInd w:w="-3" w:type="dxa"/>
        <w:tblLook w:val="0620" w:firstRow="1" w:lastRow="0" w:firstColumn="0" w:lastColumn="0" w:noHBand="1" w:noVBand="1"/>
      </w:tblPr>
      <w:tblGrid>
        <w:gridCol w:w="9678"/>
      </w:tblGrid>
      <w:tr w:rsidR="00D626ED" w:rsidRPr="002A1AF1" w14:paraId="427EED6F" w14:textId="77777777" w:rsidTr="003C2458">
        <w:trPr>
          <w:cnfStyle w:val="100000000000" w:firstRow="1" w:lastRow="0" w:firstColumn="0" w:lastColumn="0" w:oddVBand="0" w:evenVBand="0" w:oddHBand="0" w:evenHBand="0" w:firstRowFirstColumn="0" w:firstRowLastColumn="0" w:lastRowFirstColumn="0" w:lastRowLastColumn="0"/>
        </w:trPr>
        <w:tc>
          <w:tcPr>
            <w:tcW w:w="9678" w:type="dxa"/>
            <w:shd w:val="clear" w:color="auto" w:fill="0075A4" w:themeFill="accent1" w:themeFillShade="BF"/>
          </w:tcPr>
          <w:p w14:paraId="43FFAC39" w14:textId="77777777" w:rsidR="00D626ED" w:rsidRPr="00E43E98" w:rsidRDefault="00D626ED" w:rsidP="002B7B14">
            <w:pPr>
              <w:spacing w:after="120"/>
              <w:rPr>
                <w:b w:val="0"/>
                <w:bCs/>
              </w:rPr>
            </w:pPr>
            <w:r w:rsidRPr="00E43E98">
              <w:rPr>
                <w:bCs/>
              </w:rPr>
              <w:t>Outputs</w:t>
            </w:r>
          </w:p>
        </w:tc>
      </w:tr>
      <w:tr w:rsidR="0078678F" w:rsidRPr="009201BB" w14:paraId="1CBEE136" w14:textId="77777777" w:rsidTr="00055231">
        <w:tc>
          <w:tcPr>
            <w:tcW w:w="9678" w:type="dxa"/>
          </w:tcPr>
          <w:p w14:paraId="12FD5BFE" w14:textId="1D1D2E94" w:rsidR="0078678F" w:rsidRPr="009201BB" w:rsidRDefault="0078678F" w:rsidP="002B7B14">
            <w:pPr>
              <w:spacing w:after="120"/>
              <w:rPr>
                <w:sz w:val="16"/>
                <w:szCs w:val="16"/>
              </w:rPr>
            </w:pPr>
            <w:r w:rsidRPr="009201BB">
              <w:rPr>
                <w:b/>
                <w:bCs/>
                <w:sz w:val="16"/>
                <w:szCs w:val="16"/>
                <w:lang w:eastAsia="en-CA"/>
              </w:rPr>
              <w:t>OP 1.1</w:t>
            </w:r>
            <w:r w:rsidRPr="009201BB">
              <w:rPr>
                <w:sz w:val="16"/>
                <w:szCs w:val="16"/>
                <w:lang w:eastAsia="en-CA"/>
              </w:rPr>
              <w:t xml:space="preserve"> Develop global guidance material to support activities in target countries, complementing INFF guidance material developed by the IATF and focusing in particular on thematic priorities of target countries. The guidance will also include a baseline assessment of status of integrated financing and, where applicable, initial work on INFFs in target countries</w:t>
            </w:r>
          </w:p>
        </w:tc>
      </w:tr>
      <w:tr w:rsidR="0078678F" w:rsidRPr="009201BB" w14:paraId="2CA2AB98" w14:textId="77777777" w:rsidTr="00055231">
        <w:tc>
          <w:tcPr>
            <w:tcW w:w="9678" w:type="dxa"/>
          </w:tcPr>
          <w:p w14:paraId="651F408A" w14:textId="037E3818" w:rsidR="0078678F" w:rsidRDefault="00F665C5" w:rsidP="003B672F">
            <w:pPr>
              <w:pStyle w:val="ListParagraph"/>
              <w:numPr>
                <w:ilvl w:val="0"/>
                <w:numId w:val="17"/>
              </w:numPr>
              <w:spacing w:after="120"/>
              <w:rPr>
                <w:sz w:val="16"/>
                <w:szCs w:val="16"/>
                <w:lang w:eastAsia="en-CA"/>
              </w:rPr>
            </w:pPr>
            <w:r w:rsidRPr="00F665C5">
              <w:rPr>
                <w:sz w:val="16"/>
                <w:szCs w:val="16"/>
                <w:lang w:eastAsia="en-CA"/>
              </w:rPr>
              <w:t xml:space="preserve">INFF </w:t>
            </w:r>
            <w:r>
              <w:rPr>
                <w:sz w:val="16"/>
                <w:szCs w:val="16"/>
                <w:lang w:eastAsia="en-CA"/>
              </w:rPr>
              <w:t>global guidance completed by the start of the project</w:t>
            </w:r>
          </w:p>
          <w:p w14:paraId="384A070B" w14:textId="6387F357" w:rsidR="007C2476" w:rsidRDefault="007C2476" w:rsidP="003B672F">
            <w:pPr>
              <w:pStyle w:val="ListParagraph"/>
              <w:numPr>
                <w:ilvl w:val="0"/>
                <w:numId w:val="17"/>
              </w:numPr>
              <w:spacing w:after="120"/>
              <w:rPr>
                <w:sz w:val="16"/>
                <w:szCs w:val="16"/>
                <w:lang w:eastAsia="en-CA"/>
              </w:rPr>
            </w:pPr>
            <w:r>
              <w:rPr>
                <w:sz w:val="16"/>
                <w:szCs w:val="16"/>
                <w:lang w:eastAsia="en-CA"/>
              </w:rPr>
              <w:t>Baseline assessment completed in 2022</w:t>
            </w:r>
          </w:p>
          <w:p w14:paraId="44FF357F" w14:textId="7F07B4AD" w:rsidR="00041996" w:rsidRPr="00557E93" w:rsidRDefault="00041996" w:rsidP="003B672F">
            <w:pPr>
              <w:pStyle w:val="ListParagraph"/>
              <w:numPr>
                <w:ilvl w:val="0"/>
                <w:numId w:val="17"/>
              </w:numPr>
              <w:spacing w:after="120"/>
              <w:rPr>
                <w:sz w:val="16"/>
                <w:szCs w:val="16"/>
                <w:lang w:eastAsia="en-CA"/>
              </w:rPr>
            </w:pPr>
            <w:r>
              <w:rPr>
                <w:sz w:val="16"/>
                <w:szCs w:val="16"/>
                <w:lang w:eastAsia="en-CA"/>
              </w:rPr>
              <w:t xml:space="preserve">Brochure published by </w:t>
            </w:r>
            <w:r w:rsidR="0086137D">
              <w:rPr>
                <w:sz w:val="16"/>
                <w:szCs w:val="16"/>
                <w:lang w:eastAsia="en-CA"/>
              </w:rPr>
              <w:t>UN</w:t>
            </w:r>
            <w:r>
              <w:rPr>
                <w:sz w:val="16"/>
                <w:szCs w:val="16"/>
                <w:lang w:eastAsia="en-CA"/>
              </w:rPr>
              <w:t>ESCWA in 2021</w:t>
            </w:r>
            <w:r w:rsidR="0068418B">
              <w:rPr>
                <w:sz w:val="16"/>
                <w:szCs w:val="16"/>
                <w:lang w:eastAsia="en-CA"/>
              </w:rPr>
              <w:t xml:space="preserve"> on </w:t>
            </w:r>
            <w:r w:rsidR="0068418B" w:rsidRPr="00A637E9">
              <w:rPr>
                <w:rFonts w:ascii="Calibri" w:hAnsi="Calibri"/>
                <w:iCs/>
                <w:sz w:val="16"/>
                <w:szCs w:val="16"/>
              </w:rPr>
              <w:t>salient themes advanced through the INFF global guidance material</w:t>
            </w:r>
            <w:r w:rsidR="00631146">
              <w:rPr>
                <w:rFonts w:ascii="Calibri" w:hAnsi="Calibri"/>
                <w:iCs/>
                <w:sz w:val="16"/>
                <w:szCs w:val="16"/>
              </w:rPr>
              <w:t xml:space="preserve"> (Available in English and Arabic)</w:t>
            </w:r>
          </w:p>
          <w:p w14:paraId="06DA5427" w14:textId="7BDBEE29" w:rsidR="00557E93" w:rsidRPr="00631146" w:rsidRDefault="00557E93" w:rsidP="003B672F">
            <w:pPr>
              <w:pStyle w:val="ListParagraph"/>
              <w:numPr>
                <w:ilvl w:val="0"/>
                <w:numId w:val="17"/>
              </w:numPr>
              <w:spacing w:after="120"/>
              <w:rPr>
                <w:sz w:val="16"/>
                <w:szCs w:val="16"/>
                <w:lang w:eastAsia="en-CA"/>
              </w:rPr>
            </w:pPr>
            <w:r>
              <w:rPr>
                <w:rFonts w:ascii="Calibri" w:hAnsi="Calibri"/>
                <w:iCs/>
                <w:sz w:val="16"/>
                <w:szCs w:val="16"/>
                <w:lang w:eastAsia="en-CA"/>
              </w:rPr>
              <w:t xml:space="preserve">Video </w:t>
            </w:r>
            <w:r w:rsidR="00714966">
              <w:rPr>
                <w:rFonts w:ascii="Calibri" w:hAnsi="Calibri"/>
                <w:iCs/>
                <w:sz w:val="16"/>
                <w:szCs w:val="16"/>
                <w:lang w:eastAsia="en-CA"/>
              </w:rPr>
              <w:t xml:space="preserve">for </w:t>
            </w:r>
            <w:r>
              <w:rPr>
                <w:rFonts w:ascii="Calibri" w:hAnsi="Calibri"/>
                <w:iCs/>
                <w:sz w:val="16"/>
                <w:szCs w:val="16"/>
                <w:lang w:eastAsia="en-CA"/>
              </w:rPr>
              <w:t>dev</w:t>
            </w:r>
            <w:r w:rsidR="00714966">
              <w:rPr>
                <w:rFonts w:ascii="Calibri" w:hAnsi="Calibri"/>
                <w:iCs/>
                <w:sz w:val="16"/>
                <w:szCs w:val="16"/>
                <w:lang w:eastAsia="en-CA"/>
              </w:rPr>
              <w:t xml:space="preserve">eloped by ESCWA for dissemination to showcase INFF </w:t>
            </w:r>
            <w:r w:rsidR="00A47D4C">
              <w:rPr>
                <w:rFonts w:ascii="Calibri" w:hAnsi="Calibri"/>
                <w:iCs/>
                <w:sz w:val="16"/>
                <w:szCs w:val="16"/>
                <w:lang w:eastAsia="en-CA"/>
              </w:rPr>
              <w:t>tools and work bei</w:t>
            </w:r>
            <w:r w:rsidR="006000C8">
              <w:rPr>
                <w:rFonts w:ascii="Calibri" w:hAnsi="Calibri"/>
                <w:iCs/>
                <w:sz w:val="16"/>
                <w:szCs w:val="16"/>
                <w:lang w:eastAsia="en-CA"/>
              </w:rPr>
              <w:t>ng</w:t>
            </w:r>
            <w:r w:rsidR="00A47D4C">
              <w:rPr>
                <w:rFonts w:ascii="Calibri" w:hAnsi="Calibri"/>
                <w:iCs/>
                <w:sz w:val="16"/>
                <w:szCs w:val="16"/>
                <w:lang w:eastAsia="en-CA"/>
              </w:rPr>
              <w:t xml:space="preserve"> conducted to support the </w:t>
            </w:r>
            <w:r w:rsidR="00A47D4C" w:rsidRPr="00A637E9">
              <w:rPr>
                <w:rFonts w:ascii="Calibri" w:hAnsi="Calibri"/>
                <w:iCs/>
                <w:sz w:val="16"/>
                <w:szCs w:val="16"/>
              </w:rPr>
              <w:t>development of national financing strategies</w:t>
            </w:r>
          </w:p>
          <w:p w14:paraId="2730352A" w14:textId="72FEEB29" w:rsidR="00631146" w:rsidRPr="008E11CE" w:rsidRDefault="009D0208" w:rsidP="003B672F">
            <w:pPr>
              <w:pStyle w:val="ListParagraph"/>
              <w:numPr>
                <w:ilvl w:val="0"/>
                <w:numId w:val="17"/>
              </w:numPr>
              <w:spacing w:after="120"/>
              <w:rPr>
                <w:sz w:val="16"/>
                <w:szCs w:val="16"/>
                <w:lang w:eastAsia="en-CA"/>
              </w:rPr>
            </w:pPr>
            <w:r>
              <w:rPr>
                <w:rFonts w:ascii="Calibri" w:hAnsi="Calibri"/>
                <w:iCs/>
                <w:sz w:val="16"/>
                <w:szCs w:val="16"/>
              </w:rPr>
              <w:t>Contextualisation of tools</w:t>
            </w:r>
            <w:r w:rsidR="003B79D6">
              <w:rPr>
                <w:rFonts w:ascii="Calibri" w:hAnsi="Calibri"/>
                <w:iCs/>
                <w:sz w:val="16"/>
                <w:szCs w:val="16"/>
              </w:rPr>
              <w:t xml:space="preserve"> and methodologies that existed before the pr</w:t>
            </w:r>
            <w:r w:rsidR="008E11CE">
              <w:rPr>
                <w:rFonts w:ascii="Calibri" w:hAnsi="Calibri"/>
                <w:iCs/>
                <w:sz w:val="16"/>
                <w:szCs w:val="16"/>
              </w:rPr>
              <w:t xml:space="preserve">oject: </w:t>
            </w:r>
          </w:p>
          <w:p w14:paraId="655DFBBA" w14:textId="759CBAF9" w:rsidR="00632E86" w:rsidRPr="00303373" w:rsidRDefault="00632E86" w:rsidP="003B672F">
            <w:pPr>
              <w:pStyle w:val="ListParagraph"/>
              <w:numPr>
                <w:ilvl w:val="1"/>
                <w:numId w:val="17"/>
              </w:numPr>
              <w:spacing w:after="120"/>
              <w:rPr>
                <w:sz w:val="16"/>
                <w:szCs w:val="16"/>
                <w:lang w:eastAsia="en-CA"/>
              </w:rPr>
            </w:pPr>
            <w:r w:rsidRPr="00303373">
              <w:rPr>
                <w:b/>
                <w:bCs/>
                <w:sz w:val="16"/>
                <w:szCs w:val="16"/>
                <w:lang w:eastAsia="en-CA"/>
              </w:rPr>
              <w:t>ECE:</w:t>
            </w:r>
            <w:r w:rsidR="00303373">
              <w:rPr>
                <w:sz w:val="16"/>
                <w:szCs w:val="16"/>
                <w:lang w:eastAsia="en-CA"/>
              </w:rPr>
              <w:t xml:space="preserve"> </w:t>
            </w:r>
            <w:hyperlink r:id="rId94" w:history="1">
              <w:r w:rsidR="00303373" w:rsidRPr="00A637E9">
                <w:rPr>
                  <w:rStyle w:val="Hyperlink"/>
                  <w:rFonts w:ascii="Calibri" w:hAnsi="Calibri" w:cs="Arial"/>
                  <w:sz w:val="16"/>
                  <w:szCs w:val="16"/>
                </w:rPr>
                <w:t>PPP and Infrastructure Evaluation and Rating System (PIERS): An Evaluation Methodology for the SDGs</w:t>
              </w:r>
            </w:hyperlink>
          </w:p>
          <w:p w14:paraId="01109552" w14:textId="77777777" w:rsidR="007F7ED4" w:rsidRPr="00CE031B" w:rsidRDefault="00C13511" w:rsidP="003B672F">
            <w:pPr>
              <w:pStyle w:val="ListParagraph"/>
              <w:numPr>
                <w:ilvl w:val="1"/>
                <w:numId w:val="17"/>
              </w:numPr>
              <w:spacing w:after="120"/>
              <w:rPr>
                <w:b/>
                <w:bCs/>
                <w:sz w:val="16"/>
                <w:szCs w:val="16"/>
                <w:lang w:eastAsia="en-CA"/>
              </w:rPr>
            </w:pPr>
            <w:r w:rsidRPr="00CE031B">
              <w:rPr>
                <w:b/>
                <w:bCs/>
                <w:sz w:val="16"/>
                <w:szCs w:val="16"/>
                <w:lang w:eastAsia="en-CA"/>
              </w:rPr>
              <w:t>UNCTAD:</w:t>
            </w:r>
            <w:r w:rsidR="00301EE5" w:rsidRPr="00CE031B">
              <w:rPr>
                <w:b/>
                <w:bCs/>
                <w:sz w:val="16"/>
                <w:szCs w:val="16"/>
                <w:lang w:eastAsia="en-CA"/>
              </w:rPr>
              <w:t xml:space="preserve"> </w:t>
            </w:r>
          </w:p>
          <w:p w14:paraId="67F81E14" w14:textId="436E7F25" w:rsidR="00C13511" w:rsidRPr="007F7ED4" w:rsidRDefault="00301EE5" w:rsidP="003B672F">
            <w:pPr>
              <w:pStyle w:val="ListParagraph"/>
              <w:numPr>
                <w:ilvl w:val="2"/>
                <w:numId w:val="17"/>
              </w:numPr>
              <w:spacing w:after="120"/>
              <w:rPr>
                <w:sz w:val="16"/>
                <w:szCs w:val="16"/>
                <w:lang w:eastAsia="en-CA"/>
              </w:rPr>
            </w:pPr>
            <w:hyperlink r:id="rId95" w:history="1">
              <w:r w:rsidRPr="00A637E9">
                <w:rPr>
                  <w:rStyle w:val="Hyperlink"/>
                  <w:rFonts w:ascii="Calibri" w:hAnsi="Calibri" w:cs="Arial"/>
                  <w:sz w:val="16"/>
                  <w:szCs w:val="16"/>
                </w:rPr>
                <w:t>EMPRETEC</w:t>
              </w:r>
            </w:hyperlink>
            <w:r w:rsidRPr="00A637E9">
              <w:rPr>
                <w:rFonts w:ascii="Calibri" w:hAnsi="Calibri" w:cs="Arial"/>
                <w:sz w:val="16"/>
                <w:szCs w:val="16"/>
              </w:rPr>
              <w:t>, capacity-building programme</w:t>
            </w:r>
            <w:r w:rsidR="007F7ED4">
              <w:rPr>
                <w:rFonts w:ascii="Calibri" w:hAnsi="Calibri" w:cs="Arial"/>
                <w:sz w:val="16"/>
                <w:szCs w:val="16"/>
              </w:rPr>
              <w:t xml:space="preserve"> </w:t>
            </w:r>
          </w:p>
          <w:p w14:paraId="6A00AE61" w14:textId="60D2966F" w:rsidR="007F7ED4" w:rsidRPr="00416F09" w:rsidRDefault="007F7ED4" w:rsidP="003B672F">
            <w:pPr>
              <w:pStyle w:val="ListParagraph"/>
              <w:numPr>
                <w:ilvl w:val="2"/>
                <w:numId w:val="17"/>
              </w:numPr>
              <w:spacing w:after="120"/>
              <w:rPr>
                <w:sz w:val="16"/>
                <w:szCs w:val="16"/>
                <w:lang w:eastAsia="en-CA"/>
              </w:rPr>
            </w:pPr>
            <w:hyperlink r:id="rId96" w:history="1">
              <w:r w:rsidRPr="00A637E9">
                <w:rPr>
                  <w:rStyle w:val="Hyperlink"/>
                  <w:rFonts w:ascii="Calibri" w:hAnsi="Calibri" w:cs="Arial"/>
                  <w:sz w:val="16"/>
                  <w:szCs w:val="16"/>
                </w:rPr>
                <w:t>Accounting Development Tool (ADT)</w:t>
              </w:r>
            </w:hyperlink>
          </w:p>
          <w:p w14:paraId="739AFA80" w14:textId="23C36648" w:rsidR="00416F09" w:rsidRPr="00416F09" w:rsidRDefault="00416F09" w:rsidP="003B672F">
            <w:pPr>
              <w:pStyle w:val="ListParagraph"/>
              <w:numPr>
                <w:ilvl w:val="2"/>
                <w:numId w:val="17"/>
              </w:numPr>
              <w:spacing w:after="120"/>
              <w:rPr>
                <w:sz w:val="16"/>
                <w:szCs w:val="16"/>
                <w:lang w:eastAsia="en-CA"/>
              </w:rPr>
            </w:pPr>
            <w:hyperlink r:id="rId97" w:history="1">
              <w:r w:rsidRPr="00A637E9">
                <w:rPr>
                  <w:rStyle w:val="Hyperlink"/>
                  <w:rFonts w:ascii="Calibri" w:hAnsi="Calibri" w:cs="Arial"/>
                  <w:sz w:val="16"/>
                  <w:szCs w:val="16"/>
                </w:rPr>
                <w:t>Accounting and Financial Reporting Guidelines for SMEs</w:t>
              </w:r>
            </w:hyperlink>
          </w:p>
          <w:p w14:paraId="648682E3" w14:textId="5FD1E323" w:rsidR="00416F09" w:rsidRPr="00F665C5" w:rsidRDefault="00416F09" w:rsidP="003B672F">
            <w:pPr>
              <w:pStyle w:val="ListParagraph"/>
              <w:numPr>
                <w:ilvl w:val="2"/>
                <w:numId w:val="17"/>
              </w:numPr>
              <w:spacing w:after="120"/>
              <w:rPr>
                <w:sz w:val="16"/>
                <w:szCs w:val="16"/>
                <w:lang w:eastAsia="en-CA"/>
              </w:rPr>
            </w:pPr>
            <w:hyperlink r:id="rId98" w:history="1">
              <w:r w:rsidRPr="00A637E9">
                <w:rPr>
                  <w:rStyle w:val="Hyperlink"/>
                  <w:rFonts w:ascii="Calibri" w:hAnsi="Calibri" w:cs="Arial"/>
                  <w:sz w:val="16"/>
                  <w:szCs w:val="16"/>
                </w:rPr>
                <w:t>Guidance on core indicators for sustainability and SDG impact reporting</w:t>
              </w:r>
            </w:hyperlink>
          </w:p>
          <w:p w14:paraId="3FA722EF" w14:textId="3B0030B4" w:rsidR="007663D1" w:rsidRPr="007663D1" w:rsidRDefault="00C13511" w:rsidP="003B672F">
            <w:pPr>
              <w:pStyle w:val="ListParagraph"/>
              <w:numPr>
                <w:ilvl w:val="0"/>
                <w:numId w:val="17"/>
              </w:numPr>
              <w:spacing w:after="120"/>
              <w:rPr>
                <w:sz w:val="16"/>
                <w:szCs w:val="16"/>
                <w:lang w:eastAsia="en-CA"/>
              </w:rPr>
            </w:pPr>
            <w:r>
              <w:rPr>
                <w:sz w:val="16"/>
                <w:szCs w:val="16"/>
                <w:lang w:eastAsia="en-CA"/>
              </w:rPr>
              <w:t>Development and launch of tools during the project:</w:t>
            </w:r>
          </w:p>
          <w:p w14:paraId="7FB2BE5D" w14:textId="17E4E0AE" w:rsidR="00303373" w:rsidRDefault="00CA656E" w:rsidP="003B672F">
            <w:pPr>
              <w:pStyle w:val="ListParagraph"/>
              <w:numPr>
                <w:ilvl w:val="1"/>
                <w:numId w:val="17"/>
              </w:numPr>
              <w:spacing w:after="120"/>
              <w:rPr>
                <w:sz w:val="16"/>
                <w:szCs w:val="16"/>
                <w:lang w:eastAsia="en-CA"/>
              </w:rPr>
            </w:pPr>
            <w:r w:rsidRPr="00303373">
              <w:rPr>
                <w:b/>
                <w:bCs/>
                <w:sz w:val="16"/>
                <w:szCs w:val="16"/>
                <w:lang w:eastAsia="en-CA"/>
              </w:rPr>
              <w:t>ECE:</w:t>
            </w:r>
            <w:r>
              <w:rPr>
                <w:sz w:val="16"/>
                <w:szCs w:val="16"/>
                <w:lang w:eastAsia="en-CA"/>
              </w:rPr>
              <w:t xml:space="preserve"> </w:t>
            </w:r>
            <w:hyperlink r:id="rId99" w:history="1">
              <w:r w:rsidRPr="009E444A">
                <w:rPr>
                  <w:rStyle w:val="Hyperlink"/>
                  <w:rFonts w:ascii="Calibri" w:hAnsi="Calibri" w:cs="Arial"/>
                  <w:sz w:val="16"/>
                  <w:szCs w:val="16"/>
                </w:rPr>
                <w:t>ECE PIERS Digital Platform</w:t>
              </w:r>
            </w:hyperlink>
            <w:r w:rsidR="000761A6">
              <w:t xml:space="preserve"> (</w:t>
            </w:r>
            <w:r w:rsidR="000761A6" w:rsidRPr="00D34AE0">
              <w:rPr>
                <w:rFonts w:ascii="Calibri" w:hAnsi="Calibri" w:cs="Arial"/>
                <w:sz w:val="16"/>
                <w:szCs w:val="16"/>
              </w:rPr>
              <w:t>to facilitate the use and dissemination of the ECE PIERS methodology</w:t>
            </w:r>
            <w:r w:rsidR="000761A6">
              <w:rPr>
                <w:rFonts w:ascii="Calibri" w:hAnsi="Calibri" w:cs="Arial"/>
                <w:sz w:val="16"/>
                <w:szCs w:val="16"/>
              </w:rPr>
              <w:t>)</w:t>
            </w:r>
          </w:p>
          <w:p w14:paraId="1A878C13" w14:textId="5DE9D601" w:rsidR="008E11CE" w:rsidRPr="0030286C" w:rsidRDefault="008E11CE" w:rsidP="003B672F">
            <w:pPr>
              <w:pStyle w:val="ListParagraph"/>
              <w:numPr>
                <w:ilvl w:val="1"/>
                <w:numId w:val="17"/>
              </w:numPr>
              <w:spacing w:after="120"/>
              <w:rPr>
                <w:sz w:val="16"/>
                <w:szCs w:val="16"/>
                <w:lang w:eastAsia="en-CA"/>
              </w:rPr>
            </w:pPr>
            <w:r w:rsidRPr="006253B1">
              <w:rPr>
                <w:b/>
                <w:bCs/>
                <w:sz w:val="16"/>
                <w:szCs w:val="16"/>
                <w:lang w:eastAsia="en-CA"/>
              </w:rPr>
              <w:t>ESC</w:t>
            </w:r>
            <w:r w:rsidR="0086137D" w:rsidRPr="006253B1">
              <w:rPr>
                <w:b/>
                <w:bCs/>
                <w:sz w:val="16"/>
                <w:szCs w:val="16"/>
                <w:lang w:eastAsia="en-CA"/>
              </w:rPr>
              <w:t>W</w:t>
            </w:r>
            <w:r w:rsidRPr="006253B1">
              <w:rPr>
                <w:b/>
                <w:bCs/>
                <w:sz w:val="16"/>
                <w:szCs w:val="16"/>
                <w:lang w:eastAsia="en-CA"/>
              </w:rPr>
              <w:t>A</w:t>
            </w:r>
            <w:r w:rsidR="000761A6" w:rsidRPr="006253B1">
              <w:rPr>
                <w:b/>
                <w:bCs/>
                <w:sz w:val="16"/>
                <w:szCs w:val="16"/>
                <w:lang w:eastAsia="en-CA"/>
              </w:rPr>
              <w:t>:</w:t>
            </w:r>
            <w:r w:rsidR="000761A6">
              <w:rPr>
                <w:sz w:val="16"/>
                <w:szCs w:val="16"/>
                <w:lang w:eastAsia="en-CA"/>
              </w:rPr>
              <w:t xml:space="preserve"> </w:t>
            </w:r>
            <w:r w:rsidR="00644E74">
              <w:rPr>
                <w:sz w:val="16"/>
                <w:szCs w:val="16"/>
                <w:lang w:eastAsia="en-CA"/>
              </w:rPr>
              <w:t xml:space="preserve">Numerous tools developed through the </w:t>
            </w:r>
            <w:hyperlink r:id="rId100" w:history="1">
              <w:r w:rsidR="00A6769A" w:rsidRPr="00A637E9">
                <w:rPr>
                  <w:rStyle w:val="Hyperlink"/>
                  <w:rFonts w:ascii="Calibri" w:hAnsi="Calibri" w:cs="Arial"/>
                  <w:sz w:val="16"/>
                  <w:szCs w:val="16"/>
                </w:rPr>
                <w:t>Arab Financing for Development Gateway</w:t>
              </w:r>
            </w:hyperlink>
            <w:r w:rsidR="00A6769A">
              <w:t xml:space="preserve"> (</w:t>
            </w:r>
            <w:r w:rsidR="00A6769A">
              <w:rPr>
                <w:sz w:val="16"/>
                <w:szCs w:val="16"/>
              </w:rPr>
              <w:t xml:space="preserve">to </w:t>
            </w:r>
            <w:r w:rsidR="00A6769A" w:rsidRPr="00A637E9">
              <w:rPr>
                <w:rFonts w:ascii="Calibri" w:hAnsi="Calibri" w:cs="Arial"/>
                <w:sz w:val="16"/>
                <w:szCs w:val="16"/>
              </w:rPr>
              <w:t xml:space="preserve">enhance INFF </w:t>
            </w:r>
            <w:r w:rsidR="006321A6">
              <w:rPr>
                <w:rFonts w:ascii="Calibri" w:hAnsi="Calibri" w:cs="Arial"/>
                <w:sz w:val="16"/>
                <w:szCs w:val="16"/>
              </w:rPr>
              <w:t>knowledge-exchange</w:t>
            </w:r>
            <w:r w:rsidR="00A6769A" w:rsidRPr="00A637E9">
              <w:rPr>
                <w:rFonts w:ascii="Calibri" w:hAnsi="Calibri" w:cs="Arial"/>
                <w:sz w:val="16"/>
                <w:szCs w:val="16"/>
              </w:rPr>
              <w:t xml:space="preserve"> and peer</w:t>
            </w:r>
            <w:r w:rsidR="00A6769A">
              <w:rPr>
                <w:rFonts w:ascii="Calibri" w:hAnsi="Calibri" w:cs="Arial"/>
                <w:sz w:val="16"/>
                <w:szCs w:val="16"/>
              </w:rPr>
              <w:t>-</w:t>
            </w:r>
            <w:r w:rsidR="00A6769A" w:rsidRPr="00A637E9">
              <w:rPr>
                <w:rFonts w:ascii="Calibri" w:hAnsi="Calibri" w:cs="Arial"/>
                <w:sz w:val="16"/>
                <w:szCs w:val="16"/>
              </w:rPr>
              <w:t>learning</w:t>
            </w:r>
            <w:r w:rsidR="00F6473D">
              <w:rPr>
                <w:rFonts w:ascii="Calibri" w:hAnsi="Calibri" w:cs="Arial"/>
                <w:sz w:val="16"/>
                <w:szCs w:val="16"/>
              </w:rPr>
              <w:t>)</w:t>
            </w:r>
          </w:p>
          <w:p w14:paraId="0A6A23D4" w14:textId="14D86071" w:rsidR="0030286C" w:rsidRPr="002326B0" w:rsidRDefault="002326B0" w:rsidP="003B672F">
            <w:pPr>
              <w:pStyle w:val="ListParagraph"/>
              <w:numPr>
                <w:ilvl w:val="2"/>
                <w:numId w:val="17"/>
              </w:numPr>
              <w:spacing w:after="120"/>
              <w:rPr>
                <w:sz w:val="16"/>
                <w:szCs w:val="16"/>
                <w:lang w:eastAsia="en-CA"/>
              </w:rPr>
            </w:pPr>
            <w:r w:rsidRPr="00A637E9">
              <w:rPr>
                <w:rFonts w:ascii="Calibri" w:hAnsi="Calibri" w:cs="Arial"/>
                <w:sz w:val="16"/>
                <w:szCs w:val="16"/>
              </w:rPr>
              <w:t>National SDG-costing calculators</w:t>
            </w:r>
          </w:p>
          <w:p w14:paraId="16C89153" w14:textId="56070FC1" w:rsidR="002326B0" w:rsidRPr="002326B0" w:rsidRDefault="002326B0" w:rsidP="003B672F">
            <w:pPr>
              <w:pStyle w:val="ListParagraph"/>
              <w:numPr>
                <w:ilvl w:val="2"/>
                <w:numId w:val="17"/>
              </w:numPr>
              <w:spacing w:after="120"/>
              <w:rPr>
                <w:sz w:val="16"/>
                <w:szCs w:val="16"/>
                <w:lang w:eastAsia="en-CA"/>
              </w:rPr>
            </w:pPr>
            <w:r w:rsidRPr="00A637E9">
              <w:rPr>
                <w:rFonts w:ascii="Calibri" w:hAnsi="Calibri" w:cs="Arial"/>
                <w:sz w:val="16"/>
                <w:szCs w:val="16"/>
              </w:rPr>
              <w:t>SDG-</w:t>
            </w:r>
            <w:r>
              <w:rPr>
                <w:rFonts w:ascii="Calibri" w:hAnsi="Calibri" w:cs="Arial"/>
                <w:sz w:val="16"/>
                <w:szCs w:val="16"/>
              </w:rPr>
              <w:t>f</w:t>
            </w:r>
            <w:r w:rsidRPr="00A637E9">
              <w:rPr>
                <w:rFonts w:ascii="Calibri" w:hAnsi="Calibri" w:cs="Arial"/>
                <w:sz w:val="16"/>
                <w:szCs w:val="16"/>
              </w:rPr>
              <w:t xml:space="preserve">inancing </w:t>
            </w:r>
            <w:r>
              <w:rPr>
                <w:rFonts w:ascii="Calibri" w:hAnsi="Calibri" w:cs="Arial"/>
                <w:sz w:val="16"/>
                <w:szCs w:val="16"/>
              </w:rPr>
              <w:t>s</w:t>
            </w:r>
            <w:r w:rsidRPr="00A637E9">
              <w:rPr>
                <w:rFonts w:ascii="Calibri" w:hAnsi="Calibri" w:cs="Arial"/>
                <w:sz w:val="16"/>
                <w:szCs w:val="16"/>
              </w:rPr>
              <w:t>imulators</w:t>
            </w:r>
          </w:p>
          <w:p w14:paraId="21A0DEA4" w14:textId="376820AF" w:rsidR="002326B0" w:rsidRPr="002326B0" w:rsidRDefault="002326B0" w:rsidP="003B672F">
            <w:pPr>
              <w:pStyle w:val="ListParagraph"/>
              <w:numPr>
                <w:ilvl w:val="2"/>
                <w:numId w:val="17"/>
              </w:numPr>
              <w:spacing w:after="120"/>
              <w:rPr>
                <w:sz w:val="16"/>
                <w:szCs w:val="16"/>
                <w:lang w:eastAsia="en-CA"/>
              </w:rPr>
            </w:pPr>
            <w:r w:rsidRPr="00A637E9">
              <w:rPr>
                <w:rFonts w:ascii="Calibri" w:hAnsi="Calibri" w:cs="Arial"/>
                <w:sz w:val="16"/>
                <w:szCs w:val="16"/>
              </w:rPr>
              <w:t>SDG-</w:t>
            </w:r>
            <w:r>
              <w:rPr>
                <w:rFonts w:ascii="Calibri" w:hAnsi="Calibri" w:cs="Arial"/>
                <w:sz w:val="16"/>
                <w:szCs w:val="16"/>
              </w:rPr>
              <w:t>i</w:t>
            </w:r>
            <w:r w:rsidRPr="00A637E9">
              <w:rPr>
                <w:rFonts w:ascii="Calibri" w:hAnsi="Calibri" w:cs="Arial"/>
                <w:sz w:val="16"/>
                <w:szCs w:val="16"/>
              </w:rPr>
              <w:t>nterlinkages toolkit</w:t>
            </w:r>
          </w:p>
          <w:p w14:paraId="02657F02" w14:textId="679FB2BE" w:rsidR="002326B0" w:rsidRPr="00235C0B" w:rsidRDefault="00235C0B" w:rsidP="003B672F">
            <w:pPr>
              <w:pStyle w:val="ListParagraph"/>
              <w:numPr>
                <w:ilvl w:val="2"/>
                <w:numId w:val="17"/>
              </w:numPr>
              <w:spacing w:after="120"/>
              <w:rPr>
                <w:sz w:val="16"/>
                <w:szCs w:val="16"/>
                <w:lang w:eastAsia="en-CA"/>
              </w:rPr>
            </w:pPr>
            <w:r w:rsidRPr="00A637E9">
              <w:rPr>
                <w:rFonts w:ascii="Calibri" w:hAnsi="Calibri" w:cs="Arial"/>
                <w:sz w:val="16"/>
                <w:szCs w:val="16"/>
              </w:rPr>
              <w:t>SDG-</w:t>
            </w:r>
            <w:r>
              <w:rPr>
                <w:rFonts w:ascii="Calibri" w:hAnsi="Calibri" w:cs="Arial"/>
                <w:sz w:val="16"/>
                <w:szCs w:val="16"/>
              </w:rPr>
              <w:t>f</w:t>
            </w:r>
            <w:r w:rsidRPr="00A637E9">
              <w:rPr>
                <w:rFonts w:ascii="Calibri" w:hAnsi="Calibri" w:cs="Arial"/>
                <w:sz w:val="16"/>
                <w:szCs w:val="16"/>
              </w:rPr>
              <w:t xml:space="preserve">inancing </w:t>
            </w:r>
            <w:r>
              <w:rPr>
                <w:rFonts w:ascii="Calibri" w:hAnsi="Calibri" w:cs="Arial"/>
                <w:sz w:val="16"/>
                <w:szCs w:val="16"/>
              </w:rPr>
              <w:t>g</w:t>
            </w:r>
            <w:r w:rsidRPr="00A637E9">
              <w:rPr>
                <w:rFonts w:ascii="Calibri" w:hAnsi="Calibri" w:cs="Arial"/>
                <w:sz w:val="16"/>
                <w:szCs w:val="16"/>
              </w:rPr>
              <w:t xml:space="preserve">ap </w:t>
            </w:r>
            <w:r>
              <w:rPr>
                <w:rFonts w:ascii="Calibri" w:hAnsi="Calibri" w:cs="Arial"/>
                <w:sz w:val="16"/>
                <w:szCs w:val="16"/>
              </w:rPr>
              <w:t>e</w:t>
            </w:r>
            <w:r w:rsidRPr="00A637E9">
              <w:rPr>
                <w:rFonts w:ascii="Calibri" w:hAnsi="Calibri" w:cs="Arial"/>
                <w:sz w:val="16"/>
                <w:szCs w:val="16"/>
              </w:rPr>
              <w:t>stimators</w:t>
            </w:r>
          </w:p>
          <w:p w14:paraId="30316D88" w14:textId="3B3C1CF7" w:rsidR="00235C0B" w:rsidRPr="00235C0B" w:rsidRDefault="00235C0B" w:rsidP="003B672F">
            <w:pPr>
              <w:pStyle w:val="ListParagraph"/>
              <w:numPr>
                <w:ilvl w:val="2"/>
                <w:numId w:val="17"/>
              </w:numPr>
              <w:spacing w:after="120"/>
              <w:rPr>
                <w:sz w:val="16"/>
                <w:szCs w:val="16"/>
                <w:lang w:eastAsia="en-CA"/>
              </w:rPr>
            </w:pPr>
            <w:r w:rsidRPr="00A637E9">
              <w:rPr>
                <w:rFonts w:ascii="Calibri" w:hAnsi="Calibri" w:cs="Arial"/>
                <w:sz w:val="16"/>
                <w:szCs w:val="16"/>
              </w:rPr>
              <w:t>SDG-</w:t>
            </w:r>
            <w:r>
              <w:rPr>
                <w:rFonts w:ascii="Calibri" w:hAnsi="Calibri" w:cs="Arial"/>
                <w:sz w:val="16"/>
                <w:szCs w:val="16"/>
              </w:rPr>
              <w:t>f</w:t>
            </w:r>
            <w:r w:rsidRPr="00A637E9">
              <w:rPr>
                <w:rFonts w:ascii="Calibri" w:hAnsi="Calibri" w:cs="Arial"/>
                <w:sz w:val="16"/>
                <w:szCs w:val="16"/>
              </w:rPr>
              <w:t xml:space="preserve">inancing </w:t>
            </w:r>
            <w:r>
              <w:rPr>
                <w:rFonts w:ascii="Calibri" w:hAnsi="Calibri" w:cs="Arial"/>
                <w:sz w:val="16"/>
                <w:szCs w:val="16"/>
              </w:rPr>
              <w:t>s</w:t>
            </w:r>
            <w:r w:rsidRPr="00A637E9">
              <w:rPr>
                <w:rFonts w:ascii="Calibri" w:hAnsi="Calibri" w:cs="Arial"/>
                <w:sz w:val="16"/>
                <w:szCs w:val="16"/>
              </w:rPr>
              <w:t>olvers</w:t>
            </w:r>
          </w:p>
          <w:p w14:paraId="286AC90B" w14:textId="0F86F370" w:rsidR="00235C0B" w:rsidRPr="00235C0B" w:rsidRDefault="00235C0B" w:rsidP="003B672F">
            <w:pPr>
              <w:pStyle w:val="ListParagraph"/>
              <w:numPr>
                <w:ilvl w:val="2"/>
                <w:numId w:val="17"/>
              </w:numPr>
              <w:spacing w:after="120"/>
              <w:rPr>
                <w:sz w:val="16"/>
                <w:szCs w:val="16"/>
                <w:lang w:eastAsia="en-CA"/>
              </w:rPr>
            </w:pPr>
            <w:r w:rsidRPr="00A637E9">
              <w:rPr>
                <w:rFonts w:ascii="Calibri" w:hAnsi="Calibri" w:cs="Arial"/>
                <w:sz w:val="16"/>
                <w:szCs w:val="16"/>
              </w:rPr>
              <w:t xml:space="preserve">SDG </w:t>
            </w:r>
            <w:r>
              <w:rPr>
                <w:rFonts w:ascii="Calibri" w:hAnsi="Calibri" w:cs="Arial"/>
                <w:sz w:val="16"/>
                <w:szCs w:val="16"/>
              </w:rPr>
              <w:t>e</w:t>
            </w:r>
            <w:r w:rsidRPr="00A637E9">
              <w:rPr>
                <w:rFonts w:ascii="Calibri" w:hAnsi="Calibri" w:cs="Arial"/>
                <w:sz w:val="16"/>
                <w:szCs w:val="16"/>
              </w:rPr>
              <w:t xml:space="preserve">fficiency </w:t>
            </w:r>
            <w:r>
              <w:rPr>
                <w:rFonts w:ascii="Calibri" w:hAnsi="Calibri" w:cs="Arial"/>
                <w:sz w:val="16"/>
                <w:szCs w:val="16"/>
              </w:rPr>
              <w:t>b</w:t>
            </w:r>
            <w:r w:rsidRPr="00A637E9">
              <w:rPr>
                <w:rFonts w:ascii="Calibri" w:hAnsi="Calibri" w:cs="Arial"/>
                <w:sz w:val="16"/>
                <w:szCs w:val="16"/>
              </w:rPr>
              <w:t>arometers</w:t>
            </w:r>
          </w:p>
          <w:p w14:paraId="77D11F17" w14:textId="2E014478" w:rsidR="009268FC" w:rsidRPr="00416F09" w:rsidRDefault="00235C0B" w:rsidP="003B672F">
            <w:pPr>
              <w:pStyle w:val="ListParagraph"/>
              <w:numPr>
                <w:ilvl w:val="2"/>
                <w:numId w:val="17"/>
              </w:numPr>
              <w:spacing w:after="120"/>
              <w:rPr>
                <w:sz w:val="16"/>
                <w:szCs w:val="16"/>
                <w:lang w:eastAsia="en-CA"/>
              </w:rPr>
            </w:pPr>
            <w:hyperlink r:id="rId101" w:history="1">
              <w:r w:rsidRPr="00A637E9">
                <w:rPr>
                  <w:rStyle w:val="Hyperlink"/>
                  <w:rFonts w:ascii="Calibri" w:hAnsi="Calibri" w:cs="Arial"/>
                  <w:sz w:val="16"/>
                  <w:szCs w:val="16"/>
                </w:rPr>
                <w:t>SDG-Budget Intelligence and Machine Learning Toolkit (i-Bit)</w:t>
              </w:r>
            </w:hyperlink>
            <w:r w:rsidR="009268FC" w:rsidRPr="00416F09">
              <w:rPr>
                <w:rFonts w:ascii="Calibri" w:hAnsi="Calibri" w:cs="Arial"/>
                <w:sz w:val="16"/>
                <w:szCs w:val="16"/>
              </w:rPr>
              <w:t xml:space="preserve"> </w:t>
            </w:r>
          </w:p>
        </w:tc>
      </w:tr>
      <w:tr w:rsidR="0078678F" w:rsidRPr="009201BB" w14:paraId="7ADC35DF" w14:textId="77777777" w:rsidTr="00671B1C">
        <w:tc>
          <w:tcPr>
            <w:tcW w:w="9678" w:type="dxa"/>
          </w:tcPr>
          <w:p w14:paraId="1F041667" w14:textId="1CB4590F" w:rsidR="0078678F" w:rsidRPr="009201BB" w:rsidRDefault="0078678F" w:rsidP="002B7B14">
            <w:pPr>
              <w:spacing w:after="120"/>
              <w:rPr>
                <w:rFonts w:cstheme="minorHAnsi"/>
                <w:b/>
                <w:bCs/>
                <w:sz w:val="16"/>
                <w:szCs w:val="16"/>
              </w:rPr>
            </w:pPr>
            <w:r w:rsidRPr="009201BB">
              <w:rPr>
                <w:b/>
                <w:bCs/>
                <w:sz w:val="16"/>
                <w:szCs w:val="16"/>
                <w:lang w:eastAsia="en-CA"/>
              </w:rPr>
              <w:t>OP 1.2</w:t>
            </w:r>
            <w:r w:rsidRPr="009201BB">
              <w:rPr>
                <w:sz w:val="16"/>
                <w:szCs w:val="16"/>
                <w:lang w:eastAsia="en-CA"/>
              </w:rPr>
              <w:t xml:space="preserve"> Inception/ Training workshop to introduce INFF methodology, based on guidance developed by the IATF and targeted guidance developed for the project, to government officials, as well as other key stakeholders, including in particular private sector parliaments</w:t>
            </w:r>
          </w:p>
        </w:tc>
      </w:tr>
      <w:tr w:rsidR="0078678F" w:rsidRPr="009201BB" w14:paraId="1464D0EE" w14:textId="77777777" w:rsidTr="00671B1C">
        <w:tc>
          <w:tcPr>
            <w:tcW w:w="9678" w:type="dxa"/>
          </w:tcPr>
          <w:p w14:paraId="39BB4A08" w14:textId="7041F2B6" w:rsidR="0078678F" w:rsidRDefault="000C3A1F" w:rsidP="003B672F">
            <w:pPr>
              <w:pStyle w:val="ListParagraph"/>
              <w:numPr>
                <w:ilvl w:val="0"/>
                <w:numId w:val="17"/>
              </w:numPr>
              <w:spacing w:after="120"/>
              <w:rPr>
                <w:sz w:val="16"/>
                <w:szCs w:val="16"/>
                <w:lang w:eastAsia="en-CA"/>
              </w:rPr>
            </w:pPr>
            <w:r w:rsidRPr="000C3A1F">
              <w:rPr>
                <w:sz w:val="16"/>
                <w:szCs w:val="16"/>
                <w:lang w:eastAsia="en-CA"/>
              </w:rPr>
              <w:t>C</w:t>
            </w:r>
            <w:r>
              <w:rPr>
                <w:sz w:val="16"/>
                <w:szCs w:val="16"/>
                <w:lang w:eastAsia="en-CA"/>
              </w:rPr>
              <w:t xml:space="preserve">ompletion of national inception </w:t>
            </w:r>
            <w:r w:rsidR="00A72F67">
              <w:rPr>
                <w:sz w:val="16"/>
                <w:szCs w:val="16"/>
                <w:lang w:eastAsia="en-CA"/>
              </w:rPr>
              <w:t>training/ workshops:</w:t>
            </w:r>
          </w:p>
          <w:p w14:paraId="08BD33A5" w14:textId="3DE07A25" w:rsidR="00FB00F7" w:rsidRDefault="00FB00F7" w:rsidP="003B672F">
            <w:pPr>
              <w:pStyle w:val="ListParagraph"/>
              <w:numPr>
                <w:ilvl w:val="1"/>
                <w:numId w:val="17"/>
              </w:numPr>
              <w:spacing w:after="60"/>
              <w:ind w:hanging="357"/>
              <w:contextualSpacing w:val="0"/>
              <w:rPr>
                <w:sz w:val="16"/>
                <w:szCs w:val="16"/>
                <w:lang w:eastAsia="en-CA"/>
              </w:rPr>
            </w:pPr>
            <w:r w:rsidRPr="00871DD2">
              <w:rPr>
                <w:b/>
                <w:bCs/>
                <w:sz w:val="16"/>
                <w:szCs w:val="16"/>
                <w:lang w:eastAsia="en-CA"/>
              </w:rPr>
              <w:t>Burkina Faso</w:t>
            </w:r>
            <w:r w:rsidR="00893F96" w:rsidRPr="00871DD2">
              <w:rPr>
                <w:b/>
                <w:bCs/>
                <w:sz w:val="16"/>
                <w:szCs w:val="16"/>
                <w:lang w:eastAsia="en-CA"/>
              </w:rPr>
              <w:t>:</w:t>
            </w:r>
            <w:r w:rsidR="00893F96">
              <w:rPr>
                <w:sz w:val="16"/>
                <w:szCs w:val="16"/>
                <w:lang w:eastAsia="en-CA"/>
              </w:rPr>
              <w:t xml:space="preserve"> </w:t>
            </w:r>
            <w:r w:rsidR="00893F96" w:rsidRPr="00A637E9">
              <w:rPr>
                <w:rFonts w:ascii="Calibri" w:hAnsi="Calibri" w:cs="Arial"/>
                <w:sz w:val="16"/>
                <w:szCs w:val="16"/>
              </w:rPr>
              <w:t>Two national workshops delivered in 2022</w:t>
            </w:r>
            <w:r w:rsidR="008426AF">
              <w:rPr>
                <w:rFonts w:ascii="Calibri" w:hAnsi="Calibri" w:cs="Arial"/>
                <w:sz w:val="16"/>
                <w:szCs w:val="16"/>
              </w:rPr>
              <w:t xml:space="preserve"> by UNECA</w:t>
            </w:r>
          </w:p>
          <w:p w14:paraId="6A124762" w14:textId="46ADE76E" w:rsidR="00893F96" w:rsidRPr="00893F96" w:rsidRDefault="00893F96" w:rsidP="003B672F">
            <w:pPr>
              <w:pStyle w:val="ListParagraph"/>
              <w:numPr>
                <w:ilvl w:val="2"/>
                <w:numId w:val="17"/>
              </w:numPr>
              <w:spacing w:after="60"/>
              <w:ind w:hanging="357"/>
              <w:contextualSpacing w:val="0"/>
              <w:rPr>
                <w:sz w:val="16"/>
                <w:szCs w:val="16"/>
                <w:lang w:eastAsia="en-CA"/>
              </w:rPr>
            </w:pPr>
            <w:r w:rsidRPr="00A637E9">
              <w:rPr>
                <w:rFonts w:ascii="Calibri" w:hAnsi="Calibri" w:cs="Arial"/>
                <w:sz w:val="16"/>
                <w:szCs w:val="16"/>
              </w:rPr>
              <w:t xml:space="preserve">INFF inception workshop /training for the national steering committee </w:t>
            </w:r>
            <w:r>
              <w:rPr>
                <w:rFonts w:ascii="Calibri" w:hAnsi="Calibri" w:cs="Arial"/>
                <w:sz w:val="16"/>
                <w:szCs w:val="16"/>
              </w:rPr>
              <w:t xml:space="preserve">for </w:t>
            </w:r>
            <w:r w:rsidRPr="00A637E9">
              <w:rPr>
                <w:rFonts w:ascii="Calibri" w:hAnsi="Calibri" w:cs="Arial"/>
                <w:sz w:val="16"/>
                <w:szCs w:val="16"/>
              </w:rPr>
              <w:t>INFF development</w:t>
            </w:r>
          </w:p>
          <w:p w14:paraId="0ADD0645" w14:textId="2130C9FC" w:rsidR="00893F96" w:rsidRDefault="00687F2E" w:rsidP="003B672F">
            <w:pPr>
              <w:pStyle w:val="ListParagraph"/>
              <w:numPr>
                <w:ilvl w:val="2"/>
                <w:numId w:val="17"/>
              </w:numPr>
              <w:spacing w:after="60"/>
              <w:ind w:hanging="357"/>
              <w:contextualSpacing w:val="0"/>
              <w:rPr>
                <w:sz w:val="16"/>
                <w:szCs w:val="16"/>
                <w:lang w:eastAsia="en-CA"/>
              </w:rPr>
            </w:pPr>
            <w:r>
              <w:rPr>
                <w:rFonts w:ascii="Calibri" w:hAnsi="Calibri" w:cs="Arial"/>
                <w:sz w:val="16"/>
                <w:szCs w:val="16"/>
              </w:rPr>
              <w:t xml:space="preserve">Validation </w:t>
            </w:r>
            <w:r w:rsidRPr="00A637E9">
              <w:rPr>
                <w:rFonts w:ascii="Calibri" w:hAnsi="Calibri" w:cs="Arial"/>
                <w:sz w:val="16"/>
                <w:szCs w:val="16"/>
              </w:rPr>
              <w:t>workshop for the D</w:t>
            </w:r>
            <w:r>
              <w:rPr>
                <w:rFonts w:ascii="Calibri" w:hAnsi="Calibri" w:cs="Arial"/>
                <w:sz w:val="16"/>
                <w:szCs w:val="16"/>
              </w:rPr>
              <w:t xml:space="preserve">evelopment </w:t>
            </w:r>
            <w:r w:rsidRPr="00A637E9">
              <w:rPr>
                <w:rFonts w:ascii="Calibri" w:hAnsi="Calibri" w:cs="Arial"/>
                <w:sz w:val="16"/>
                <w:szCs w:val="16"/>
              </w:rPr>
              <w:t>F</w:t>
            </w:r>
            <w:r>
              <w:rPr>
                <w:rFonts w:ascii="Calibri" w:hAnsi="Calibri" w:cs="Arial"/>
                <w:sz w:val="16"/>
                <w:szCs w:val="16"/>
              </w:rPr>
              <w:t xml:space="preserve">inance </w:t>
            </w:r>
            <w:r w:rsidRPr="00A637E9">
              <w:rPr>
                <w:rFonts w:ascii="Calibri" w:hAnsi="Calibri" w:cs="Arial"/>
                <w:sz w:val="16"/>
                <w:szCs w:val="16"/>
              </w:rPr>
              <w:t>A</w:t>
            </w:r>
            <w:r>
              <w:rPr>
                <w:rFonts w:ascii="Calibri" w:hAnsi="Calibri" w:cs="Arial"/>
                <w:sz w:val="16"/>
                <w:szCs w:val="16"/>
              </w:rPr>
              <w:t>ssessment</w:t>
            </w:r>
            <w:r w:rsidRPr="00A637E9">
              <w:rPr>
                <w:rFonts w:ascii="Calibri" w:hAnsi="Calibri" w:cs="Arial"/>
                <w:sz w:val="16"/>
                <w:szCs w:val="16"/>
              </w:rPr>
              <w:t xml:space="preserve"> and the INFF implementation roadmap</w:t>
            </w:r>
          </w:p>
          <w:p w14:paraId="4194232D" w14:textId="6585B36C" w:rsidR="00FB00F7" w:rsidRPr="00871DD2" w:rsidRDefault="00FB00F7" w:rsidP="003B672F">
            <w:pPr>
              <w:pStyle w:val="ListParagraph"/>
              <w:numPr>
                <w:ilvl w:val="1"/>
                <w:numId w:val="17"/>
              </w:numPr>
              <w:spacing w:after="120"/>
              <w:rPr>
                <w:b/>
                <w:bCs/>
                <w:sz w:val="16"/>
                <w:szCs w:val="16"/>
                <w:lang w:eastAsia="en-CA"/>
              </w:rPr>
            </w:pPr>
            <w:r w:rsidRPr="00871DD2">
              <w:rPr>
                <w:b/>
                <w:bCs/>
                <w:sz w:val="16"/>
                <w:szCs w:val="16"/>
                <w:lang w:eastAsia="en-CA"/>
              </w:rPr>
              <w:t>Dominican Republic:</w:t>
            </w:r>
          </w:p>
          <w:p w14:paraId="0EF7A64D" w14:textId="0821E409" w:rsidR="00EE62EE" w:rsidRDefault="00BE7F8D" w:rsidP="003B672F">
            <w:pPr>
              <w:pStyle w:val="ListParagraph"/>
              <w:numPr>
                <w:ilvl w:val="2"/>
                <w:numId w:val="17"/>
              </w:numPr>
              <w:spacing w:after="60"/>
              <w:ind w:left="2438" w:hanging="357"/>
              <w:contextualSpacing w:val="0"/>
              <w:rPr>
                <w:sz w:val="16"/>
                <w:szCs w:val="16"/>
                <w:lang w:eastAsia="en-CA"/>
              </w:rPr>
            </w:pPr>
            <w:r>
              <w:rPr>
                <w:sz w:val="16"/>
                <w:szCs w:val="16"/>
                <w:lang w:eastAsia="en-CA"/>
              </w:rPr>
              <w:t xml:space="preserve">INFF </w:t>
            </w:r>
            <w:r w:rsidR="007E37D9">
              <w:rPr>
                <w:sz w:val="16"/>
                <w:szCs w:val="16"/>
                <w:lang w:eastAsia="en-CA"/>
              </w:rPr>
              <w:t>workshop</w:t>
            </w:r>
            <w:r w:rsidR="00FE21ED">
              <w:rPr>
                <w:sz w:val="16"/>
                <w:szCs w:val="16"/>
                <w:lang w:eastAsia="en-CA"/>
              </w:rPr>
              <w:t xml:space="preserve"> held in May 2023 (co-organised by UNECLAC and UNDESA)</w:t>
            </w:r>
          </w:p>
          <w:p w14:paraId="10C63AFE" w14:textId="69B2FF96" w:rsidR="00CA0A2E" w:rsidRDefault="00CA0A2E" w:rsidP="003B672F">
            <w:pPr>
              <w:pStyle w:val="ListParagraph"/>
              <w:numPr>
                <w:ilvl w:val="2"/>
                <w:numId w:val="17"/>
              </w:numPr>
              <w:spacing w:after="60"/>
              <w:ind w:left="2438" w:hanging="357"/>
              <w:contextualSpacing w:val="0"/>
              <w:rPr>
                <w:sz w:val="16"/>
                <w:szCs w:val="16"/>
                <w:lang w:eastAsia="en-CA"/>
              </w:rPr>
            </w:pPr>
            <w:r>
              <w:rPr>
                <w:sz w:val="16"/>
                <w:szCs w:val="16"/>
                <w:lang w:eastAsia="en-CA"/>
              </w:rPr>
              <w:lastRenderedPageBreak/>
              <w:t xml:space="preserve">Scoping mission </w:t>
            </w:r>
            <w:r w:rsidR="00F453C5">
              <w:rPr>
                <w:sz w:val="16"/>
                <w:szCs w:val="16"/>
                <w:lang w:eastAsia="en-CA"/>
              </w:rPr>
              <w:t>conducted in follow-up to determine INFF support</w:t>
            </w:r>
            <w:r w:rsidR="0036643C">
              <w:rPr>
                <w:sz w:val="16"/>
                <w:szCs w:val="16"/>
                <w:lang w:eastAsia="en-CA"/>
              </w:rPr>
              <w:t xml:space="preserve"> </w:t>
            </w:r>
            <w:r w:rsidR="00CC60CA">
              <w:rPr>
                <w:sz w:val="16"/>
                <w:szCs w:val="16"/>
                <w:lang w:eastAsia="en-CA"/>
              </w:rPr>
              <w:t>(resulted in a request for technical assistance in September 2023)</w:t>
            </w:r>
          </w:p>
          <w:p w14:paraId="085B8D34" w14:textId="77777777" w:rsidR="0026008D" w:rsidRPr="00DE2D74" w:rsidRDefault="00383C2D" w:rsidP="003B672F">
            <w:pPr>
              <w:pStyle w:val="ListParagraph"/>
              <w:numPr>
                <w:ilvl w:val="1"/>
                <w:numId w:val="17"/>
              </w:numPr>
              <w:spacing w:after="120"/>
              <w:rPr>
                <w:b/>
                <w:bCs/>
                <w:sz w:val="16"/>
                <w:szCs w:val="16"/>
                <w:lang w:eastAsia="en-CA"/>
              </w:rPr>
            </w:pPr>
            <w:r w:rsidRPr="00DE2D74">
              <w:rPr>
                <w:b/>
                <w:bCs/>
                <w:sz w:val="16"/>
                <w:szCs w:val="16"/>
                <w:lang w:eastAsia="en-CA"/>
              </w:rPr>
              <w:t>Egypt</w:t>
            </w:r>
            <w:r w:rsidR="00871DD2" w:rsidRPr="00DE2D74">
              <w:rPr>
                <w:b/>
                <w:bCs/>
                <w:sz w:val="16"/>
                <w:szCs w:val="16"/>
                <w:lang w:eastAsia="en-CA"/>
              </w:rPr>
              <w:t xml:space="preserve">: </w:t>
            </w:r>
          </w:p>
          <w:p w14:paraId="7AD88034" w14:textId="0F9B5118" w:rsidR="0026008D" w:rsidRDefault="0026008D" w:rsidP="003B672F">
            <w:pPr>
              <w:pStyle w:val="ListParagraph"/>
              <w:numPr>
                <w:ilvl w:val="2"/>
                <w:numId w:val="17"/>
              </w:numPr>
              <w:spacing w:after="60"/>
              <w:ind w:left="2438" w:hanging="357"/>
              <w:contextualSpacing w:val="0"/>
              <w:rPr>
                <w:sz w:val="16"/>
                <w:szCs w:val="16"/>
                <w:lang w:eastAsia="en-CA"/>
              </w:rPr>
            </w:pPr>
            <w:r w:rsidRPr="00A637E9">
              <w:rPr>
                <w:rFonts w:ascii="Calibri" w:hAnsi="Calibri" w:cs="Arial"/>
                <w:sz w:val="16"/>
                <w:szCs w:val="16"/>
              </w:rPr>
              <w:t xml:space="preserve">High-level regional </w:t>
            </w:r>
            <w:hyperlink r:id="rId102" w:history="1">
              <w:r w:rsidRPr="00A330B0">
                <w:rPr>
                  <w:rStyle w:val="Hyperlink"/>
                  <w:rFonts w:ascii="Calibri" w:hAnsi="Calibri" w:cs="Arial"/>
                  <w:sz w:val="16"/>
                  <w:szCs w:val="16"/>
                </w:rPr>
                <w:t>two-day INFF inception workshop</w:t>
              </w:r>
            </w:hyperlink>
            <w:r>
              <w:t xml:space="preserve"> </w:t>
            </w:r>
            <w:r>
              <w:rPr>
                <w:sz w:val="16"/>
                <w:szCs w:val="16"/>
              </w:rPr>
              <w:t>in December 2021</w:t>
            </w:r>
          </w:p>
          <w:p w14:paraId="725A6FAA" w14:textId="3B1EF770" w:rsidR="00EC4781" w:rsidRPr="00EC4781" w:rsidRDefault="00EC4781" w:rsidP="003B672F">
            <w:pPr>
              <w:pStyle w:val="ListParagraph"/>
              <w:numPr>
                <w:ilvl w:val="2"/>
                <w:numId w:val="17"/>
              </w:numPr>
              <w:spacing w:after="60"/>
              <w:ind w:left="2438" w:hanging="357"/>
              <w:contextualSpacing w:val="0"/>
              <w:rPr>
                <w:sz w:val="16"/>
                <w:szCs w:val="16"/>
                <w:lang w:eastAsia="en-CA"/>
              </w:rPr>
            </w:pPr>
            <w:r>
              <w:rPr>
                <w:sz w:val="16"/>
                <w:szCs w:val="16"/>
                <w:lang w:eastAsia="en-CA"/>
              </w:rPr>
              <w:t xml:space="preserve">UNESCWA/ UN Retreat held in </w:t>
            </w:r>
            <w:r w:rsidR="003432DE">
              <w:rPr>
                <w:sz w:val="16"/>
                <w:szCs w:val="16"/>
                <w:lang w:eastAsia="en-CA"/>
              </w:rPr>
              <w:t>F</w:t>
            </w:r>
            <w:r>
              <w:rPr>
                <w:sz w:val="16"/>
                <w:szCs w:val="16"/>
                <w:lang w:eastAsia="en-CA"/>
              </w:rPr>
              <w:t xml:space="preserve">ebruary 2022 for strategic dialogue on </w:t>
            </w:r>
            <w:r w:rsidR="005806A8">
              <w:rPr>
                <w:sz w:val="16"/>
                <w:szCs w:val="16"/>
                <w:lang w:eastAsia="en-CA"/>
              </w:rPr>
              <w:t>coordinated UN S</w:t>
            </w:r>
            <w:r w:rsidR="00EB5E4F">
              <w:rPr>
                <w:sz w:val="16"/>
                <w:szCs w:val="16"/>
                <w:lang w:eastAsia="en-CA"/>
              </w:rPr>
              <w:t>ys</w:t>
            </w:r>
            <w:r w:rsidR="005806A8">
              <w:rPr>
                <w:sz w:val="16"/>
                <w:szCs w:val="16"/>
                <w:lang w:eastAsia="en-CA"/>
              </w:rPr>
              <w:t xml:space="preserve">tem action to support </w:t>
            </w:r>
            <w:r w:rsidR="00EB5E4F">
              <w:rPr>
                <w:sz w:val="16"/>
                <w:szCs w:val="16"/>
                <w:lang w:eastAsia="en-CA"/>
              </w:rPr>
              <w:t xml:space="preserve">the </w:t>
            </w:r>
            <w:r w:rsidR="005806A8">
              <w:rPr>
                <w:sz w:val="16"/>
                <w:szCs w:val="16"/>
                <w:lang w:eastAsia="en-CA"/>
              </w:rPr>
              <w:t>development and implementation</w:t>
            </w:r>
            <w:r w:rsidR="00EB5E4F">
              <w:rPr>
                <w:sz w:val="16"/>
                <w:szCs w:val="16"/>
                <w:lang w:eastAsia="en-CA"/>
              </w:rPr>
              <w:t xml:space="preserve"> of an INFF</w:t>
            </w:r>
          </w:p>
          <w:p w14:paraId="2249E095" w14:textId="6BE94179" w:rsidR="00053780" w:rsidRPr="009411F7" w:rsidRDefault="00053780" w:rsidP="003B672F">
            <w:pPr>
              <w:pStyle w:val="ListParagraph"/>
              <w:numPr>
                <w:ilvl w:val="2"/>
                <w:numId w:val="17"/>
              </w:numPr>
              <w:spacing w:after="60"/>
              <w:ind w:left="2438" w:hanging="357"/>
              <w:contextualSpacing w:val="0"/>
              <w:rPr>
                <w:sz w:val="16"/>
                <w:szCs w:val="16"/>
                <w:lang w:eastAsia="en-CA"/>
              </w:rPr>
            </w:pPr>
            <w:r>
              <w:rPr>
                <w:rFonts w:ascii="Calibri" w:hAnsi="Calibri" w:cs="Arial"/>
                <w:sz w:val="16"/>
                <w:szCs w:val="16"/>
              </w:rPr>
              <w:t>T</w:t>
            </w:r>
            <w:r w:rsidRPr="00A637E9">
              <w:rPr>
                <w:rFonts w:ascii="Calibri" w:hAnsi="Calibri" w:cs="Arial"/>
                <w:sz w:val="16"/>
                <w:szCs w:val="16"/>
              </w:rPr>
              <w:t>echnical meeting</w:t>
            </w:r>
            <w:r w:rsidR="00AB1389">
              <w:rPr>
                <w:rFonts w:ascii="Calibri" w:hAnsi="Calibri" w:cs="Arial"/>
                <w:sz w:val="16"/>
                <w:szCs w:val="16"/>
              </w:rPr>
              <w:t xml:space="preserve"> held</w:t>
            </w:r>
            <w:r w:rsidRPr="00A637E9">
              <w:rPr>
                <w:rFonts w:ascii="Calibri" w:hAnsi="Calibri" w:cs="Arial"/>
                <w:sz w:val="16"/>
                <w:szCs w:val="16"/>
              </w:rPr>
              <w:t xml:space="preserve"> with the Assistant Minister of Finance</w:t>
            </w:r>
            <w:r w:rsidR="00AB1389">
              <w:rPr>
                <w:rFonts w:ascii="Calibri" w:hAnsi="Calibri" w:cs="Arial"/>
                <w:sz w:val="16"/>
                <w:szCs w:val="16"/>
              </w:rPr>
              <w:t xml:space="preserve"> in February 2022 </w:t>
            </w:r>
            <w:r w:rsidR="00AB1389" w:rsidRPr="00A637E9">
              <w:rPr>
                <w:rFonts w:ascii="Calibri" w:hAnsi="Calibri" w:cs="Arial"/>
                <w:sz w:val="16"/>
                <w:szCs w:val="16"/>
              </w:rPr>
              <w:t xml:space="preserve">to discuss INFF guidance, country needs and </w:t>
            </w:r>
            <w:r w:rsidR="00AB1389">
              <w:rPr>
                <w:rFonts w:ascii="Calibri" w:hAnsi="Calibri" w:cs="Arial"/>
                <w:sz w:val="16"/>
                <w:szCs w:val="16"/>
              </w:rPr>
              <w:t xml:space="preserve">INFF implementation </w:t>
            </w:r>
            <w:r w:rsidR="00AB1389" w:rsidRPr="00A637E9">
              <w:rPr>
                <w:rFonts w:ascii="Calibri" w:hAnsi="Calibri" w:cs="Arial"/>
                <w:sz w:val="16"/>
                <w:szCs w:val="16"/>
              </w:rPr>
              <w:t xml:space="preserve">tools </w:t>
            </w:r>
          </w:p>
          <w:p w14:paraId="5CF0C654" w14:textId="4B1E0647" w:rsidR="009411F7" w:rsidRPr="00A35433" w:rsidRDefault="009411F7" w:rsidP="003B672F">
            <w:pPr>
              <w:pStyle w:val="ListParagraph"/>
              <w:numPr>
                <w:ilvl w:val="2"/>
                <w:numId w:val="17"/>
              </w:numPr>
              <w:spacing w:after="60"/>
              <w:ind w:left="2438" w:hanging="357"/>
              <w:contextualSpacing w:val="0"/>
              <w:rPr>
                <w:sz w:val="16"/>
                <w:szCs w:val="16"/>
                <w:lang w:eastAsia="en-CA"/>
              </w:rPr>
            </w:pPr>
            <w:r>
              <w:rPr>
                <w:sz w:val="16"/>
                <w:szCs w:val="16"/>
                <w:lang w:eastAsia="en-CA"/>
              </w:rPr>
              <w:t>National meeting with</w:t>
            </w:r>
            <w:r w:rsidR="001C2F3D" w:rsidRPr="00A637E9">
              <w:rPr>
                <w:rFonts w:ascii="Calibri" w:hAnsi="Calibri" w:cs="Arial"/>
                <w:sz w:val="16"/>
                <w:szCs w:val="16"/>
              </w:rPr>
              <w:t xml:space="preserve"> Ministry Planning and Economic Development</w:t>
            </w:r>
            <w:r w:rsidR="001C2F3D">
              <w:rPr>
                <w:rFonts w:ascii="Calibri" w:hAnsi="Calibri" w:cs="Arial"/>
                <w:sz w:val="16"/>
                <w:szCs w:val="16"/>
              </w:rPr>
              <w:t xml:space="preserve"> in August 2022 </w:t>
            </w:r>
            <w:r w:rsidR="00C6759B">
              <w:rPr>
                <w:rFonts w:ascii="Calibri" w:hAnsi="Calibri" w:cs="Arial"/>
                <w:sz w:val="16"/>
                <w:szCs w:val="16"/>
              </w:rPr>
              <w:t xml:space="preserve">to present </w:t>
            </w:r>
            <w:r w:rsidR="00C6759B" w:rsidRPr="00A637E9">
              <w:rPr>
                <w:rFonts w:ascii="Calibri" w:hAnsi="Calibri" w:cs="Arial"/>
                <w:sz w:val="16"/>
                <w:szCs w:val="16"/>
              </w:rPr>
              <w:t>ESCWA INFF/SDG-costing methods</w:t>
            </w:r>
            <w:r w:rsidR="00C6759B">
              <w:rPr>
                <w:rFonts w:ascii="Calibri" w:hAnsi="Calibri" w:cs="Arial"/>
                <w:sz w:val="16"/>
                <w:szCs w:val="16"/>
              </w:rPr>
              <w:t>;</w:t>
            </w:r>
            <w:r w:rsidR="00C6759B" w:rsidRPr="00A637E9">
              <w:rPr>
                <w:rFonts w:ascii="Calibri" w:hAnsi="Calibri" w:cs="Arial"/>
                <w:sz w:val="16"/>
                <w:szCs w:val="16"/>
              </w:rPr>
              <w:t xml:space="preserve"> framework</w:t>
            </w:r>
            <w:r w:rsidR="00C6759B">
              <w:rPr>
                <w:rFonts w:ascii="Calibri" w:hAnsi="Calibri" w:cs="Arial"/>
                <w:sz w:val="16"/>
                <w:szCs w:val="16"/>
              </w:rPr>
              <w:t>;</w:t>
            </w:r>
            <w:r w:rsidR="00C6759B" w:rsidRPr="00A637E9">
              <w:rPr>
                <w:rFonts w:ascii="Calibri" w:hAnsi="Calibri" w:cs="Arial"/>
                <w:sz w:val="16"/>
                <w:szCs w:val="16"/>
              </w:rPr>
              <w:t xml:space="preserve"> tools and discussed alternate proposals</w:t>
            </w:r>
            <w:r w:rsidR="00973289">
              <w:rPr>
                <w:rFonts w:ascii="Calibri" w:hAnsi="Calibri" w:cs="Arial"/>
                <w:sz w:val="16"/>
                <w:szCs w:val="16"/>
              </w:rPr>
              <w:t xml:space="preserve"> </w:t>
            </w:r>
            <w:r w:rsidR="00973289" w:rsidRPr="00A637E9">
              <w:rPr>
                <w:rFonts w:ascii="Calibri" w:hAnsi="Calibri" w:cs="Arial"/>
                <w:sz w:val="16"/>
                <w:szCs w:val="16"/>
              </w:rPr>
              <w:t xml:space="preserve">to support </w:t>
            </w:r>
            <w:r w:rsidR="004F26FF">
              <w:rPr>
                <w:rFonts w:ascii="Calibri" w:hAnsi="Calibri" w:cs="Arial"/>
                <w:sz w:val="16"/>
                <w:szCs w:val="16"/>
              </w:rPr>
              <w:t>ministerial</w:t>
            </w:r>
            <w:r w:rsidR="00973289" w:rsidRPr="00A637E9">
              <w:rPr>
                <w:rFonts w:ascii="Calibri" w:hAnsi="Calibri" w:cs="Arial"/>
                <w:sz w:val="16"/>
                <w:szCs w:val="16"/>
              </w:rPr>
              <w:t xml:space="preserve"> capacity </w:t>
            </w:r>
            <w:r w:rsidR="004F26FF">
              <w:rPr>
                <w:rFonts w:ascii="Calibri" w:hAnsi="Calibri" w:cs="Arial"/>
                <w:sz w:val="16"/>
                <w:szCs w:val="16"/>
              </w:rPr>
              <w:t xml:space="preserve">to assess and </w:t>
            </w:r>
            <w:r w:rsidR="005D0A40">
              <w:rPr>
                <w:rFonts w:ascii="Calibri" w:hAnsi="Calibri" w:cs="Arial"/>
                <w:sz w:val="16"/>
                <w:szCs w:val="16"/>
              </w:rPr>
              <w:t xml:space="preserve">establish </w:t>
            </w:r>
            <w:r w:rsidR="00973289" w:rsidRPr="00A637E9">
              <w:rPr>
                <w:rFonts w:ascii="Calibri" w:hAnsi="Calibri" w:cs="Arial"/>
                <w:sz w:val="16"/>
                <w:szCs w:val="16"/>
              </w:rPr>
              <w:t>complementarities</w:t>
            </w:r>
          </w:p>
          <w:p w14:paraId="6338B13A" w14:textId="5FF10CC7" w:rsidR="00A35433" w:rsidRDefault="00A35433" w:rsidP="003B672F">
            <w:pPr>
              <w:pStyle w:val="ListParagraph"/>
              <w:numPr>
                <w:ilvl w:val="2"/>
                <w:numId w:val="17"/>
              </w:numPr>
              <w:spacing w:after="60"/>
              <w:ind w:left="2438" w:hanging="357"/>
              <w:contextualSpacing w:val="0"/>
              <w:rPr>
                <w:sz w:val="16"/>
                <w:szCs w:val="16"/>
                <w:lang w:eastAsia="en-CA"/>
              </w:rPr>
            </w:pPr>
            <w:r>
              <w:rPr>
                <w:sz w:val="16"/>
                <w:szCs w:val="16"/>
                <w:lang w:eastAsia="en-CA"/>
              </w:rPr>
              <w:t xml:space="preserve">Participation in the inaugural session of the </w:t>
            </w:r>
            <w:r w:rsidR="001F5898">
              <w:rPr>
                <w:sz w:val="16"/>
                <w:szCs w:val="16"/>
                <w:lang w:eastAsia="en-CA"/>
              </w:rPr>
              <w:t xml:space="preserve">National </w:t>
            </w:r>
            <w:r>
              <w:rPr>
                <w:sz w:val="16"/>
                <w:szCs w:val="16"/>
                <w:lang w:eastAsia="en-CA"/>
              </w:rPr>
              <w:t xml:space="preserve">Ministerial </w:t>
            </w:r>
            <w:r w:rsidR="008F07B1">
              <w:rPr>
                <w:sz w:val="16"/>
                <w:szCs w:val="16"/>
                <w:lang w:eastAsia="en-CA"/>
              </w:rPr>
              <w:t xml:space="preserve">FfD </w:t>
            </w:r>
            <w:r>
              <w:rPr>
                <w:sz w:val="16"/>
                <w:szCs w:val="16"/>
                <w:lang w:eastAsia="en-CA"/>
              </w:rPr>
              <w:t xml:space="preserve">Council </w:t>
            </w:r>
            <w:r w:rsidR="008F07B1">
              <w:rPr>
                <w:sz w:val="16"/>
                <w:szCs w:val="16"/>
                <w:lang w:eastAsia="en-CA"/>
              </w:rPr>
              <w:t xml:space="preserve">in October 2022, to present </w:t>
            </w:r>
            <w:r w:rsidR="00F833FF">
              <w:rPr>
                <w:sz w:val="16"/>
                <w:szCs w:val="16"/>
                <w:lang w:eastAsia="en-CA"/>
              </w:rPr>
              <w:t>INFF guidance material, including UNESCWA supporting tools</w:t>
            </w:r>
            <w:r w:rsidR="008F07B1">
              <w:rPr>
                <w:sz w:val="16"/>
                <w:szCs w:val="16"/>
                <w:lang w:eastAsia="en-CA"/>
              </w:rPr>
              <w:t xml:space="preserve"> </w:t>
            </w:r>
          </w:p>
          <w:p w14:paraId="659065F0" w14:textId="77777777" w:rsidR="00C86FAE" w:rsidRDefault="0011195F" w:rsidP="003B672F">
            <w:pPr>
              <w:pStyle w:val="ListParagraph"/>
              <w:numPr>
                <w:ilvl w:val="2"/>
                <w:numId w:val="17"/>
              </w:numPr>
              <w:spacing w:after="60"/>
              <w:ind w:left="2438" w:hanging="357"/>
              <w:contextualSpacing w:val="0"/>
              <w:rPr>
                <w:sz w:val="16"/>
                <w:szCs w:val="16"/>
                <w:lang w:eastAsia="en-CA"/>
              </w:rPr>
            </w:pPr>
            <w:r>
              <w:rPr>
                <w:sz w:val="16"/>
                <w:szCs w:val="16"/>
                <w:lang w:eastAsia="en-CA"/>
              </w:rPr>
              <w:t xml:space="preserve">Responded to a </w:t>
            </w:r>
            <w:r w:rsidR="00AE6B3B">
              <w:rPr>
                <w:sz w:val="16"/>
                <w:szCs w:val="16"/>
                <w:lang w:eastAsia="en-CA"/>
              </w:rPr>
              <w:t xml:space="preserve">request from national authorities </w:t>
            </w:r>
            <w:r w:rsidR="00C5207E">
              <w:rPr>
                <w:sz w:val="16"/>
                <w:szCs w:val="16"/>
                <w:lang w:eastAsia="en-CA"/>
              </w:rPr>
              <w:t>in February</w:t>
            </w:r>
            <w:r w:rsidR="00AE6B3B">
              <w:rPr>
                <w:sz w:val="16"/>
                <w:szCs w:val="16"/>
                <w:lang w:eastAsia="en-CA"/>
              </w:rPr>
              <w:t xml:space="preserve"> 2022</w:t>
            </w:r>
            <w:r w:rsidR="00C86FAE">
              <w:rPr>
                <w:sz w:val="16"/>
                <w:szCs w:val="16"/>
                <w:lang w:eastAsia="en-CA"/>
              </w:rPr>
              <w:t>:</w:t>
            </w:r>
          </w:p>
          <w:p w14:paraId="0EAE695D" w14:textId="32D4AAD2" w:rsidR="005E71A7" w:rsidRDefault="005E71A7" w:rsidP="003B672F">
            <w:pPr>
              <w:pStyle w:val="ListParagraph"/>
              <w:numPr>
                <w:ilvl w:val="3"/>
                <w:numId w:val="17"/>
              </w:numPr>
              <w:spacing w:after="60"/>
              <w:contextualSpacing w:val="0"/>
              <w:rPr>
                <w:sz w:val="16"/>
                <w:szCs w:val="16"/>
                <w:lang w:eastAsia="en-CA"/>
              </w:rPr>
            </w:pPr>
            <w:r>
              <w:rPr>
                <w:sz w:val="16"/>
                <w:szCs w:val="16"/>
                <w:lang w:eastAsia="en-CA"/>
              </w:rPr>
              <w:t xml:space="preserve">Shared </w:t>
            </w:r>
            <w:r w:rsidRPr="00A637E9">
              <w:rPr>
                <w:rFonts w:ascii="Calibri" w:hAnsi="Calibri" w:cs="Arial"/>
                <w:sz w:val="16"/>
                <w:szCs w:val="16"/>
              </w:rPr>
              <w:t>an extensive mapping of national sustainable development targets</w:t>
            </w:r>
            <w:r w:rsidR="002D6F75">
              <w:rPr>
                <w:rFonts w:ascii="Calibri" w:hAnsi="Calibri" w:cs="Arial"/>
                <w:sz w:val="16"/>
                <w:szCs w:val="16"/>
              </w:rPr>
              <w:t xml:space="preserve"> </w:t>
            </w:r>
            <w:r w:rsidR="002D6F75" w:rsidRPr="00A637E9">
              <w:rPr>
                <w:rFonts w:ascii="Calibri" w:hAnsi="Calibri" w:cs="Arial"/>
                <w:sz w:val="16"/>
                <w:szCs w:val="16"/>
              </w:rPr>
              <w:t>and the thresholds in national sectoral development plans</w:t>
            </w:r>
            <w:r w:rsidR="002D6F75">
              <w:rPr>
                <w:rFonts w:ascii="Calibri" w:hAnsi="Calibri" w:cs="Arial"/>
                <w:sz w:val="16"/>
                <w:szCs w:val="16"/>
              </w:rPr>
              <w:t xml:space="preserve"> over the past two decades </w:t>
            </w:r>
            <w:r w:rsidR="00AA062B">
              <w:rPr>
                <w:rFonts w:ascii="Calibri" w:hAnsi="Calibri" w:cs="Arial"/>
                <w:sz w:val="16"/>
                <w:szCs w:val="16"/>
              </w:rPr>
              <w:t xml:space="preserve">(to support </w:t>
            </w:r>
            <w:r w:rsidR="00E652D0">
              <w:rPr>
                <w:rFonts w:ascii="Calibri" w:hAnsi="Calibri" w:cs="Arial"/>
                <w:sz w:val="16"/>
                <w:szCs w:val="16"/>
              </w:rPr>
              <w:t xml:space="preserve">national capacity to establish baselines for </w:t>
            </w:r>
            <w:r w:rsidR="00E652D0" w:rsidRPr="00A637E9">
              <w:rPr>
                <w:rFonts w:ascii="Calibri" w:hAnsi="Calibri" w:cs="Arial"/>
                <w:sz w:val="16"/>
                <w:szCs w:val="16"/>
              </w:rPr>
              <w:t>SDG-costing and financing</w:t>
            </w:r>
            <w:r w:rsidR="00E652D0">
              <w:rPr>
                <w:rFonts w:ascii="Calibri" w:hAnsi="Calibri" w:cs="Arial"/>
                <w:sz w:val="16"/>
                <w:szCs w:val="16"/>
              </w:rPr>
              <w:t>)</w:t>
            </w:r>
          </w:p>
          <w:p w14:paraId="73811ED5" w14:textId="295AD9F5" w:rsidR="00383C2D" w:rsidRPr="00DE2D74" w:rsidRDefault="00383C2D" w:rsidP="003B672F">
            <w:pPr>
              <w:pStyle w:val="ListParagraph"/>
              <w:numPr>
                <w:ilvl w:val="1"/>
                <w:numId w:val="17"/>
              </w:numPr>
              <w:spacing w:after="120"/>
              <w:rPr>
                <w:b/>
                <w:bCs/>
                <w:sz w:val="16"/>
                <w:szCs w:val="16"/>
                <w:lang w:eastAsia="en-CA"/>
              </w:rPr>
            </w:pPr>
            <w:r w:rsidRPr="00DE2D74">
              <w:rPr>
                <w:b/>
                <w:bCs/>
                <w:sz w:val="16"/>
                <w:szCs w:val="16"/>
                <w:lang w:eastAsia="en-CA"/>
              </w:rPr>
              <w:t>Jordan</w:t>
            </w:r>
            <w:r w:rsidR="0062768E" w:rsidRPr="00DE2D74">
              <w:rPr>
                <w:b/>
                <w:bCs/>
                <w:sz w:val="16"/>
                <w:szCs w:val="16"/>
                <w:lang w:eastAsia="en-CA"/>
              </w:rPr>
              <w:t xml:space="preserve">: </w:t>
            </w:r>
          </w:p>
          <w:p w14:paraId="21B06D17" w14:textId="7AFF5C49" w:rsidR="00A90342" w:rsidRPr="00A90342" w:rsidRDefault="00A90342" w:rsidP="003B672F">
            <w:pPr>
              <w:pStyle w:val="ListParagraph"/>
              <w:numPr>
                <w:ilvl w:val="2"/>
                <w:numId w:val="17"/>
              </w:numPr>
              <w:spacing w:after="120"/>
              <w:rPr>
                <w:sz w:val="16"/>
                <w:szCs w:val="16"/>
                <w:lang w:eastAsia="en-CA"/>
              </w:rPr>
            </w:pPr>
            <w:r w:rsidRPr="00A637E9">
              <w:rPr>
                <w:rFonts w:ascii="Calibri" w:hAnsi="Calibri" w:cs="Arial"/>
                <w:sz w:val="16"/>
                <w:szCs w:val="16"/>
              </w:rPr>
              <w:t xml:space="preserve">High-level regional </w:t>
            </w:r>
            <w:hyperlink r:id="rId103" w:history="1">
              <w:r w:rsidRPr="00A330B0">
                <w:rPr>
                  <w:rStyle w:val="Hyperlink"/>
                  <w:rFonts w:ascii="Calibri" w:hAnsi="Calibri" w:cs="Arial"/>
                  <w:sz w:val="16"/>
                  <w:szCs w:val="16"/>
                </w:rPr>
                <w:t>two-day INFF inception workshop</w:t>
              </w:r>
            </w:hyperlink>
            <w:r w:rsidR="000A7315">
              <w:t xml:space="preserve"> </w:t>
            </w:r>
            <w:r w:rsidR="000A7315">
              <w:rPr>
                <w:sz w:val="16"/>
                <w:szCs w:val="16"/>
              </w:rPr>
              <w:t>in December 2021</w:t>
            </w:r>
          </w:p>
          <w:p w14:paraId="70FBAB0D" w14:textId="5CE01741" w:rsidR="00FE6D74" w:rsidRPr="00FE6D74" w:rsidRDefault="00692EA3" w:rsidP="003B672F">
            <w:pPr>
              <w:pStyle w:val="ListParagraph"/>
              <w:numPr>
                <w:ilvl w:val="2"/>
                <w:numId w:val="17"/>
              </w:numPr>
              <w:spacing w:after="120"/>
              <w:rPr>
                <w:sz w:val="16"/>
                <w:szCs w:val="16"/>
                <w:lang w:eastAsia="en-CA"/>
              </w:rPr>
            </w:pPr>
            <w:r>
              <w:rPr>
                <w:sz w:val="16"/>
                <w:szCs w:val="16"/>
                <w:lang w:eastAsia="en-CA"/>
              </w:rPr>
              <w:t>Post-inception workshop c</w:t>
            </w:r>
            <w:r w:rsidR="000A7315">
              <w:rPr>
                <w:sz w:val="16"/>
                <w:szCs w:val="16"/>
                <w:lang w:eastAsia="en-CA"/>
              </w:rPr>
              <w:t xml:space="preserve">onsultations </w:t>
            </w:r>
            <w:r>
              <w:rPr>
                <w:sz w:val="16"/>
                <w:szCs w:val="16"/>
                <w:lang w:eastAsia="en-CA"/>
              </w:rPr>
              <w:t>condu</w:t>
            </w:r>
            <w:r w:rsidR="000D67F4">
              <w:rPr>
                <w:sz w:val="16"/>
                <w:szCs w:val="16"/>
                <w:lang w:eastAsia="en-CA"/>
              </w:rPr>
              <w:t xml:space="preserve">cted with </w:t>
            </w:r>
            <w:r w:rsidR="000D67F4" w:rsidRPr="00A637E9">
              <w:rPr>
                <w:rFonts w:ascii="Calibri" w:hAnsi="Calibri" w:cs="Arial"/>
                <w:sz w:val="16"/>
                <w:szCs w:val="16"/>
              </w:rPr>
              <w:t>RCO and UN</w:t>
            </w:r>
            <w:r w:rsidR="000D67F4">
              <w:rPr>
                <w:rFonts w:ascii="Calibri" w:hAnsi="Calibri" w:cs="Arial"/>
                <w:sz w:val="16"/>
                <w:szCs w:val="16"/>
              </w:rPr>
              <w:t>CT</w:t>
            </w:r>
            <w:r w:rsidR="00192ABB">
              <w:rPr>
                <w:rFonts w:ascii="Calibri" w:hAnsi="Calibri" w:cs="Arial"/>
                <w:sz w:val="16"/>
                <w:szCs w:val="16"/>
              </w:rPr>
              <w:t xml:space="preserve"> </w:t>
            </w:r>
            <w:r w:rsidR="00FE6D74">
              <w:rPr>
                <w:rFonts w:ascii="Calibri" w:hAnsi="Calibri" w:cs="Arial"/>
                <w:sz w:val="16"/>
                <w:szCs w:val="16"/>
              </w:rPr>
              <w:t>in May and November 2022 (</w:t>
            </w:r>
            <w:r w:rsidR="00FE6D74" w:rsidRPr="00A637E9">
              <w:rPr>
                <w:rFonts w:ascii="Calibri" w:hAnsi="Calibri" w:cs="Arial"/>
                <w:sz w:val="16"/>
                <w:szCs w:val="16"/>
              </w:rPr>
              <w:t>to coordinate actions and interventions</w:t>
            </w:r>
            <w:r w:rsidR="00FE6D74">
              <w:rPr>
                <w:rFonts w:ascii="Calibri" w:hAnsi="Calibri" w:cs="Arial"/>
                <w:sz w:val="16"/>
                <w:szCs w:val="16"/>
              </w:rPr>
              <w:t>)</w:t>
            </w:r>
          </w:p>
          <w:p w14:paraId="473112E5" w14:textId="2648478E" w:rsidR="009F0A58" w:rsidRDefault="00FE6D74" w:rsidP="003B672F">
            <w:pPr>
              <w:pStyle w:val="ListParagraph"/>
              <w:numPr>
                <w:ilvl w:val="2"/>
                <w:numId w:val="17"/>
              </w:numPr>
              <w:spacing w:after="120"/>
              <w:rPr>
                <w:sz w:val="16"/>
                <w:szCs w:val="16"/>
                <w:lang w:eastAsia="en-CA"/>
              </w:rPr>
            </w:pPr>
            <w:r>
              <w:rPr>
                <w:rFonts w:ascii="Calibri" w:hAnsi="Calibri" w:cs="Arial"/>
                <w:sz w:val="16"/>
                <w:szCs w:val="16"/>
              </w:rPr>
              <w:t xml:space="preserve">National </w:t>
            </w:r>
            <w:r w:rsidR="000156F8">
              <w:rPr>
                <w:rFonts w:ascii="Calibri" w:hAnsi="Calibri" w:cs="Arial"/>
                <w:sz w:val="16"/>
                <w:szCs w:val="16"/>
              </w:rPr>
              <w:t xml:space="preserve">workshop held in March 2023 on </w:t>
            </w:r>
            <w:hyperlink r:id="rId104" w:history="1">
              <w:r w:rsidR="002F3DCB" w:rsidRPr="002F3DCB">
                <w:rPr>
                  <w:rStyle w:val="Hyperlink"/>
                  <w:rFonts w:ascii="Calibri" w:hAnsi="Calibri" w:cs="Arial"/>
                  <w:sz w:val="16"/>
                  <w:szCs w:val="16"/>
                </w:rPr>
                <w:t>Towards an integrated national financing framework in Jordan: tools, diagnostics and foresight</w:t>
              </w:r>
            </w:hyperlink>
            <w:r w:rsidR="002F3DCB">
              <w:rPr>
                <w:rFonts w:ascii="Calibri" w:hAnsi="Calibri" w:cs="Arial"/>
                <w:sz w:val="16"/>
                <w:szCs w:val="16"/>
              </w:rPr>
              <w:t xml:space="preserve"> </w:t>
            </w:r>
          </w:p>
          <w:p w14:paraId="2E7571FF" w14:textId="6DE2D076" w:rsidR="00383C2D" w:rsidRPr="00F97014" w:rsidRDefault="00383C2D" w:rsidP="003B672F">
            <w:pPr>
              <w:pStyle w:val="ListParagraph"/>
              <w:numPr>
                <w:ilvl w:val="1"/>
                <w:numId w:val="17"/>
              </w:numPr>
              <w:spacing w:after="120"/>
              <w:rPr>
                <w:b/>
                <w:bCs/>
                <w:sz w:val="16"/>
                <w:szCs w:val="16"/>
                <w:lang w:eastAsia="en-CA"/>
              </w:rPr>
            </w:pPr>
            <w:r w:rsidRPr="00F97014">
              <w:rPr>
                <w:b/>
                <w:bCs/>
                <w:sz w:val="16"/>
                <w:szCs w:val="16"/>
                <w:lang w:eastAsia="en-CA"/>
              </w:rPr>
              <w:t>Pakistan:</w:t>
            </w:r>
          </w:p>
          <w:p w14:paraId="774BCFCF" w14:textId="490FD581" w:rsidR="00871DD2" w:rsidRDefault="00C70508" w:rsidP="003B672F">
            <w:pPr>
              <w:pStyle w:val="ListParagraph"/>
              <w:numPr>
                <w:ilvl w:val="2"/>
                <w:numId w:val="17"/>
              </w:numPr>
              <w:spacing w:after="120"/>
              <w:rPr>
                <w:sz w:val="16"/>
                <w:szCs w:val="16"/>
                <w:lang w:eastAsia="en-CA"/>
              </w:rPr>
            </w:pPr>
            <w:r>
              <w:rPr>
                <w:sz w:val="16"/>
                <w:szCs w:val="16"/>
                <w:lang w:eastAsia="en-CA"/>
              </w:rPr>
              <w:t xml:space="preserve">Workshop in December 2022 </w:t>
            </w:r>
            <w:r w:rsidR="008426AF">
              <w:rPr>
                <w:sz w:val="16"/>
                <w:szCs w:val="16"/>
                <w:lang w:eastAsia="en-CA"/>
              </w:rPr>
              <w:t xml:space="preserve">by UNESCWA </w:t>
            </w:r>
            <w:r>
              <w:rPr>
                <w:sz w:val="16"/>
                <w:szCs w:val="16"/>
                <w:lang w:eastAsia="en-CA"/>
              </w:rPr>
              <w:t xml:space="preserve">on </w:t>
            </w:r>
            <w:hyperlink r:id="rId105" w:history="1">
              <w:r w:rsidRPr="00A637E9">
                <w:rPr>
                  <w:rStyle w:val="Hyperlink"/>
                  <w:rFonts w:ascii="Calibri" w:hAnsi="Calibri" w:cs="Arial"/>
                  <w:sz w:val="16"/>
                  <w:szCs w:val="16"/>
                </w:rPr>
                <w:t>Supporting the Development of an Integrated National Financing Framework in Pakistan</w:t>
              </w:r>
            </w:hyperlink>
          </w:p>
          <w:p w14:paraId="6B2B2602" w14:textId="4AD4505B" w:rsidR="00383C2D" w:rsidRPr="00F97014" w:rsidRDefault="00383C2D" w:rsidP="003B672F">
            <w:pPr>
              <w:pStyle w:val="ListParagraph"/>
              <w:numPr>
                <w:ilvl w:val="1"/>
                <w:numId w:val="17"/>
              </w:numPr>
              <w:spacing w:after="120"/>
              <w:rPr>
                <w:b/>
                <w:bCs/>
                <w:sz w:val="16"/>
                <w:szCs w:val="16"/>
                <w:lang w:eastAsia="en-CA"/>
              </w:rPr>
            </w:pPr>
            <w:r w:rsidRPr="00F97014">
              <w:rPr>
                <w:b/>
                <w:bCs/>
                <w:sz w:val="16"/>
                <w:szCs w:val="16"/>
                <w:lang w:eastAsia="en-CA"/>
              </w:rPr>
              <w:t>Samoa:</w:t>
            </w:r>
          </w:p>
          <w:p w14:paraId="2113EC81" w14:textId="5491345D" w:rsidR="00763D4F" w:rsidRPr="00DE2D74" w:rsidRDefault="008426AF" w:rsidP="003B672F">
            <w:pPr>
              <w:pStyle w:val="ListParagraph"/>
              <w:numPr>
                <w:ilvl w:val="2"/>
                <w:numId w:val="17"/>
              </w:numPr>
              <w:spacing w:after="120"/>
              <w:rPr>
                <w:sz w:val="16"/>
                <w:szCs w:val="16"/>
                <w:lang w:eastAsia="en-CA"/>
              </w:rPr>
            </w:pPr>
            <w:r>
              <w:rPr>
                <w:sz w:val="16"/>
                <w:szCs w:val="16"/>
                <w:lang w:eastAsia="en-CA"/>
              </w:rPr>
              <w:t xml:space="preserve">Workshop on </w:t>
            </w:r>
            <w:hyperlink r:id="rId106" w:history="1">
              <w:r w:rsidRPr="00A637E9">
                <w:rPr>
                  <w:rStyle w:val="Hyperlink"/>
                  <w:rFonts w:ascii="Calibri" w:hAnsi="Calibri" w:cs="Arial"/>
                  <w:sz w:val="16"/>
                  <w:szCs w:val="16"/>
                </w:rPr>
                <w:t>SDG Acceleration and Integrated National Financing Frameworks</w:t>
              </w:r>
            </w:hyperlink>
            <w:r w:rsidR="00E67199">
              <w:rPr>
                <w:sz w:val="16"/>
                <w:szCs w:val="16"/>
              </w:rPr>
              <w:t xml:space="preserve"> to </w:t>
            </w:r>
            <w:r w:rsidR="00E67199" w:rsidRPr="00A637E9">
              <w:rPr>
                <w:rFonts w:ascii="Calibri" w:hAnsi="Calibri" w:cs="Arial"/>
                <w:sz w:val="16"/>
                <w:szCs w:val="16"/>
              </w:rPr>
              <w:t>discuss opportunities to finance climate action within the framework of INFF</w:t>
            </w:r>
            <w:r w:rsidR="00E67199">
              <w:rPr>
                <w:rFonts w:ascii="Calibri" w:hAnsi="Calibri" w:cs="Arial"/>
                <w:sz w:val="16"/>
                <w:szCs w:val="16"/>
              </w:rPr>
              <w:t xml:space="preserve"> (co-organised by UNESCA</w:t>
            </w:r>
            <w:r w:rsidR="004E391A">
              <w:rPr>
                <w:rFonts w:ascii="Calibri" w:hAnsi="Calibri" w:cs="Arial"/>
                <w:sz w:val="16"/>
                <w:szCs w:val="16"/>
              </w:rPr>
              <w:t>P</w:t>
            </w:r>
            <w:r w:rsidR="00E67199">
              <w:rPr>
                <w:rFonts w:ascii="Calibri" w:hAnsi="Calibri" w:cs="Arial"/>
                <w:sz w:val="16"/>
                <w:szCs w:val="16"/>
              </w:rPr>
              <w:t xml:space="preserve"> and </w:t>
            </w:r>
            <w:r w:rsidR="00A85FD2">
              <w:rPr>
                <w:rFonts w:ascii="Calibri" w:hAnsi="Calibri" w:cs="Arial"/>
                <w:sz w:val="16"/>
                <w:szCs w:val="16"/>
              </w:rPr>
              <w:t xml:space="preserve">the </w:t>
            </w:r>
            <w:r w:rsidR="00A85FD2" w:rsidRPr="00A637E9">
              <w:rPr>
                <w:rFonts w:ascii="Calibri" w:hAnsi="Calibri" w:cs="Arial"/>
                <w:sz w:val="16"/>
                <w:szCs w:val="16"/>
              </w:rPr>
              <w:t>Samoa Ministry of Natural Resources and Environment</w:t>
            </w:r>
          </w:p>
        </w:tc>
      </w:tr>
      <w:tr w:rsidR="0078678F" w:rsidRPr="009201BB" w14:paraId="68AFACFA" w14:textId="77777777" w:rsidTr="003557AF">
        <w:tc>
          <w:tcPr>
            <w:tcW w:w="9678" w:type="dxa"/>
          </w:tcPr>
          <w:p w14:paraId="22E28FB4" w14:textId="5C0CF452" w:rsidR="0078678F" w:rsidRPr="009201BB" w:rsidRDefault="0078678F" w:rsidP="002B7B14">
            <w:pPr>
              <w:spacing w:after="120"/>
              <w:rPr>
                <w:rFonts w:cstheme="minorHAnsi"/>
                <w:b/>
                <w:bCs/>
                <w:sz w:val="16"/>
                <w:szCs w:val="16"/>
              </w:rPr>
            </w:pPr>
            <w:r w:rsidRPr="009201BB">
              <w:rPr>
                <w:b/>
                <w:bCs/>
                <w:sz w:val="16"/>
                <w:szCs w:val="16"/>
                <w:lang w:eastAsia="en-CA"/>
              </w:rPr>
              <w:lastRenderedPageBreak/>
              <w:t>OP 1.3</w:t>
            </w:r>
            <w:r w:rsidRPr="009201BB">
              <w:rPr>
                <w:sz w:val="16"/>
                <w:szCs w:val="16"/>
                <w:lang w:eastAsia="en-CA"/>
              </w:rPr>
              <w:t xml:space="preserve"> Delivery of dedicated technical assistance to support implementation of an INFF as outlined in the respective country project budget (depending on the country, typically a set of workshops on specific INFF topics, virtual support and advisory services)</w:t>
            </w:r>
          </w:p>
        </w:tc>
      </w:tr>
      <w:tr w:rsidR="0078678F" w:rsidRPr="009201BB" w14:paraId="373D5E10" w14:textId="77777777" w:rsidTr="003557AF">
        <w:tc>
          <w:tcPr>
            <w:tcW w:w="9678" w:type="dxa"/>
          </w:tcPr>
          <w:p w14:paraId="580FF79E" w14:textId="595CDC11" w:rsidR="0078678F" w:rsidRDefault="00006A2E" w:rsidP="003B672F">
            <w:pPr>
              <w:pStyle w:val="ListParagraph"/>
              <w:numPr>
                <w:ilvl w:val="0"/>
                <w:numId w:val="17"/>
              </w:numPr>
              <w:spacing w:after="120"/>
              <w:rPr>
                <w:sz w:val="16"/>
                <w:szCs w:val="16"/>
                <w:lang w:eastAsia="en-CA"/>
              </w:rPr>
            </w:pPr>
            <w:r>
              <w:rPr>
                <w:sz w:val="16"/>
                <w:szCs w:val="16"/>
                <w:lang w:eastAsia="en-CA"/>
              </w:rPr>
              <w:t>Burkina Faso</w:t>
            </w:r>
            <w:r w:rsidR="00247CE4">
              <w:rPr>
                <w:sz w:val="16"/>
                <w:szCs w:val="16"/>
                <w:lang w:eastAsia="en-CA"/>
              </w:rPr>
              <w:t>:</w:t>
            </w:r>
          </w:p>
          <w:p w14:paraId="29A9776C" w14:textId="6A57118C" w:rsidR="007315A1" w:rsidRDefault="007315A1" w:rsidP="003B672F">
            <w:pPr>
              <w:pStyle w:val="ListParagraph"/>
              <w:numPr>
                <w:ilvl w:val="1"/>
                <w:numId w:val="17"/>
              </w:numPr>
              <w:spacing w:after="60"/>
              <w:contextualSpacing w:val="0"/>
              <w:rPr>
                <w:sz w:val="16"/>
                <w:szCs w:val="16"/>
                <w:lang w:eastAsia="en-CA"/>
              </w:rPr>
            </w:pPr>
            <w:r>
              <w:rPr>
                <w:sz w:val="16"/>
                <w:szCs w:val="16"/>
                <w:lang w:eastAsia="en-CA"/>
              </w:rPr>
              <w:t xml:space="preserve">Commitment by UNDP </w:t>
            </w:r>
            <w:r w:rsidR="004C6D5E">
              <w:rPr>
                <w:sz w:val="16"/>
                <w:szCs w:val="16"/>
                <w:lang w:eastAsia="en-CA"/>
              </w:rPr>
              <w:t>to fund the development of a financing strategy</w:t>
            </w:r>
          </w:p>
          <w:p w14:paraId="6488EC85" w14:textId="2C2E7870" w:rsidR="00D441CD" w:rsidRPr="00B960E5" w:rsidRDefault="005712D5" w:rsidP="003B672F">
            <w:pPr>
              <w:pStyle w:val="ListParagraph"/>
              <w:numPr>
                <w:ilvl w:val="2"/>
                <w:numId w:val="17"/>
              </w:numPr>
              <w:spacing w:after="60"/>
              <w:contextualSpacing w:val="0"/>
              <w:rPr>
                <w:sz w:val="16"/>
                <w:szCs w:val="16"/>
                <w:lang w:eastAsia="en-CA"/>
              </w:rPr>
            </w:pPr>
            <w:r>
              <w:rPr>
                <w:sz w:val="16"/>
                <w:szCs w:val="16"/>
                <w:lang w:eastAsia="en-CA"/>
              </w:rPr>
              <w:t>Completion and v</w:t>
            </w:r>
            <w:r w:rsidR="00D441CD">
              <w:rPr>
                <w:sz w:val="16"/>
                <w:szCs w:val="16"/>
                <w:lang w:eastAsia="en-CA"/>
              </w:rPr>
              <w:t>alid</w:t>
            </w:r>
            <w:r>
              <w:rPr>
                <w:sz w:val="16"/>
                <w:szCs w:val="16"/>
                <w:lang w:eastAsia="en-CA"/>
              </w:rPr>
              <w:t xml:space="preserve">ation of the </w:t>
            </w:r>
            <w:r w:rsidRPr="00403D74">
              <w:rPr>
                <w:rFonts w:ascii="Calibri" w:hAnsi="Calibri" w:cs="Arial"/>
                <w:sz w:val="16"/>
                <w:szCs w:val="16"/>
              </w:rPr>
              <w:t>DFA and INFF implementation roadmap</w:t>
            </w:r>
            <w:r w:rsidR="0013081C" w:rsidRPr="00403D74">
              <w:rPr>
                <w:rFonts w:ascii="Calibri" w:hAnsi="Calibri" w:cs="Arial"/>
                <w:sz w:val="16"/>
                <w:szCs w:val="16"/>
              </w:rPr>
              <w:t xml:space="preserve"> by national authorities in 2022 resulted in a need for additional resources</w:t>
            </w:r>
            <w:r w:rsidR="004C6D5E" w:rsidRPr="00403D74">
              <w:rPr>
                <w:rFonts w:ascii="Calibri" w:hAnsi="Calibri" w:cs="Arial"/>
                <w:sz w:val="16"/>
                <w:szCs w:val="16"/>
              </w:rPr>
              <w:t xml:space="preserve"> to develop a financing strategy and strengthen</w:t>
            </w:r>
            <w:r w:rsidR="00B960E5" w:rsidRPr="00403D74">
              <w:rPr>
                <w:rFonts w:ascii="Calibri" w:hAnsi="Calibri" w:cs="Arial"/>
                <w:sz w:val="16"/>
                <w:szCs w:val="16"/>
              </w:rPr>
              <w:t xml:space="preserve"> INFF national coordination and M&amp;E mechanisms</w:t>
            </w:r>
          </w:p>
          <w:p w14:paraId="61A922DA" w14:textId="0FC5C69F" w:rsidR="00B960E5" w:rsidRPr="00403D74" w:rsidRDefault="00E62207" w:rsidP="003B672F">
            <w:pPr>
              <w:pStyle w:val="ListParagraph"/>
              <w:numPr>
                <w:ilvl w:val="1"/>
                <w:numId w:val="17"/>
              </w:numPr>
              <w:spacing w:after="60"/>
              <w:contextualSpacing w:val="0"/>
              <w:rPr>
                <w:sz w:val="16"/>
                <w:szCs w:val="16"/>
                <w:lang w:eastAsia="en-CA"/>
              </w:rPr>
            </w:pPr>
            <w:r>
              <w:rPr>
                <w:sz w:val="16"/>
                <w:szCs w:val="16"/>
                <w:lang w:eastAsia="en-CA"/>
              </w:rPr>
              <w:t xml:space="preserve">Support from UNCTAD and UNECA to strengthen </w:t>
            </w:r>
            <w:r w:rsidR="00AF7F7C">
              <w:rPr>
                <w:sz w:val="16"/>
                <w:szCs w:val="16"/>
                <w:lang w:eastAsia="en-CA"/>
              </w:rPr>
              <w:t>national</w:t>
            </w:r>
            <w:r>
              <w:rPr>
                <w:sz w:val="16"/>
                <w:szCs w:val="16"/>
                <w:lang w:eastAsia="en-CA"/>
              </w:rPr>
              <w:t xml:space="preserve"> capacity to </w:t>
            </w:r>
            <w:r w:rsidR="00403D74" w:rsidRPr="00BB3540">
              <w:rPr>
                <w:rFonts w:ascii="Calibri" w:hAnsi="Calibri" w:cs="Arial"/>
                <w:sz w:val="16"/>
                <w:szCs w:val="16"/>
              </w:rPr>
              <w:t>measure and address Illicit Financial Flows (IFFs)</w:t>
            </w:r>
          </w:p>
          <w:p w14:paraId="5B240AA8" w14:textId="09E8300E" w:rsidR="00403D74" w:rsidRPr="00FF50D4" w:rsidRDefault="00403D74" w:rsidP="003B672F">
            <w:pPr>
              <w:pStyle w:val="ListParagraph"/>
              <w:numPr>
                <w:ilvl w:val="2"/>
                <w:numId w:val="17"/>
              </w:numPr>
              <w:spacing w:after="60"/>
              <w:contextualSpacing w:val="0"/>
              <w:rPr>
                <w:sz w:val="16"/>
                <w:szCs w:val="16"/>
                <w:lang w:eastAsia="en-CA"/>
              </w:rPr>
            </w:pPr>
            <w:r>
              <w:rPr>
                <w:rFonts w:ascii="Calibri" w:hAnsi="Calibri" w:cs="Arial"/>
                <w:sz w:val="16"/>
                <w:szCs w:val="16"/>
              </w:rPr>
              <w:t xml:space="preserve">Applied data workshop </w:t>
            </w:r>
            <w:r w:rsidR="00AA5B58">
              <w:rPr>
                <w:rFonts w:ascii="Calibri" w:hAnsi="Calibri" w:cs="Arial"/>
                <w:sz w:val="16"/>
                <w:szCs w:val="16"/>
              </w:rPr>
              <w:t xml:space="preserve">on trade gap analysis </w:t>
            </w:r>
            <w:r w:rsidR="00933E06">
              <w:rPr>
                <w:rFonts w:ascii="Calibri" w:hAnsi="Calibri" w:cs="Arial"/>
                <w:sz w:val="16"/>
                <w:szCs w:val="16"/>
              </w:rPr>
              <w:t xml:space="preserve">organised in collaboration with </w:t>
            </w:r>
            <w:r w:rsidR="00DF57E8">
              <w:rPr>
                <w:rFonts w:ascii="Calibri" w:hAnsi="Calibri" w:cs="Arial"/>
                <w:sz w:val="16"/>
                <w:szCs w:val="16"/>
              </w:rPr>
              <w:t xml:space="preserve">the National Institute of Statistics and a Technical Working Group </w:t>
            </w:r>
            <w:r w:rsidR="00AA5B58">
              <w:rPr>
                <w:rFonts w:ascii="Calibri" w:hAnsi="Calibri" w:cs="Arial"/>
                <w:sz w:val="16"/>
                <w:szCs w:val="16"/>
              </w:rPr>
              <w:t>(</w:t>
            </w:r>
            <w:r>
              <w:rPr>
                <w:rFonts w:ascii="Calibri" w:hAnsi="Calibri" w:cs="Arial"/>
                <w:sz w:val="16"/>
                <w:szCs w:val="16"/>
              </w:rPr>
              <w:t>held in April</w:t>
            </w:r>
            <w:r w:rsidR="00374A8A">
              <w:rPr>
                <w:rFonts w:ascii="Calibri" w:hAnsi="Calibri" w:cs="Arial"/>
                <w:sz w:val="16"/>
                <w:szCs w:val="16"/>
              </w:rPr>
              <w:t xml:space="preserve"> </w:t>
            </w:r>
            <w:r>
              <w:rPr>
                <w:rFonts w:ascii="Calibri" w:hAnsi="Calibri" w:cs="Arial"/>
                <w:sz w:val="16"/>
                <w:szCs w:val="16"/>
              </w:rPr>
              <w:t>2022</w:t>
            </w:r>
            <w:r w:rsidR="00AA5B58">
              <w:rPr>
                <w:rFonts w:ascii="Calibri" w:hAnsi="Calibri" w:cs="Arial"/>
                <w:sz w:val="16"/>
                <w:szCs w:val="16"/>
              </w:rPr>
              <w:t>)</w:t>
            </w:r>
          </w:p>
          <w:p w14:paraId="274E320B" w14:textId="3FFB134F" w:rsidR="00FF50D4" w:rsidRDefault="00BB34A2" w:rsidP="003B672F">
            <w:pPr>
              <w:pStyle w:val="ListParagraph"/>
              <w:numPr>
                <w:ilvl w:val="2"/>
                <w:numId w:val="17"/>
              </w:numPr>
              <w:spacing w:after="60"/>
              <w:contextualSpacing w:val="0"/>
              <w:rPr>
                <w:sz w:val="16"/>
                <w:szCs w:val="16"/>
                <w:lang w:eastAsia="en-CA"/>
              </w:rPr>
            </w:pPr>
            <w:r>
              <w:rPr>
                <w:sz w:val="16"/>
                <w:szCs w:val="16"/>
                <w:lang w:eastAsia="en-CA"/>
              </w:rPr>
              <w:t>Hybrid workshop</w:t>
            </w:r>
            <w:r w:rsidR="0018559A">
              <w:rPr>
                <w:sz w:val="16"/>
                <w:szCs w:val="16"/>
                <w:lang w:eastAsia="en-CA"/>
              </w:rPr>
              <w:t>s</w:t>
            </w:r>
            <w:r>
              <w:rPr>
                <w:sz w:val="16"/>
                <w:szCs w:val="16"/>
                <w:lang w:eastAsia="en-CA"/>
              </w:rPr>
              <w:t xml:space="preserve"> </w:t>
            </w:r>
            <w:r w:rsidRPr="00BB3540">
              <w:rPr>
                <w:rFonts w:ascii="Calibri" w:hAnsi="Calibri" w:cs="Arial"/>
                <w:sz w:val="16"/>
                <w:szCs w:val="16"/>
              </w:rPr>
              <w:t>on measuring IFFs in the extractive sector to mitigate terrorism financing risks</w:t>
            </w:r>
            <w:r>
              <w:rPr>
                <w:rFonts w:ascii="Calibri" w:hAnsi="Calibri" w:cs="Arial"/>
                <w:sz w:val="16"/>
                <w:szCs w:val="16"/>
              </w:rPr>
              <w:t xml:space="preserve"> (held </w:t>
            </w:r>
            <w:r w:rsidR="0018559A">
              <w:rPr>
                <w:rFonts w:ascii="Calibri" w:hAnsi="Calibri" w:cs="Arial"/>
                <w:sz w:val="16"/>
                <w:szCs w:val="16"/>
              </w:rPr>
              <w:t>over November 2022 – February 2023)</w:t>
            </w:r>
          </w:p>
          <w:p w14:paraId="04823B61" w14:textId="5A735084" w:rsidR="00006A2E" w:rsidRDefault="00006A2E" w:rsidP="003B672F">
            <w:pPr>
              <w:pStyle w:val="ListParagraph"/>
              <w:numPr>
                <w:ilvl w:val="0"/>
                <w:numId w:val="17"/>
              </w:numPr>
              <w:spacing w:after="120"/>
              <w:rPr>
                <w:sz w:val="16"/>
                <w:szCs w:val="16"/>
                <w:lang w:eastAsia="en-CA"/>
              </w:rPr>
            </w:pPr>
            <w:r>
              <w:rPr>
                <w:sz w:val="16"/>
                <w:szCs w:val="16"/>
                <w:lang w:eastAsia="en-CA"/>
              </w:rPr>
              <w:t>Belarus</w:t>
            </w:r>
            <w:r w:rsidR="00247CE4">
              <w:rPr>
                <w:sz w:val="16"/>
                <w:szCs w:val="16"/>
                <w:lang w:eastAsia="en-CA"/>
              </w:rPr>
              <w:t>:</w:t>
            </w:r>
          </w:p>
          <w:p w14:paraId="4E650FB8" w14:textId="1BEA8855" w:rsidR="00F02CCD" w:rsidRPr="005C5740" w:rsidRDefault="00F02CCD" w:rsidP="003B672F">
            <w:pPr>
              <w:pStyle w:val="ListParagraph"/>
              <w:numPr>
                <w:ilvl w:val="1"/>
                <w:numId w:val="17"/>
              </w:numPr>
              <w:contextualSpacing w:val="0"/>
              <w:rPr>
                <w:sz w:val="16"/>
                <w:szCs w:val="16"/>
                <w:lang w:eastAsia="en-CA"/>
              </w:rPr>
            </w:pPr>
            <w:r>
              <w:rPr>
                <w:sz w:val="16"/>
                <w:szCs w:val="16"/>
                <w:lang w:eastAsia="en-CA"/>
              </w:rPr>
              <w:t xml:space="preserve">Support received to strengthen </w:t>
            </w:r>
            <w:r w:rsidRPr="00A637E9">
              <w:rPr>
                <w:rFonts w:ascii="Calibri" w:hAnsi="Calibri" w:cs="Arial"/>
                <w:sz w:val="16"/>
                <w:szCs w:val="16"/>
              </w:rPr>
              <w:t>efforts to mobili</w:t>
            </w:r>
            <w:r>
              <w:rPr>
                <w:rFonts w:ascii="Calibri" w:hAnsi="Calibri" w:cs="Arial"/>
                <w:sz w:val="16"/>
                <w:szCs w:val="16"/>
              </w:rPr>
              <w:t>se</w:t>
            </w:r>
            <w:r w:rsidRPr="00A637E9">
              <w:rPr>
                <w:rFonts w:ascii="Calibri" w:hAnsi="Calibri" w:cs="Arial"/>
                <w:sz w:val="16"/>
                <w:szCs w:val="16"/>
              </w:rPr>
              <w:t xml:space="preserve"> private finance for sustainable development in the context of an INFF</w:t>
            </w:r>
          </w:p>
          <w:p w14:paraId="7D69B698" w14:textId="4A5AF10B" w:rsidR="005C5740" w:rsidRPr="005C5740" w:rsidRDefault="005C5740" w:rsidP="005C5740">
            <w:pPr>
              <w:ind w:left="2080"/>
              <w:rPr>
                <w:sz w:val="16"/>
                <w:szCs w:val="16"/>
                <w:lang w:eastAsia="en-CA"/>
              </w:rPr>
            </w:pPr>
            <w:r>
              <w:rPr>
                <w:sz w:val="16"/>
                <w:szCs w:val="16"/>
                <w:lang w:eastAsia="en-CA"/>
              </w:rPr>
              <w:t>PPP</w:t>
            </w:r>
          </w:p>
          <w:p w14:paraId="4962AE2C" w14:textId="12E53A9D" w:rsidR="00EB5B1E" w:rsidRPr="004744DC" w:rsidRDefault="00DB644D" w:rsidP="003B672F">
            <w:pPr>
              <w:pStyle w:val="ListParagraph"/>
              <w:numPr>
                <w:ilvl w:val="2"/>
                <w:numId w:val="17"/>
              </w:numPr>
              <w:contextualSpacing w:val="0"/>
              <w:rPr>
                <w:sz w:val="16"/>
                <w:szCs w:val="16"/>
                <w:lang w:eastAsia="en-CA"/>
              </w:rPr>
            </w:pPr>
            <w:r>
              <w:rPr>
                <w:sz w:val="16"/>
                <w:szCs w:val="16"/>
                <w:lang w:eastAsia="en-CA"/>
              </w:rPr>
              <w:t xml:space="preserve">National training workshop on the </w:t>
            </w:r>
            <w:r w:rsidRPr="00A637E9">
              <w:rPr>
                <w:rFonts w:ascii="Calibri" w:hAnsi="Calibri" w:cs="Arial"/>
                <w:sz w:val="16"/>
                <w:szCs w:val="16"/>
              </w:rPr>
              <w:t>use of PIERS</w:t>
            </w:r>
            <w:r>
              <w:rPr>
                <w:rFonts w:ascii="Calibri" w:hAnsi="Calibri" w:cs="Arial"/>
                <w:sz w:val="16"/>
                <w:szCs w:val="16"/>
              </w:rPr>
              <w:t xml:space="preserve"> </w:t>
            </w:r>
            <w:r w:rsidR="004744DC">
              <w:rPr>
                <w:rFonts w:ascii="Calibri" w:hAnsi="Calibri" w:cs="Arial"/>
                <w:sz w:val="16"/>
                <w:szCs w:val="16"/>
              </w:rPr>
              <w:t>conducted in April 2023</w:t>
            </w:r>
          </w:p>
          <w:p w14:paraId="2E9B3BCF" w14:textId="40AC3ACD" w:rsidR="004744DC" w:rsidRDefault="004744DC" w:rsidP="003B672F">
            <w:pPr>
              <w:pStyle w:val="ListParagraph"/>
              <w:numPr>
                <w:ilvl w:val="2"/>
                <w:numId w:val="17"/>
              </w:numPr>
              <w:contextualSpacing w:val="0"/>
              <w:rPr>
                <w:sz w:val="16"/>
                <w:szCs w:val="16"/>
                <w:lang w:eastAsia="en-CA"/>
              </w:rPr>
            </w:pPr>
            <w:r>
              <w:rPr>
                <w:rFonts w:ascii="Calibri" w:hAnsi="Calibri" w:cs="Arial"/>
                <w:sz w:val="16"/>
                <w:szCs w:val="16"/>
              </w:rPr>
              <w:t>Report developed on recommendation</w:t>
            </w:r>
            <w:r w:rsidR="009F7C0C">
              <w:rPr>
                <w:rFonts w:ascii="Calibri" w:hAnsi="Calibri" w:cs="Arial"/>
                <w:sz w:val="16"/>
                <w:szCs w:val="16"/>
              </w:rPr>
              <w:t>s</w:t>
            </w:r>
            <w:r>
              <w:rPr>
                <w:rFonts w:ascii="Calibri" w:hAnsi="Calibri" w:cs="Arial"/>
                <w:sz w:val="16"/>
                <w:szCs w:val="16"/>
              </w:rPr>
              <w:t xml:space="preserve"> for the </w:t>
            </w:r>
            <w:r w:rsidR="009F7C0C" w:rsidRPr="00A637E9">
              <w:rPr>
                <w:rFonts w:ascii="Calibri" w:hAnsi="Calibri" w:cs="Arial"/>
                <w:sz w:val="16"/>
                <w:szCs w:val="16"/>
              </w:rPr>
              <w:t>identification and selection of 8 infrastructure projects</w:t>
            </w:r>
            <w:r w:rsidR="009F7C0C">
              <w:rPr>
                <w:rFonts w:ascii="Calibri" w:hAnsi="Calibri" w:cs="Arial"/>
                <w:sz w:val="16"/>
                <w:szCs w:val="16"/>
              </w:rPr>
              <w:t xml:space="preserve"> that were evaluated using PIERS</w:t>
            </w:r>
          </w:p>
          <w:p w14:paraId="3B371266" w14:textId="19617C3F" w:rsidR="00FD33CE" w:rsidRDefault="00E52D0F" w:rsidP="003B672F">
            <w:pPr>
              <w:pStyle w:val="ListParagraph"/>
              <w:numPr>
                <w:ilvl w:val="2"/>
                <w:numId w:val="17"/>
              </w:numPr>
              <w:spacing w:after="120"/>
              <w:rPr>
                <w:sz w:val="16"/>
                <w:szCs w:val="16"/>
                <w:lang w:eastAsia="en-CA"/>
              </w:rPr>
            </w:pPr>
            <w:r w:rsidRPr="00EB5B1E">
              <w:rPr>
                <w:sz w:val="16"/>
                <w:szCs w:val="16"/>
                <w:lang w:eastAsia="en-CA"/>
              </w:rPr>
              <w:t xml:space="preserve">National workshop organised by UNECE </w:t>
            </w:r>
            <w:r w:rsidR="00EB5B1E">
              <w:rPr>
                <w:sz w:val="16"/>
                <w:szCs w:val="16"/>
                <w:lang w:eastAsia="en-CA"/>
              </w:rPr>
              <w:t>in November 2023 to present the results</w:t>
            </w:r>
            <w:r w:rsidR="005219E5">
              <w:rPr>
                <w:sz w:val="16"/>
                <w:szCs w:val="16"/>
                <w:lang w:eastAsia="en-CA"/>
              </w:rPr>
              <w:t xml:space="preserve"> </w:t>
            </w:r>
          </w:p>
          <w:p w14:paraId="5D461330" w14:textId="2B58DA08" w:rsidR="005C5740" w:rsidRPr="005C5740" w:rsidRDefault="005C5740" w:rsidP="0087673B">
            <w:pPr>
              <w:spacing w:after="120"/>
              <w:ind w:left="2080"/>
              <w:rPr>
                <w:sz w:val="16"/>
                <w:szCs w:val="16"/>
                <w:lang w:eastAsia="en-CA"/>
              </w:rPr>
            </w:pPr>
            <w:r>
              <w:rPr>
                <w:sz w:val="16"/>
                <w:szCs w:val="16"/>
                <w:lang w:eastAsia="en-CA"/>
              </w:rPr>
              <w:t>Stren</w:t>
            </w:r>
            <w:r w:rsidR="0087673B">
              <w:rPr>
                <w:sz w:val="16"/>
                <w:szCs w:val="16"/>
                <w:lang w:eastAsia="en-CA"/>
              </w:rPr>
              <w:t>g</w:t>
            </w:r>
            <w:r>
              <w:rPr>
                <w:sz w:val="16"/>
                <w:szCs w:val="16"/>
                <w:lang w:eastAsia="en-CA"/>
              </w:rPr>
              <w:t xml:space="preserve">thening </w:t>
            </w:r>
            <w:r w:rsidR="0087673B">
              <w:rPr>
                <w:sz w:val="16"/>
                <w:szCs w:val="16"/>
                <w:lang w:eastAsia="en-CA"/>
              </w:rPr>
              <w:t xml:space="preserve"> accounting and corporate reporting</w:t>
            </w:r>
          </w:p>
          <w:p w14:paraId="595D98FB" w14:textId="23B1850C" w:rsidR="00F659C9" w:rsidRDefault="003930A9" w:rsidP="003B672F">
            <w:pPr>
              <w:pStyle w:val="ListParagraph"/>
              <w:numPr>
                <w:ilvl w:val="2"/>
                <w:numId w:val="17"/>
              </w:numPr>
              <w:spacing w:after="120"/>
              <w:rPr>
                <w:sz w:val="16"/>
                <w:szCs w:val="16"/>
                <w:lang w:eastAsia="en-CA"/>
              </w:rPr>
            </w:pPr>
            <w:r>
              <w:rPr>
                <w:sz w:val="16"/>
                <w:szCs w:val="16"/>
                <w:lang w:eastAsia="en-CA"/>
              </w:rPr>
              <w:t xml:space="preserve">Meeting </w:t>
            </w:r>
            <w:r w:rsidR="00D6112E">
              <w:rPr>
                <w:sz w:val="16"/>
                <w:szCs w:val="16"/>
                <w:lang w:eastAsia="en-CA"/>
              </w:rPr>
              <w:t xml:space="preserve">on ADT </w:t>
            </w:r>
            <w:r>
              <w:rPr>
                <w:sz w:val="16"/>
                <w:szCs w:val="16"/>
                <w:lang w:eastAsia="en-CA"/>
              </w:rPr>
              <w:t>organised by UNCTAD</w:t>
            </w:r>
            <w:r w:rsidR="00D6112E">
              <w:rPr>
                <w:sz w:val="16"/>
                <w:szCs w:val="16"/>
                <w:lang w:eastAsia="en-CA"/>
              </w:rPr>
              <w:t xml:space="preserve"> for national stakeholders</w:t>
            </w:r>
            <w:r w:rsidR="003B2688">
              <w:rPr>
                <w:sz w:val="16"/>
                <w:szCs w:val="16"/>
                <w:lang w:eastAsia="en-CA"/>
              </w:rPr>
              <w:t xml:space="preserve"> in May 2023</w:t>
            </w:r>
          </w:p>
          <w:p w14:paraId="65507E83" w14:textId="29F0121F" w:rsidR="0098092A" w:rsidRDefault="00F659C9" w:rsidP="003B672F">
            <w:pPr>
              <w:pStyle w:val="ListParagraph"/>
              <w:numPr>
                <w:ilvl w:val="2"/>
                <w:numId w:val="17"/>
              </w:numPr>
              <w:spacing w:after="120"/>
              <w:rPr>
                <w:sz w:val="16"/>
                <w:szCs w:val="16"/>
                <w:lang w:eastAsia="en-CA"/>
              </w:rPr>
            </w:pPr>
            <w:r>
              <w:rPr>
                <w:sz w:val="16"/>
                <w:szCs w:val="16"/>
                <w:lang w:eastAsia="en-CA"/>
              </w:rPr>
              <w:t xml:space="preserve">ADT </w:t>
            </w:r>
            <w:r w:rsidR="003B2688">
              <w:rPr>
                <w:sz w:val="16"/>
                <w:szCs w:val="16"/>
                <w:lang w:eastAsia="en-CA"/>
              </w:rPr>
              <w:t>assessment and national workshop in October 2023</w:t>
            </w:r>
          </w:p>
          <w:p w14:paraId="41384F1C" w14:textId="078EDCD3" w:rsidR="005B43B0" w:rsidRDefault="005B43B0" w:rsidP="003B672F">
            <w:pPr>
              <w:pStyle w:val="ListParagraph"/>
              <w:numPr>
                <w:ilvl w:val="2"/>
                <w:numId w:val="17"/>
              </w:numPr>
              <w:spacing w:after="120"/>
              <w:rPr>
                <w:sz w:val="16"/>
                <w:szCs w:val="16"/>
                <w:lang w:eastAsia="en-CA"/>
              </w:rPr>
            </w:pPr>
            <w:r>
              <w:rPr>
                <w:sz w:val="16"/>
                <w:szCs w:val="16"/>
                <w:lang w:eastAsia="en-CA"/>
              </w:rPr>
              <w:t>Comprehensive report on ADT developed and adopted at the national level</w:t>
            </w:r>
          </w:p>
          <w:p w14:paraId="3D8E2D46" w14:textId="18AF7574" w:rsidR="004315CC" w:rsidRPr="005C5740" w:rsidRDefault="004315CC" w:rsidP="004315CC">
            <w:pPr>
              <w:spacing w:after="120"/>
              <w:ind w:left="2080"/>
              <w:rPr>
                <w:sz w:val="16"/>
                <w:szCs w:val="16"/>
                <w:lang w:eastAsia="en-CA"/>
              </w:rPr>
            </w:pPr>
            <w:r>
              <w:rPr>
                <w:sz w:val="16"/>
                <w:szCs w:val="16"/>
                <w:lang w:eastAsia="en-CA"/>
              </w:rPr>
              <w:t>Strengthening  SME capacity on accounting and financial reporting</w:t>
            </w:r>
          </w:p>
          <w:p w14:paraId="126B9F0A" w14:textId="6F5BFA79" w:rsidR="004315CC" w:rsidRPr="003B711F" w:rsidRDefault="004315CC" w:rsidP="003B672F">
            <w:pPr>
              <w:pStyle w:val="ListParagraph"/>
              <w:numPr>
                <w:ilvl w:val="2"/>
                <w:numId w:val="17"/>
              </w:numPr>
              <w:spacing w:after="120"/>
              <w:rPr>
                <w:sz w:val="16"/>
                <w:szCs w:val="16"/>
                <w:lang w:eastAsia="en-CA"/>
              </w:rPr>
            </w:pPr>
            <w:r w:rsidRPr="00A637E9">
              <w:rPr>
                <w:rFonts w:ascii="Calibri" w:hAnsi="Calibri" w:cs="Arial"/>
                <w:sz w:val="16"/>
                <w:szCs w:val="16"/>
              </w:rPr>
              <w:lastRenderedPageBreak/>
              <w:t>Training of Trainers workshop</w:t>
            </w:r>
            <w:r>
              <w:rPr>
                <w:rFonts w:ascii="Calibri" w:hAnsi="Calibri" w:cs="Arial"/>
                <w:sz w:val="16"/>
                <w:szCs w:val="16"/>
              </w:rPr>
              <w:t xml:space="preserve"> organised by UNCTAD in December 2023</w:t>
            </w:r>
            <w:r w:rsidRPr="00A637E9">
              <w:rPr>
                <w:rFonts w:ascii="Calibri" w:hAnsi="Calibri" w:cs="Arial"/>
                <w:sz w:val="16"/>
                <w:szCs w:val="16"/>
              </w:rPr>
              <w:t xml:space="preserve"> to provide technical assistance to trainers </w:t>
            </w:r>
            <w:r w:rsidR="00BD70F6">
              <w:rPr>
                <w:rFonts w:ascii="Calibri" w:hAnsi="Calibri" w:cs="Arial"/>
                <w:sz w:val="16"/>
                <w:szCs w:val="16"/>
              </w:rPr>
              <w:t xml:space="preserve">to apply </w:t>
            </w:r>
            <w:hyperlink r:id="rId107" w:history="1">
              <w:r w:rsidRPr="00A637E9">
                <w:rPr>
                  <w:rStyle w:val="Hyperlink"/>
                  <w:rFonts w:ascii="Calibri" w:hAnsi="Calibri" w:cs="Arial"/>
                  <w:sz w:val="16"/>
                  <w:szCs w:val="16"/>
                </w:rPr>
                <w:t>Accounting and Financial Reporting Guidelines for SMEs</w:t>
              </w:r>
            </w:hyperlink>
            <w:r w:rsidRPr="00A637E9">
              <w:rPr>
                <w:rFonts w:ascii="Calibri" w:hAnsi="Calibri" w:cs="Arial"/>
                <w:sz w:val="16"/>
                <w:szCs w:val="16"/>
              </w:rPr>
              <w:t xml:space="preserve"> </w:t>
            </w:r>
            <w:r w:rsidR="00BD70F6">
              <w:rPr>
                <w:rFonts w:ascii="Calibri" w:hAnsi="Calibri" w:cs="Arial"/>
                <w:sz w:val="16"/>
                <w:szCs w:val="16"/>
              </w:rPr>
              <w:t xml:space="preserve">(Support provided by the Ministry of Finance to translate the </w:t>
            </w:r>
            <w:r w:rsidR="00BD3010">
              <w:rPr>
                <w:rFonts w:ascii="Calibri" w:hAnsi="Calibri" w:cs="Arial"/>
                <w:sz w:val="16"/>
                <w:szCs w:val="16"/>
              </w:rPr>
              <w:t>guidelines into Russian)</w:t>
            </w:r>
          </w:p>
          <w:p w14:paraId="2BD7597D" w14:textId="7A2C9BEC" w:rsidR="003B711F" w:rsidRPr="003B711F" w:rsidRDefault="003B711F" w:rsidP="003B711F">
            <w:pPr>
              <w:spacing w:after="120"/>
              <w:ind w:left="2080"/>
              <w:rPr>
                <w:sz w:val="16"/>
                <w:szCs w:val="16"/>
                <w:lang w:eastAsia="en-CA"/>
              </w:rPr>
            </w:pPr>
            <w:r>
              <w:rPr>
                <w:sz w:val="16"/>
                <w:szCs w:val="16"/>
                <w:lang w:eastAsia="en-CA"/>
              </w:rPr>
              <w:t>Sustainability and impact reporting</w:t>
            </w:r>
          </w:p>
          <w:p w14:paraId="7628F2D2" w14:textId="67CDBEF2" w:rsidR="00BD70F6" w:rsidRDefault="0073364A" w:rsidP="003B672F">
            <w:pPr>
              <w:pStyle w:val="ListParagraph"/>
              <w:numPr>
                <w:ilvl w:val="2"/>
                <w:numId w:val="17"/>
              </w:numPr>
              <w:spacing w:after="120"/>
              <w:rPr>
                <w:sz w:val="16"/>
                <w:szCs w:val="16"/>
                <w:lang w:eastAsia="en-CA"/>
              </w:rPr>
            </w:pPr>
            <w:r>
              <w:rPr>
                <w:sz w:val="16"/>
                <w:szCs w:val="16"/>
                <w:lang w:eastAsia="en-CA"/>
              </w:rPr>
              <w:t>National capacity-building workshop organised by UNCTAD in June 202</w:t>
            </w:r>
            <w:r w:rsidR="00784679">
              <w:rPr>
                <w:sz w:val="16"/>
                <w:szCs w:val="16"/>
                <w:lang w:eastAsia="en-CA"/>
              </w:rPr>
              <w:t xml:space="preserve">3 </w:t>
            </w:r>
            <w:r w:rsidR="00784679" w:rsidRPr="00A637E9">
              <w:rPr>
                <w:rFonts w:ascii="Calibri" w:hAnsi="Calibri" w:cs="Arial"/>
                <w:sz w:val="16"/>
                <w:szCs w:val="16"/>
              </w:rPr>
              <w:t>to strengthen understanding of sustainability and SDG impact reporting</w:t>
            </w:r>
          </w:p>
          <w:p w14:paraId="73C641B3" w14:textId="14E4B7B7" w:rsidR="00006A2E" w:rsidRPr="00745BA8" w:rsidRDefault="00CA29E1" w:rsidP="003B672F">
            <w:pPr>
              <w:pStyle w:val="ListParagraph"/>
              <w:numPr>
                <w:ilvl w:val="0"/>
                <w:numId w:val="17"/>
              </w:numPr>
              <w:spacing w:after="120"/>
              <w:rPr>
                <w:b/>
                <w:bCs/>
                <w:sz w:val="16"/>
                <w:szCs w:val="16"/>
                <w:lang w:eastAsia="en-CA"/>
              </w:rPr>
            </w:pPr>
            <w:r w:rsidRPr="00745BA8">
              <w:rPr>
                <w:b/>
                <w:bCs/>
                <w:sz w:val="16"/>
                <w:szCs w:val="16"/>
                <w:lang w:eastAsia="en-CA"/>
              </w:rPr>
              <w:t>Costa Rica</w:t>
            </w:r>
            <w:r w:rsidR="00247CE4" w:rsidRPr="00745BA8">
              <w:rPr>
                <w:b/>
                <w:bCs/>
                <w:sz w:val="16"/>
                <w:szCs w:val="16"/>
                <w:lang w:eastAsia="en-CA"/>
              </w:rPr>
              <w:t>:</w:t>
            </w:r>
          </w:p>
          <w:p w14:paraId="61742F94" w14:textId="0483D5AA" w:rsidR="00FE17CD" w:rsidRDefault="00FE17CD" w:rsidP="003B672F">
            <w:pPr>
              <w:pStyle w:val="ListParagraph"/>
              <w:numPr>
                <w:ilvl w:val="1"/>
                <w:numId w:val="17"/>
              </w:numPr>
              <w:spacing w:after="120"/>
              <w:rPr>
                <w:sz w:val="16"/>
                <w:szCs w:val="16"/>
                <w:lang w:eastAsia="en-CA"/>
              </w:rPr>
            </w:pPr>
            <w:r w:rsidRPr="00A637E9">
              <w:rPr>
                <w:rFonts w:ascii="Calibri" w:hAnsi="Calibri" w:cs="Arial"/>
                <w:sz w:val="16"/>
                <w:szCs w:val="16"/>
              </w:rPr>
              <w:t>Sustainable Development Bond Framework delivered to</w:t>
            </w:r>
            <w:r w:rsidR="00874A42">
              <w:rPr>
                <w:rFonts w:ascii="Calibri" w:hAnsi="Calibri" w:cs="Arial"/>
                <w:sz w:val="16"/>
                <w:szCs w:val="16"/>
              </w:rPr>
              <w:t xml:space="preserve"> the</w:t>
            </w:r>
            <w:r w:rsidRPr="00A637E9">
              <w:rPr>
                <w:rFonts w:ascii="Calibri" w:hAnsi="Calibri" w:cs="Arial"/>
                <w:sz w:val="16"/>
                <w:szCs w:val="16"/>
              </w:rPr>
              <w:t xml:space="preserve"> national authorities</w:t>
            </w:r>
            <w:r w:rsidR="00874A42">
              <w:rPr>
                <w:rFonts w:ascii="Calibri" w:hAnsi="Calibri" w:cs="Arial"/>
                <w:sz w:val="16"/>
                <w:szCs w:val="16"/>
              </w:rPr>
              <w:t xml:space="preserve"> by UNECLAC</w:t>
            </w:r>
            <w:r w:rsidRPr="00A637E9">
              <w:rPr>
                <w:rFonts w:ascii="Calibri" w:hAnsi="Calibri" w:cs="Arial"/>
                <w:sz w:val="16"/>
                <w:szCs w:val="16"/>
              </w:rPr>
              <w:t xml:space="preserve"> in 2023</w:t>
            </w:r>
          </w:p>
          <w:p w14:paraId="6934ECCB" w14:textId="2568A034" w:rsidR="00CA29E1" w:rsidRPr="00601A58" w:rsidRDefault="00CA29E1" w:rsidP="003B672F">
            <w:pPr>
              <w:pStyle w:val="ListParagraph"/>
              <w:numPr>
                <w:ilvl w:val="0"/>
                <w:numId w:val="17"/>
              </w:numPr>
              <w:spacing w:after="120"/>
              <w:rPr>
                <w:b/>
                <w:bCs/>
                <w:sz w:val="16"/>
                <w:szCs w:val="16"/>
                <w:lang w:eastAsia="en-CA"/>
              </w:rPr>
            </w:pPr>
            <w:r w:rsidRPr="00601A58">
              <w:rPr>
                <w:b/>
                <w:bCs/>
                <w:sz w:val="16"/>
                <w:szCs w:val="16"/>
                <w:lang w:eastAsia="en-CA"/>
              </w:rPr>
              <w:t>Dominican Republic</w:t>
            </w:r>
            <w:r w:rsidR="00247CE4" w:rsidRPr="00601A58">
              <w:rPr>
                <w:b/>
                <w:bCs/>
                <w:sz w:val="16"/>
                <w:szCs w:val="16"/>
                <w:lang w:eastAsia="en-CA"/>
              </w:rPr>
              <w:t>:</w:t>
            </w:r>
          </w:p>
          <w:p w14:paraId="4222183F" w14:textId="0E7FED4E" w:rsidR="0037669C" w:rsidRPr="005B2EBB" w:rsidRDefault="002116F1" w:rsidP="003B672F">
            <w:pPr>
              <w:pStyle w:val="ListParagraph"/>
              <w:numPr>
                <w:ilvl w:val="1"/>
                <w:numId w:val="17"/>
              </w:numPr>
              <w:spacing w:after="120"/>
              <w:rPr>
                <w:sz w:val="16"/>
                <w:szCs w:val="16"/>
                <w:lang w:eastAsia="en-CA"/>
              </w:rPr>
            </w:pPr>
            <w:r>
              <w:rPr>
                <w:sz w:val="16"/>
                <w:szCs w:val="16"/>
                <w:lang w:eastAsia="en-CA"/>
              </w:rPr>
              <w:t xml:space="preserve">Collaboration between UNECLAC and the </w:t>
            </w:r>
            <w:r w:rsidRPr="00A637E9">
              <w:rPr>
                <w:rFonts w:ascii="Calibri" w:hAnsi="Calibri" w:cs="Arial"/>
                <w:sz w:val="16"/>
                <w:szCs w:val="16"/>
              </w:rPr>
              <w:t>Ministry of Economy, Planning and Development</w:t>
            </w:r>
            <w:r>
              <w:rPr>
                <w:rFonts w:ascii="Calibri" w:hAnsi="Calibri" w:cs="Arial"/>
                <w:sz w:val="16"/>
                <w:szCs w:val="16"/>
              </w:rPr>
              <w:t xml:space="preserve"> on </w:t>
            </w:r>
            <w:r w:rsidRPr="00A637E9">
              <w:rPr>
                <w:rFonts w:ascii="Calibri" w:hAnsi="Calibri" w:cs="Arial"/>
                <w:sz w:val="16"/>
                <w:szCs w:val="16"/>
              </w:rPr>
              <w:t>technical assistance to support the development of an INFF</w:t>
            </w:r>
          </w:p>
          <w:p w14:paraId="6B950CBF" w14:textId="353FE2F0" w:rsidR="005B2EBB" w:rsidRPr="00061865" w:rsidRDefault="005B2EBB" w:rsidP="003B672F">
            <w:pPr>
              <w:pStyle w:val="ListParagraph"/>
              <w:numPr>
                <w:ilvl w:val="1"/>
                <w:numId w:val="17"/>
              </w:numPr>
              <w:spacing w:after="120"/>
              <w:rPr>
                <w:sz w:val="16"/>
                <w:szCs w:val="16"/>
                <w:lang w:eastAsia="en-CA"/>
              </w:rPr>
            </w:pPr>
            <w:r>
              <w:rPr>
                <w:sz w:val="16"/>
                <w:szCs w:val="16"/>
                <w:lang w:eastAsia="en-CA"/>
              </w:rPr>
              <w:t xml:space="preserve">National INFF </w:t>
            </w:r>
            <w:r w:rsidR="00EC4390">
              <w:rPr>
                <w:sz w:val="16"/>
                <w:szCs w:val="16"/>
                <w:lang w:eastAsia="en-CA"/>
              </w:rPr>
              <w:t xml:space="preserve">project </w:t>
            </w:r>
            <w:r w:rsidR="00EC4390" w:rsidRPr="00A637E9">
              <w:rPr>
                <w:rFonts w:ascii="Calibri" w:hAnsi="Calibri" w:cs="Arial"/>
                <w:sz w:val="16"/>
                <w:szCs w:val="16"/>
              </w:rPr>
              <w:t>kick-off meeting</w:t>
            </w:r>
            <w:r w:rsidR="00EC4390">
              <w:rPr>
                <w:rFonts w:ascii="Calibri" w:hAnsi="Calibri" w:cs="Arial"/>
                <w:sz w:val="16"/>
                <w:szCs w:val="16"/>
              </w:rPr>
              <w:t xml:space="preserve"> </w:t>
            </w:r>
            <w:r w:rsidR="00061865" w:rsidRPr="00A637E9">
              <w:rPr>
                <w:rFonts w:ascii="Calibri" w:hAnsi="Calibri" w:cs="Arial"/>
                <w:sz w:val="16"/>
                <w:szCs w:val="16"/>
              </w:rPr>
              <w:t>for the INFF project</w:t>
            </w:r>
            <w:r w:rsidR="00061865">
              <w:rPr>
                <w:rFonts w:ascii="Calibri" w:hAnsi="Calibri" w:cs="Arial"/>
                <w:sz w:val="16"/>
                <w:szCs w:val="16"/>
              </w:rPr>
              <w:t xml:space="preserve"> held</w:t>
            </w:r>
            <w:r w:rsidR="00EC4390">
              <w:rPr>
                <w:rFonts w:ascii="Calibri" w:hAnsi="Calibri" w:cs="Arial"/>
                <w:sz w:val="16"/>
                <w:szCs w:val="16"/>
              </w:rPr>
              <w:t xml:space="preserve"> in April 2024</w:t>
            </w:r>
            <w:r w:rsidR="00061865">
              <w:rPr>
                <w:rFonts w:ascii="Calibri" w:hAnsi="Calibri" w:cs="Arial"/>
                <w:sz w:val="16"/>
                <w:szCs w:val="16"/>
              </w:rPr>
              <w:t xml:space="preserve"> </w:t>
            </w:r>
            <w:r w:rsidR="00061865" w:rsidRPr="00A637E9">
              <w:rPr>
                <w:rFonts w:ascii="Calibri" w:hAnsi="Calibri" w:cs="Arial"/>
                <w:sz w:val="16"/>
                <w:szCs w:val="16"/>
              </w:rPr>
              <w:t>with national authorities and UN</w:t>
            </w:r>
            <w:r w:rsidR="00061865">
              <w:rPr>
                <w:rFonts w:ascii="Calibri" w:hAnsi="Calibri" w:cs="Arial"/>
                <w:sz w:val="16"/>
                <w:szCs w:val="16"/>
              </w:rPr>
              <w:t>CT</w:t>
            </w:r>
          </w:p>
          <w:p w14:paraId="4D996DD7" w14:textId="1D677C18" w:rsidR="00061865" w:rsidRPr="00FE280C" w:rsidRDefault="00FE280C" w:rsidP="003B672F">
            <w:pPr>
              <w:pStyle w:val="ListParagraph"/>
              <w:numPr>
                <w:ilvl w:val="1"/>
                <w:numId w:val="17"/>
              </w:numPr>
              <w:spacing w:after="120"/>
              <w:rPr>
                <w:sz w:val="16"/>
                <w:szCs w:val="16"/>
                <w:lang w:eastAsia="en-CA"/>
              </w:rPr>
            </w:pPr>
            <w:r>
              <w:rPr>
                <w:rFonts w:ascii="Calibri" w:hAnsi="Calibri" w:cs="Arial"/>
                <w:sz w:val="16"/>
                <w:szCs w:val="16"/>
              </w:rPr>
              <w:t>Two reports developed for the authorities</w:t>
            </w:r>
            <w:r w:rsidR="00D84ABB">
              <w:rPr>
                <w:rFonts w:ascii="Calibri" w:hAnsi="Calibri" w:cs="Arial"/>
                <w:sz w:val="16"/>
                <w:szCs w:val="16"/>
              </w:rPr>
              <w:t xml:space="preserve">, with </w:t>
            </w:r>
            <w:r w:rsidR="00A8676E">
              <w:rPr>
                <w:rFonts w:ascii="Calibri" w:hAnsi="Calibri" w:cs="Arial"/>
                <w:sz w:val="16"/>
                <w:szCs w:val="16"/>
              </w:rPr>
              <w:t>coordinated support by UNECLAC and UNDESA</w:t>
            </w:r>
            <w:r>
              <w:rPr>
                <w:rFonts w:ascii="Calibri" w:hAnsi="Calibri" w:cs="Arial"/>
                <w:sz w:val="16"/>
                <w:szCs w:val="16"/>
              </w:rPr>
              <w:t>:</w:t>
            </w:r>
          </w:p>
          <w:p w14:paraId="3CADA742" w14:textId="48573A2E" w:rsidR="00FE280C" w:rsidRPr="001E369E" w:rsidRDefault="0086294F" w:rsidP="003B672F">
            <w:pPr>
              <w:pStyle w:val="ListParagraph"/>
              <w:numPr>
                <w:ilvl w:val="2"/>
                <w:numId w:val="17"/>
              </w:numPr>
              <w:spacing w:after="120"/>
              <w:rPr>
                <w:sz w:val="16"/>
                <w:szCs w:val="16"/>
                <w:lang w:eastAsia="en-CA"/>
              </w:rPr>
            </w:pPr>
            <w:r>
              <w:rPr>
                <w:sz w:val="16"/>
                <w:szCs w:val="16"/>
                <w:lang w:eastAsia="en-CA"/>
              </w:rPr>
              <w:t xml:space="preserve">An analysis of </w:t>
            </w:r>
            <w:r w:rsidRPr="00F772E0">
              <w:rPr>
                <w:rFonts w:ascii="Calibri" w:hAnsi="Calibri" w:cs="Arial"/>
                <w:sz w:val="16"/>
                <w:szCs w:val="16"/>
              </w:rPr>
              <w:t>progress on the National Development Strategy and SDGs</w:t>
            </w:r>
            <w:r w:rsidR="001E369E">
              <w:rPr>
                <w:rFonts w:ascii="Calibri" w:hAnsi="Calibri" w:cs="Arial"/>
                <w:sz w:val="16"/>
                <w:szCs w:val="16"/>
              </w:rPr>
              <w:t>,</w:t>
            </w:r>
            <w:r w:rsidR="001E369E" w:rsidRPr="00F772E0">
              <w:rPr>
                <w:rFonts w:ascii="Calibri" w:hAnsi="Calibri" w:cs="Arial"/>
                <w:sz w:val="16"/>
                <w:szCs w:val="16"/>
              </w:rPr>
              <w:t xml:space="preserve"> assessing strategic goals, key indicators, financial frameworks, gaps in achiev</w:t>
            </w:r>
            <w:r w:rsidR="001E369E">
              <w:rPr>
                <w:rFonts w:ascii="Calibri" w:hAnsi="Calibri" w:cs="Arial"/>
                <w:sz w:val="16"/>
                <w:szCs w:val="16"/>
              </w:rPr>
              <w:t xml:space="preserve">ement and </w:t>
            </w:r>
            <w:r w:rsidR="001E369E" w:rsidRPr="00F772E0">
              <w:rPr>
                <w:rFonts w:ascii="Calibri" w:hAnsi="Calibri" w:cs="Arial"/>
                <w:sz w:val="16"/>
                <w:szCs w:val="16"/>
              </w:rPr>
              <w:t>potential costing methodologies</w:t>
            </w:r>
          </w:p>
          <w:p w14:paraId="56C52EEC" w14:textId="742D77FC" w:rsidR="001E369E" w:rsidRPr="00274115" w:rsidRDefault="007651F4" w:rsidP="003B672F">
            <w:pPr>
              <w:pStyle w:val="ListParagraph"/>
              <w:numPr>
                <w:ilvl w:val="2"/>
                <w:numId w:val="17"/>
              </w:numPr>
              <w:spacing w:after="120"/>
              <w:rPr>
                <w:sz w:val="16"/>
                <w:szCs w:val="16"/>
                <w:lang w:eastAsia="en-CA"/>
              </w:rPr>
            </w:pPr>
            <w:r>
              <w:rPr>
                <w:sz w:val="16"/>
                <w:szCs w:val="16"/>
                <w:lang w:eastAsia="en-CA"/>
              </w:rPr>
              <w:t xml:space="preserve">An exploration of </w:t>
            </w:r>
            <w:r w:rsidRPr="00F772E0">
              <w:rPr>
                <w:rFonts w:ascii="Calibri" w:hAnsi="Calibri" w:cs="Arial"/>
                <w:sz w:val="16"/>
                <w:szCs w:val="16"/>
              </w:rPr>
              <w:t>innovative financing tools</w:t>
            </w:r>
            <w:r w:rsidR="00521FEF">
              <w:rPr>
                <w:rFonts w:ascii="Calibri" w:hAnsi="Calibri" w:cs="Arial"/>
                <w:sz w:val="16"/>
                <w:szCs w:val="16"/>
              </w:rPr>
              <w:t xml:space="preserve">, </w:t>
            </w:r>
            <w:r w:rsidRPr="00F772E0">
              <w:rPr>
                <w:rFonts w:ascii="Calibri" w:hAnsi="Calibri" w:cs="Arial"/>
                <w:sz w:val="16"/>
                <w:szCs w:val="16"/>
              </w:rPr>
              <w:t>legal frameworks, international experiences, tax exemptions, and public debt management recommendations</w:t>
            </w:r>
          </w:p>
          <w:p w14:paraId="3B392786" w14:textId="64BC6F78" w:rsidR="00274115" w:rsidRPr="00104F50" w:rsidRDefault="003B4155" w:rsidP="003B672F">
            <w:pPr>
              <w:pStyle w:val="ListParagraph"/>
              <w:numPr>
                <w:ilvl w:val="1"/>
                <w:numId w:val="17"/>
              </w:numPr>
              <w:spacing w:after="120"/>
              <w:rPr>
                <w:sz w:val="16"/>
                <w:szCs w:val="16"/>
                <w:lang w:eastAsia="en-CA"/>
              </w:rPr>
            </w:pPr>
            <w:r>
              <w:rPr>
                <w:sz w:val="16"/>
                <w:szCs w:val="16"/>
                <w:lang w:eastAsia="en-CA"/>
              </w:rPr>
              <w:t xml:space="preserve">Embedded consultant provided by UNDESA </w:t>
            </w:r>
            <w:r w:rsidRPr="00104F50">
              <w:rPr>
                <w:rFonts w:ascii="Calibri" w:hAnsi="Calibri" w:cs="Arial"/>
                <w:sz w:val="16"/>
                <w:szCs w:val="16"/>
              </w:rPr>
              <w:t>to support INFF implementation under the FINS project</w:t>
            </w:r>
          </w:p>
          <w:p w14:paraId="20F41B61" w14:textId="495483BC" w:rsidR="007E62FF" w:rsidRPr="00104F50" w:rsidRDefault="007E62FF" w:rsidP="003B672F">
            <w:pPr>
              <w:pStyle w:val="ListParagraph"/>
              <w:numPr>
                <w:ilvl w:val="1"/>
                <w:numId w:val="17"/>
              </w:numPr>
              <w:spacing w:after="120"/>
              <w:rPr>
                <w:sz w:val="16"/>
                <w:szCs w:val="16"/>
                <w:lang w:eastAsia="en-CA"/>
              </w:rPr>
            </w:pPr>
            <w:r w:rsidRPr="00104F50">
              <w:rPr>
                <w:rFonts w:ascii="Calibri" w:hAnsi="Calibri" w:cs="Arial"/>
                <w:sz w:val="16"/>
                <w:szCs w:val="16"/>
              </w:rPr>
              <w:t>End-of-project event to disseminate the findings of the technical reports to a broader audience, including policymakers, private sector representatives, and public institutions</w:t>
            </w:r>
          </w:p>
          <w:p w14:paraId="7DAE7C3A" w14:textId="39D6B1A0" w:rsidR="00CA29E1" w:rsidRDefault="00CA29E1" w:rsidP="003B672F">
            <w:pPr>
              <w:pStyle w:val="ListParagraph"/>
              <w:numPr>
                <w:ilvl w:val="0"/>
                <w:numId w:val="17"/>
              </w:numPr>
              <w:spacing w:after="120"/>
              <w:rPr>
                <w:sz w:val="16"/>
                <w:szCs w:val="16"/>
                <w:lang w:eastAsia="en-CA"/>
              </w:rPr>
            </w:pPr>
            <w:r>
              <w:rPr>
                <w:sz w:val="16"/>
                <w:szCs w:val="16"/>
                <w:lang w:eastAsia="en-CA"/>
              </w:rPr>
              <w:t>Egypt</w:t>
            </w:r>
            <w:r w:rsidR="00247CE4">
              <w:rPr>
                <w:sz w:val="16"/>
                <w:szCs w:val="16"/>
                <w:lang w:eastAsia="en-CA"/>
              </w:rPr>
              <w:t>:</w:t>
            </w:r>
          </w:p>
          <w:p w14:paraId="0873C7C4" w14:textId="36F2420A" w:rsidR="00DB3361" w:rsidRPr="001D5184" w:rsidRDefault="001D5184" w:rsidP="003B672F">
            <w:pPr>
              <w:pStyle w:val="ListParagraph"/>
              <w:numPr>
                <w:ilvl w:val="1"/>
                <w:numId w:val="17"/>
              </w:numPr>
              <w:spacing w:after="120"/>
              <w:rPr>
                <w:sz w:val="16"/>
                <w:szCs w:val="16"/>
                <w:lang w:eastAsia="en-CA"/>
              </w:rPr>
            </w:pPr>
            <w:r>
              <w:rPr>
                <w:sz w:val="16"/>
                <w:szCs w:val="16"/>
                <w:lang w:eastAsia="en-CA"/>
              </w:rPr>
              <w:t xml:space="preserve">Substantive contributions to the development </w:t>
            </w:r>
            <w:r w:rsidRPr="00A637E9">
              <w:rPr>
                <w:rFonts w:ascii="Calibri" w:hAnsi="Calibri" w:cs="Arial"/>
                <w:sz w:val="16"/>
                <w:szCs w:val="16"/>
              </w:rPr>
              <w:t xml:space="preserve">and launch of </w:t>
            </w:r>
            <w:r>
              <w:rPr>
                <w:rFonts w:ascii="Calibri" w:hAnsi="Calibri" w:cs="Arial"/>
                <w:sz w:val="16"/>
                <w:szCs w:val="16"/>
              </w:rPr>
              <w:t>the</w:t>
            </w:r>
            <w:r w:rsidRPr="00A637E9">
              <w:rPr>
                <w:rFonts w:ascii="Calibri" w:hAnsi="Calibri" w:cs="Arial"/>
                <w:sz w:val="16"/>
                <w:szCs w:val="16"/>
              </w:rPr>
              <w:t xml:space="preserve"> Financing Sustainable Development report at Arab Sustainable Development Week</w:t>
            </w:r>
            <w:r>
              <w:rPr>
                <w:rFonts w:ascii="Calibri" w:hAnsi="Calibri" w:cs="Arial"/>
                <w:sz w:val="16"/>
                <w:szCs w:val="16"/>
              </w:rPr>
              <w:t xml:space="preserve"> in February 2022</w:t>
            </w:r>
          </w:p>
          <w:p w14:paraId="498D07E5" w14:textId="337377AB" w:rsidR="001D5184" w:rsidRPr="001D5184" w:rsidRDefault="001D5184" w:rsidP="003B672F">
            <w:pPr>
              <w:pStyle w:val="ListParagraph"/>
              <w:numPr>
                <w:ilvl w:val="1"/>
                <w:numId w:val="17"/>
              </w:numPr>
              <w:spacing w:after="120"/>
              <w:rPr>
                <w:sz w:val="16"/>
                <w:szCs w:val="16"/>
                <w:lang w:eastAsia="en-CA"/>
              </w:rPr>
            </w:pPr>
            <w:r>
              <w:rPr>
                <w:sz w:val="16"/>
                <w:szCs w:val="16"/>
                <w:lang w:eastAsia="en-CA"/>
              </w:rPr>
              <w:t xml:space="preserve">Organisation of </w:t>
            </w:r>
            <w:r w:rsidRPr="00A637E9">
              <w:rPr>
                <w:rFonts w:ascii="Calibri" w:hAnsi="Calibri" w:cs="Arial"/>
                <w:sz w:val="16"/>
                <w:szCs w:val="16"/>
              </w:rPr>
              <w:t xml:space="preserve">a special high-level session to discuss the reports financing findings the during the </w:t>
            </w:r>
            <w:hyperlink r:id="rId108" w:history="1">
              <w:r w:rsidRPr="00097136">
                <w:rPr>
                  <w:rStyle w:val="Hyperlink"/>
                  <w:rFonts w:ascii="Calibri" w:hAnsi="Calibri" w:cs="Arial"/>
                  <w:sz w:val="16"/>
                  <w:szCs w:val="16"/>
                </w:rPr>
                <w:t>Arab Forum on Sustainable Development</w:t>
              </w:r>
            </w:hyperlink>
            <w:r>
              <w:t xml:space="preserve"> </w:t>
            </w:r>
            <w:r w:rsidRPr="001D5184">
              <w:rPr>
                <w:sz w:val="16"/>
                <w:szCs w:val="16"/>
              </w:rPr>
              <w:t>in March 2022</w:t>
            </w:r>
          </w:p>
          <w:p w14:paraId="1912D0A8" w14:textId="26D1A575" w:rsidR="001D5184" w:rsidRPr="000F6093" w:rsidRDefault="001D5184" w:rsidP="003B672F">
            <w:pPr>
              <w:pStyle w:val="ListParagraph"/>
              <w:numPr>
                <w:ilvl w:val="1"/>
                <w:numId w:val="17"/>
              </w:numPr>
              <w:spacing w:after="120"/>
              <w:rPr>
                <w:sz w:val="16"/>
                <w:szCs w:val="16"/>
                <w:lang w:eastAsia="en-CA"/>
              </w:rPr>
            </w:pPr>
            <w:r>
              <w:rPr>
                <w:sz w:val="16"/>
                <w:szCs w:val="16"/>
                <w:lang w:eastAsia="en-CA"/>
              </w:rPr>
              <w:t xml:space="preserve">Organisation of </w:t>
            </w:r>
            <w:r w:rsidRPr="00A637E9">
              <w:rPr>
                <w:rFonts w:ascii="Calibri" w:hAnsi="Calibri" w:cs="Arial"/>
                <w:sz w:val="16"/>
                <w:szCs w:val="16"/>
              </w:rPr>
              <w:t>a technical workshop to provide technical advisory</w:t>
            </w:r>
            <w:r w:rsidR="00DC78A3">
              <w:rPr>
                <w:rFonts w:ascii="Calibri" w:hAnsi="Calibri" w:cs="Arial"/>
                <w:sz w:val="16"/>
                <w:szCs w:val="16"/>
              </w:rPr>
              <w:t xml:space="preserve">; </w:t>
            </w:r>
            <w:r w:rsidRPr="00A637E9">
              <w:rPr>
                <w:rFonts w:ascii="Calibri" w:hAnsi="Calibri" w:cs="Arial"/>
                <w:sz w:val="16"/>
                <w:szCs w:val="16"/>
              </w:rPr>
              <w:t>INFF support</w:t>
            </w:r>
            <w:r w:rsidR="00DC78A3">
              <w:rPr>
                <w:rFonts w:ascii="Calibri" w:hAnsi="Calibri" w:cs="Arial"/>
                <w:sz w:val="16"/>
                <w:szCs w:val="16"/>
              </w:rPr>
              <w:t xml:space="preserve">; and </w:t>
            </w:r>
            <w:r w:rsidRPr="00A637E9">
              <w:rPr>
                <w:rFonts w:ascii="Calibri" w:hAnsi="Calibri" w:cs="Arial"/>
                <w:sz w:val="16"/>
                <w:szCs w:val="16"/>
              </w:rPr>
              <w:t xml:space="preserve">showcase the tools, functionalities, features and policy findings </w:t>
            </w:r>
            <w:r w:rsidR="00DC78A3">
              <w:rPr>
                <w:rFonts w:ascii="Calibri" w:hAnsi="Calibri" w:cs="Arial"/>
                <w:sz w:val="16"/>
                <w:szCs w:val="16"/>
              </w:rPr>
              <w:t>of</w:t>
            </w:r>
            <w:r w:rsidRPr="00A637E9">
              <w:rPr>
                <w:rFonts w:ascii="Calibri" w:hAnsi="Calibri" w:cs="Arial"/>
                <w:sz w:val="16"/>
                <w:szCs w:val="16"/>
              </w:rPr>
              <w:t xml:space="preserve"> four cascading financing tools developed to support the articulation of </w:t>
            </w:r>
            <w:r w:rsidR="00DC78A3">
              <w:rPr>
                <w:rFonts w:ascii="Calibri" w:hAnsi="Calibri" w:cs="Arial"/>
                <w:sz w:val="16"/>
                <w:szCs w:val="16"/>
              </w:rPr>
              <w:t xml:space="preserve">the </w:t>
            </w:r>
            <w:r w:rsidR="000F6093">
              <w:rPr>
                <w:rFonts w:ascii="Calibri" w:hAnsi="Calibri" w:cs="Arial"/>
                <w:sz w:val="16"/>
                <w:szCs w:val="16"/>
              </w:rPr>
              <w:t>Egypt</w:t>
            </w:r>
            <w:r w:rsidRPr="00A637E9">
              <w:rPr>
                <w:rFonts w:ascii="Calibri" w:hAnsi="Calibri" w:cs="Arial"/>
                <w:sz w:val="16"/>
                <w:szCs w:val="16"/>
              </w:rPr>
              <w:t xml:space="preserve"> INFF and financing strategy</w:t>
            </w:r>
            <w:r w:rsidR="000F6093">
              <w:rPr>
                <w:rFonts w:ascii="Calibri" w:hAnsi="Calibri" w:cs="Arial"/>
                <w:sz w:val="16"/>
                <w:szCs w:val="16"/>
              </w:rPr>
              <w:t xml:space="preserve"> (request issued by Ministry of Planning and Economic Development)</w:t>
            </w:r>
          </w:p>
          <w:p w14:paraId="540FA928" w14:textId="77921178" w:rsidR="000F6093" w:rsidRPr="00CA002F" w:rsidRDefault="000F6093" w:rsidP="003B672F">
            <w:pPr>
              <w:pStyle w:val="ListParagraph"/>
              <w:numPr>
                <w:ilvl w:val="1"/>
                <w:numId w:val="17"/>
              </w:numPr>
              <w:spacing w:after="120"/>
              <w:rPr>
                <w:sz w:val="16"/>
                <w:szCs w:val="16"/>
                <w:lang w:eastAsia="en-CA"/>
              </w:rPr>
            </w:pPr>
            <w:r>
              <w:rPr>
                <w:rFonts w:ascii="Calibri" w:hAnsi="Calibri" w:cs="Arial"/>
                <w:sz w:val="16"/>
                <w:szCs w:val="16"/>
              </w:rPr>
              <w:t>T</w:t>
            </w:r>
            <w:r w:rsidRPr="00A637E9">
              <w:rPr>
                <w:rFonts w:ascii="Calibri" w:hAnsi="Calibri" w:cs="Arial"/>
                <w:sz w:val="16"/>
                <w:szCs w:val="16"/>
              </w:rPr>
              <w:t xml:space="preserve">wo-day virtual technical meeting </w:t>
            </w:r>
            <w:r>
              <w:rPr>
                <w:rFonts w:ascii="Calibri" w:hAnsi="Calibri" w:cs="Arial"/>
                <w:sz w:val="16"/>
                <w:szCs w:val="16"/>
              </w:rPr>
              <w:t xml:space="preserve">held </w:t>
            </w:r>
            <w:r w:rsidRPr="00A637E9">
              <w:rPr>
                <w:rFonts w:ascii="Calibri" w:hAnsi="Calibri" w:cs="Arial"/>
                <w:sz w:val="16"/>
                <w:szCs w:val="16"/>
              </w:rPr>
              <w:t xml:space="preserve">with officials from the Ministry of Planning and Economic Development </w:t>
            </w:r>
            <w:r w:rsidR="00CA002F">
              <w:rPr>
                <w:rFonts w:ascii="Calibri" w:hAnsi="Calibri" w:cs="Arial"/>
                <w:sz w:val="16"/>
                <w:szCs w:val="16"/>
              </w:rPr>
              <w:t xml:space="preserve">in October and December 2022 </w:t>
            </w:r>
            <w:r w:rsidRPr="00A637E9">
              <w:rPr>
                <w:rFonts w:ascii="Calibri" w:hAnsi="Calibri" w:cs="Arial"/>
                <w:sz w:val="16"/>
                <w:szCs w:val="16"/>
              </w:rPr>
              <w:t xml:space="preserve">to discuss the result of evidence-based assessments by </w:t>
            </w:r>
            <w:r w:rsidR="00CA002F">
              <w:rPr>
                <w:rFonts w:ascii="Calibri" w:hAnsi="Calibri" w:cs="Arial"/>
                <w:sz w:val="16"/>
                <w:szCs w:val="16"/>
              </w:rPr>
              <w:t>UN</w:t>
            </w:r>
            <w:r w:rsidRPr="00A637E9">
              <w:rPr>
                <w:rFonts w:ascii="Calibri" w:hAnsi="Calibri" w:cs="Arial"/>
                <w:sz w:val="16"/>
                <w:szCs w:val="16"/>
              </w:rPr>
              <w:t>ESCWA along with the policy findings drawn from ten dynamic FfD tools</w:t>
            </w:r>
          </w:p>
          <w:p w14:paraId="722AD70C" w14:textId="1B79A17F" w:rsidR="00CA002F" w:rsidRPr="00737723" w:rsidRDefault="00737723" w:rsidP="003B672F">
            <w:pPr>
              <w:pStyle w:val="ListParagraph"/>
              <w:numPr>
                <w:ilvl w:val="1"/>
                <w:numId w:val="17"/>
              </w:numPr>
              <w:spacing w:after="120"/>
              <w:rPr>
                <w:sz w:val="16"/>
                <w:szCs w:val="16"/>
                <w:lang w:eastAsia="en-CA"/>
              </w:rPr>
            </w:pPr>
            <w:r>
              <w:rPr>
                <w:sz w:val="16"/>
                <w:szCs w:val="16"/>
                <w:lang w:eastAsia="en-CA"/>
              </w:rPr>
              <w:t xml:space="preserve">Sharing of a Compendium of </w:t>
            </w:r>
            <w:r w:rsidRPr="00A637E9">
              <w:rPr>
                <w:rFonts w:ascii="Calibri" w:hAnsi="Calibri" w:cs="Arial"/>
                <w:sz w:val="16"/>
                <w:szCs w:val="16"/>
              </w:rPr>
              <w:t xml:space="preserve">SDG targets, indicators and thresholds </w:t>
            </w:r>
            <w:r>
              <w:rPr>
                <w:rFonts w:ascii="Calibri" w:hAnsi="Calibri" w:cs="Arial"/>
                <w:sz w:val="16"/>
                <w:szCs w:val="16"/>
              </w:rPr>
              <w:t xml:space="preserve">drawn </w:t>
            </w:r>
            <w:r w:rsidRPr="00A637E9">
              <w:rPr>
                <w:rFonts w:ascii="Calibri" w:hAnsi="Calibri" w:cs="Arial"/>
                <w:sz w:val="16"/>
                <w:szCs w:val="16"/>
              </w:rPr>
              <w:t xml:space="preserve">from national strategies and costed for Egypt by </w:t>
            </w:r>
            <w:r>
              <w:rPr>
                <w:rFonts w:ascii="Calibri" w:hAnsi="Calibri" w:cs="Arial"/>
                <w:sz w:val="16"/>
                <w:szCs w:val="16"/>
              </w:rPr>
              <w:t>UN</w:t>
            </w:r>
            <w:r w:rsidRPr="00A637E9">
              <w:rPr>
                <w:rFonts w:ascii="Calibri" w:hAnsi="Calibri" w:cs="Arial"/>
                <w:sz w:val="16"/>
                <w:szCs w:val="16"/>
              </w:rPr>
              <w:t>ESCWA and other agencies</w:t>
            </w:r>
            <w:r>
              <w:rPr>
                <w:rFonts w:ascii="Calibri" w:hAnsi="Calibri" w:cs="Arial"/>
                <w:sz w:val="16"/>
                <w:szCs w:val="16"/>
              </w:rPr>
              <w:t xml:space="preserve"> in 2022</w:t>
            </w:r>
          </w:p>
          <w:p w14:paraId="297908D2" w14:textId="1D555195" w:rsidR="00737723" w:rsidRPr="00B8403D" w:rsidRDefault="005E1A2E" w:rsidP="003B672F">
            <w:pPr>
              <w:pStyle w:val="ListParagraph"/>
              <w:numPr>
                <w:ilvl w:val="1"/>
                <w:numId w:val="17"/>
              </w:numPr>
              <w:spacing w:after="120"/>
              <w:rPr>
                <w:sz w:val="16"/>
                <w:szCs w:val="16"/>
                <w:lang w:eastAsia="en-CA"/>
              </w:rPr>
            </w:pPr>
            <w:r>
              <w:rPr>
                <w:sz w:val="16"/>
                <w:szCs w:val="16"/>
                <w:lang w:eastAsia="en-CA"/>
              </w:rPr>
              <w:t xml:space="preserve">Sustained collaboration </w:t>
            </w:r>
            <w:r w:rsidR="00B8403D" w:rsidRPr="00A637E9">
              <w:rPr>
                <w:rFonts w:ascii="Calibri" w:hAnsi="Calibri" w:cs="Arial"/>
                <w:sz w:val="16"/>
                <w:szCs w:val="16"/>
              </w:rPr>
              <w:t>with the government of Egypt</w:t>
            </w:r>
            <w:r w:rsidR="00B8403D">
              <w:rPr>
                <w:rFonts w:ascii="Calibri" w:hAnsi="Calibri" w:cs="Arial"/>
                <w:sz w:val="16"/>
                <w:szCs w:val="16"/>
              </w:rPr>
              <w:t xml:space="preserve"> in 2023</w:t>
            </w:r>
            <w:r w:rsidR="00B8403D" w:rsidRPr="00A637E9">
              <w:rPr>
                <w:rFonts w:ascii="Calibri" w:hAnsi="Calibri" w:cs="Arial"/>
                <w:sz w:val="16"/>
                <w:szCs w:val="16"/>
              </w:rPr>
              <w:t xml:space="preserve"> on progressing INFF implementation</w:t>
            </w:r>
            <w:r w:rsidR="00B8403D">
              <w:rPr>
                <w:rFonts w:ascii="Calibri" w:hAnsi="Calibri" w:cs="Arial"/>
                <w:sz w:val="16"/>
                <w:szCs w:val="16"/>
              </w:rPr>
              <w:t>:</w:t>
            </w:r>
          </w:p>
          <w:p w14:paraId="5F7D9B9C" w14:textId="77777777" w:rsidR="00AB5321" w:rsidRPr="00A637E9" w:rsidRDefault="00AB5321" w:rsidP="003B672F">
            <w:pPr>
              <w:pStyle w:val="NormalWeb"/>
              <w:numPr>
                <w:ilvl w:val="2"/>
                <w:numId w:val="17"/>
              </w:numPr>
              <w:spacing w:before="0" w:beforeAutospacing="0" w:after="0" w:afterAutospacing="0"/>
              <w:jc w:val="left"/>
              <w:rPr>
                <w:rFonts w:ascii="Calibri" w:hAnsi="Calibri" w:cs="Arial"/>
                <w:sz w:val="16"/>
                <w:szCs w:val="16"/>
              </w:rPr>
            </w:pPr>
            <w:r w:rsidRPr="00A637E9">
              <w:rPr>
                <w:rFonts w:ascii="Calibri" w:hAnsi="Calibri" w:cs="Arial"/>
                <w:sz w:val="16"/>
                <w:szCs w:val="16"/>
              </w:rPr>
              <w:t>Establishment of a joint team with the Ministry of Planning and Economic Development to conduct analytical assessments on key tools, advancing the proposed blueprint for an INFF and validat</w:t>
            </w:r>
            <w:r>
              <w:rPr>
                <w:rFonts w:ascii="Calibri" w:hAnsi="Calibri" w:cs="Arial"/>
                <w:sz w:val="16"/>
                <w:szCs w:val="16"/>
              </w:rPr>
              <w:t>ing</w:t>
            </w:r>
            <w:r w:rsidRPr="00A637E9">
              <w:rPr>
                <w:rFonts w:ascii="Calibri" w:hAnsi="Calibri" w:cs="Arial"/>
                <w:sz w:val="16"/>
                <w:szCs w:val="16"/>
              </w:rPr>
              <w:t xml:space="preserve"> actions, related to SDG costing, financing, budgeting and locali</w:t>
            </w:r>
            <w:r>
              <w:rPr>
                <w:rFonts w:ascii="Calibri" w:hAnsi="Calibri" w:cs="Arial"/>
                <w:sz w:val="16"/>
                <w:szCs w:val="16"/>
              </w:rPr>
              <w:t>s</w:t>
            </w:r>
            <w:r w:rsidRPr="00A637E9">
              <w:rPr>
                <w:rFonts w:ascii="Calibri" w:hAnsi="Calibri" w:cs="Arial"/>
                <w:sz w:val="16"/>
                <w:szCs w:val="16"/>
              </w:rPr>
              <w:t xml:space="preserve">ation in order to develop </w:t>
            </w:r>
            <w:r>
              <w:rPr>
                <w:rFonts w:ascii="Calibri" w:hAnsi="Calibri" w:cs="Arial"/>
                <w:sz w:val="16"/>
                <w:szCs w:val="16"/>
              </w:rPr>
              <w:t xml:space="preserve">an </w:t>
            </w:r>
            <w:r w:rsidRPr="00A637E9">
              <w:rPr>
                <w:rFonts w:ascii="Calibri" w:hAnsi="Calibri" w:cs="Arial"/>
                <w:sz w:val="16"/>
                <w:szCs w:val="16"/>
              </w:rPr>
              <w:t xml:space="preserve">INFF </w:t>
            </w:r>
          </w:p>
          <w:p w14:paraId="17517B31" w14:textId="1807052B" w:rsidR="00F13F7D" w:rsidRDefault="00F13F7D" w:rsidP="003B672F">
            <w:pPr>
              <w:pStyle w:val="NormalWeb"/>
              <w:numPr>
                <w:ilvl w:val="2"/>
                <w:numId w:val="17"/>
              </w:numPr>
              <w:spacing w:before="0" w:beforeAutospacing="0" w:after="0" w:afterAutospacing="0"/>
              <w:jc w:val="left"/>
              <w:rPr>
                <w:rFonts w:ascii="Calibri" w:hAnsi="Calibri" w:cs="Arial"/>
                <w:sz w:val="16"/>
                <w:szCs w:val="16"/>
              </w:rPr>
            </w:pPr>
            <w:r>
              <w:rPr>
                <w:rFonts w:ascii="Calibri" w:hAnsi="Calibri" w:cs="Arial"/>
                <w:sz w:val="16"/>
                <w:szCs w:val="16"/>
              </w:rPr>
              <w:t xml:space="preserve">Organisation of </w:t>
            </w:r>
            <w:r w:rsidRPr="00A637E9">
              <w:rPr>
                <w:rFonts w:ascii="Calibri" w:hAnsi="Calibri" w:cs="Arial"/>
                <w:sz w:val="16"/>
                <w:szCs w:val="16"/>
              </w:rPr>
              <w:t>a national INFF workshop</w:t>
            </w:r>
            <w:r>
              <w:rPr>
                <w:rFonts w:ascii="Calibri" w:hAnsi="Calibri" w:cs="Arial"/>
                <w:sz w:val="16"/>
                <w:szCs w:val="16"/>
              </w:rPr>
              <w:t xml:space="preserve"> in March 2023</w:t>
            </w:r>
            <w:r w:rsidRPr="00A637E9">
              <w:rPr>
                <w:rFonts w:ascii="Calibri" w:hAnsi="Calibri" w:cs="Arial"/>
                <w:sz w:val="16"/>
                <w:szCs w:val="16"/>
              </w:rPr>
              <w:t xml:space="preserve">, emphasizing key aspects of the global INFF guidance and </w:t>
            </w:r>
            <w:r w:rsidR="00F05FBC">
              <w:rPr>
                <w:rFonts w:ascii="Calibri" w:hAnsi="Calibri" w:cs="Arial"/>
                <w:sz w:val="16"/>
                <w:szCs w:val="16"/>
              </w:rPr>
              <w:t>building blocks</w:t>
            </w:r>
            <w:r w:rsidRPr="00A637E9">
              <w:rPr>
                <w:rFonts w:ascii="Calibri" w:hAnsi="Calibri" w:cs="Arial"/>
                <w:sz w:val="16"/>
                <w:szCs w:val="16"/>
              </w:rPr>
              <w:t xml:space="preserve"> employed in crafting a blueprint of the national financing strategy</w:t>
            </w:r>
            <w:r w:rsidR="008C7DCD">
              <w:rPr>
                <w:rFonts w:ascii="Calibri" w:hAnsi="Calibri" w:cs="Arial"/>
                <w:sz w:val="16"/>
                <w:szCs w:val="16"/>
              </w:rPr>
              <w:t xml:space="preserve">, to </w:t>
            </w:r>
            <w:r w:rsidR="008C7DCD" w:rsidRPr="00A637E9">
              <w:rPr>
                <w:rFonts w:ascii="Calibri" w:hAnsi="Calibri" w:cs="Arial"/>
                <w:sz w:val="16"/>
                <w:szCs w:val="16"/>
              </w:rPr>
              <w:t>cultivate a shared understanding of the methodologies, empirical assessments, and value inherent in supporting the national financing strategy</w:t>
            </w:r>
          </w:p>
          <w:p w14:paraId="46D889DE" w14:textId="6D01FAB1" w:rsidR="00AB5321" w:rsidRPr="00AB5321" w:rsidRDefault="00AB5321" w:rsidP="003B672F">
            <w:pPr>
              <w:pStyle w:val="NormalWeb"/>
              <w:numPr>
                <w:ilvl w:val="2"/>
                <w:numId w:val="17"/>
              </w:numPr>
              <w:spacing w:before="0" w:beforeAutospacing="0" w:after="0" w:afterAutospacing="0"/>
              <w:jc w:val="left"/>
              <w:rPr>
                <w:rFonts w:ascii="Calibri" w:hAnsi="Calibri" w:cs="Arial"/>
                <w:sz w:val="16"/>
                <w:szCs w:val="16"/>
              </w:rPr>
            </w:pPr>
            <w:r w:rsidRPr="00AB5321">
              <w:rPr>
                <w:rFonts w:ascii="Calibri" w:hAnsi="Calibri" w:cs="Arial"/>
                <w:sz w:val="16"/>
                <w:szCs w:val="16"/>
              </w:rPr>
              <w:t xml:space="preserve">Development of </w:t>
            </w:r>
            <w:hyperlink r:id="rId109" w:history="1">
              <w:r w:rsidRPr="00AB5321">
                <w:rPr>
                  <w:rStyle w:val="Hyperlink"/>
                  <w:rFonts w:ascii="Calibri" w:hAnsi="Calibri" w:cs="Arial"/>
                  <w:sz w:val="16"/>
                  <w:szCs w:val="16"/>
                </w:rPr>
                <w:t>Evidence-based Integrated National Financing Strategy</w:t>
              </w:r>
            </w:hyperlink>
            <w:r w:rsidRPr="00AB5321">
              <w:rPr>
                <w:rFonts w:ascii="Calibri" w:hAnsi="Calibri" w:cs="Arial"/>
                <w:sz w:val="16"/>
                <w:szCs w:val="16"/>
              </w:rPr>
              <w:t xml:space="preserve"> capturing the findings of more than 30 empirical financing assessments to provide a premise to forge a country-owned financing strategy</w:t>
            </w:r>
          </w:p>
          <w:p w14:paraId="22573A71" w14:textId="273BD9B1" w:rsidR="00B8403D" w:rsidRDefault="00B8403D" w:rsidP="003B672F">
            <w:pPr>
              <w:pStyle w:val="ListParagraph"/>
              <w:numPr>
                <w:ilvl w:val="2"/>
                <w:numId w:val="17"/>
              </w:numPr>
              <w:spacing w:after="120"/>
              <w:rPr>
                <w:sz w:val="16"/>
                <w:szCs w:val="16"/>
                <w:lang w:eastAsia="en-CA"/>
              </w:rPr>
            </w:pPr>
            <w:r w:rsidRPr="00A637E9">
              <w:rPr>
                <w:rFonts w:ascii="Calibri" w:hAnsi="Calibri" w:cs="Arial"/>
                <w:sz w:val="16"/>
                <w:szCs w:val="16"/>
              </w:rPr>
              <w:t>Develop</w:t>
            </w:r>
            <w:r>
              <w:rPr>
                <w:rFonts w:ascii="Calibri" w:hAnsi="Calibri" w:cs="Arial"/>
                <w:sz w:val="16"/>
                <w:szCs w:val="16"/>
              </w:rPr>
              <w:t xml:space="preserve">ment of </w:t>
            </w:r>
            <w:r w:rsidRPr="00A637E9">
              <w:rPr>
                <w:rFonts w:ascii="Calibri" w:hAnsi="Calibri" w:cs="Arial"/>
                <w:sz w:val="16"/>
                <w:szCs w:val="16"/>
              </w:rPr>
              <w:t>a Machine Learning Budget Intelligence Tool (BIT) to support INFF implementation and the transition to SDG-centric budgeting in accordance with 2022 Integrated Finance Law</w:t>
            </w:r>
          </w:p>
          <w:p w14:paraId="555A8E59" w14:textId="7C690C95" w:rsidR="00CA29E1" w:rsidRPr="00B8403D" w:rsidRDefault="00CA29E1" w:rsidP="003B672F">
            <w:pPr>
              <w:pStyle w:val="ListParagraph"/>
              <w:numPr>
                <w:ilvl w:val="0"/>
                <w:numId w:val="17"/>
              </w:numPr>
              <w:spacing w:after="120"/>
              <w:rPr>
                <w:b/>
                <w:bCs/>
                <w:sz w:val="16"/>
                <w:szCs w:val="16"/>
                <w:lang w:eastAsia="en-CA"/>
              </w:rPr>
            </w:pPr>
            <w:r w:rsidRPr="00B8403D">
              <w:rPr>
                <w:b/>
                <w:bCs/>
                <w:sz w:val="16"/>
                <w:szCs w:val="16"/>
                <w:lang w:eastAsia="en-CA"/>
              </w:rPr>
              <w:t>Jordan</w:t>
            </w:r>
            <w:r w:rsidR="00247CE4" w:rsidRPr="00B8403D">
              <w:rPr>
                <w:b/>
                <w:bCs/>
                <w:sz w:val="16"/>
                <w:szCs w:val="16"/>
                <w:lang w:eastAsia="en-CA"/>
              </w:rPr>
              <w:t>:</w:t>
            </w:r>
          </w:p>
          <w:p w14:paraId="4C341D81" w14:textId="21951D8A" w:rsidR="008D56F0" w:rsidRPr="0057293D" w:rsidRDefault="005F140D" w:rsidP="003B672F">
            <w:pPr>
              <w:pStyle w:val="ListParagraph"/>
              <w:numPr>
                <w:ilvl w:val="1"/>
                <w:numId w:val="17"/>
              </w:numPr>
              <w:spacing w:after="120"/>
              <w:rPr>
                <w:sz w:val="16"/>
                <w:szCs w:val="16"/>
                <w:lang w:eastAsia="en-CA"/>
              </w:rPr>
            </w:pPr>
            <w:r>
              <w:rPr>
                <w:sz w:val="16"/>
                <w:szCs w:val="16"/>
                <w:lang w:eastAsia="en-CA"/>
              </w:rPr>
              <w:t xml:space="preserve">SDG Costing manual </w:t>
            </w:r>
            <w:r w:rsidR="0057293D">
              <w:rPr>
                <w:sz w:val="16"/>
                <w:szCs w:val="16"/>
                <w:lang w:eastAsia="en-CA"/>
              </w:rPr>
              <w:t xml:space="preserve">developed with </w:t>
            </w:r>
            <w:r w:rsidR="0057293D" w:rsidRPr="00A637E9">
              <w:rPr>
                <w:rFonts w:ascii="Calibri" w:hAnsi="Calibri" w:cs="Arial"/>
                <w:sz w:val="16"/>
                <w:szCs w:val="16"/>
              </w:rPr>
              <w:t>methods and tools employed to estimate costs for national sustainable development strategies, sectoral plans, and the economic moderni</w:t>
            </w:r>
            <w:r w:rsidR="0057293D">
              <w:rPr>
                <w:rFonts w:ascii="Calibri" w:hAnsi="Calibri" w:cs="Arial"/>
                <w:sz w:val="16"/>
                <w:szCs w:val="16"/>
              </w:rPr>
              <w:t>s</w:t>
            </w:r>
            <w:r w:rsidR="0057293D" w:rsidRPr="00A637E9">
              <w:rPr>
                <w:rFonts w:ascii="Calibri" w:hAnsi="Calibri" w:cs="Arial"/>
                <w:sz w:val="16"/>
                <w:szCs w:val="16"/>
              </w:rPr>
              <w:t>ation vision</w:t>
            </w:r>
          </w:p>
          <w:p w14:paraId="0429BD33" w14:textId="7B58A25A" w:rsidR="0057293D" w:rsidRPr="00446FCC" w:rsidRDefault="0057293D" w:rsidP="003B672F">
            <w:pPr>
              <w:pStyle w:val="ListParagraph"/>
              <w:numPr>
                <w:ilvl w:val="1"/>
                <w:numId w:val="17"/>
              </w:numPr>
              <w:spacing w:after="120"/>
              <w:rPr>
                <w:sz w:val="16"/>
                <w:szCs w:val="16"/>
                <w:lang w:eastAsia="en-CA"/>
              </w:rPr>
            </w:pPr>
            <w:r>
              <w:rPr>
                <w:rFonts w:ascii="Calibri" w:hAnsi="Calibri" w:cs="Arial"/>
                <w:sz w:val="16"/>
                <w:szCs w:val="16"/>
              </w:rPr>
              <w:t>S</w:t>
            </w:r>
            <w:r w:rsidRPr="00A637E9">
              <w:rPr>
                <w:rFonts w:ascii="Calibri" w:hAnsi="Calibri" w:cs="Arial"/>
                <w:sz w:val="16"/>
                <w:szCs w:val="16"/>
              </w:rPr>
              <w:t>trategic dialogue with the RCO and UNCTs</w:t>
            </w:r>
            <w:r>
              <w:rPr>
                <w:rFonts w:ascii="Calibri" w:hAnsi="Calibri" w:cs="Arial"/>
                <w:sz w:val="16"/>
                <w:szCs w:val="16"/>
              </w:rPr>
              <w:t xml:space="preserve"> </w:t>
            </w:r>
            <w:r w:rsidRPr="00A637E9">
              <w:rPr>
                <w:rFonts w:ascii="Calibri" w:hAnsi="Calibri" w:cs="Arial"/>
                <w:sz w:val="16"/>
                <w:szCs w:val="16"/>
              </w:rPr>
              <w:t>to enhance coordination of UN support on INFF</w:t>
            </w:r>
            <w:r w:rsidR="00446FCC">
              <w:rPr>
                <w:rFonts w:ascii="Calibri" w:hAnsi="Calibri" w:cs="Arial"/>
                <w:sz w:val="16"/>
                <w:szCs w:val="16"/>
              </w:rPr>
              <w:t xml:space="preserve">, i.e. </w:t>
            </w:r>
            <w:r w:rsidR="00446FCC" w:rsidRPr="00A637E9">
              <w:rPr>
                <w:rFonts w:ascii="Calibri" w:hAnsi="Calibri" w:cs="Arial"/>
                <w:sz w:val="16"/>
                <w:szCs w:val="16"/>
              </w:rPr>
              <w:t>bridge interventions conducted within the SDG Joint Fund on preparing a D</w:t>
            </w:r>
            <w:r w:rsidR="00446FCC">
              <w:rPr>
                <w:rFonts w:ascii="Calibri" w:hAnsi="Calibri" w:cs="Arial"/>
                <w:sz w:val="16"/>
                <w:szCs w:val="16"/>
              </w:rPr>
              <w:t xml:space="preserve">evelopment </w:t>
            </w:r>
            <w:r w:rsidR="00446FCC" w:rsidRPr="00A637E9">
              <w:rPr>
                <w:rFonts w:ascii="Calibri" w:hAnsi="Calibri" w:cs="Arial"/>
                <w:sz w:val="16"/>
                <w:szCs w:val="16"/>
              </w:rPr>
              <w:t>F</w:t>
            </w:r>
            <w:r w:rsidR="00446FCC">
              <w:rPr>
                <w:rFonts w:ascii="Calibri" w:hAnsi="Calibri" w:cs="Arial"/>
                <w:sz w:val="16"/>
                <w:szCs w:val="16"/>
              </w:rPr>
              <w:t xml:space="preserve">inance </w:t>
            </w:r>
            <w:r w:rsidR="00446FCC" w:rsidRPr="00A637E9">
              <w:rPr>
                <w:rFonts w:ascii="Calibri" w:hAnsi="Calibri" w:cs="Arial"/>
                <w:sz w:val="16"/>
                <w:szCs w:val="16"/>
              </w:rPr>
              <w:t>A</w:t>
            </w:r>
            <w:r w:rsidR="00446FCC">
              <w:rPr>
                <w:rFonts w:ascii="Calibri" w:hAnsi="Calibri" w:cs="Arial"/>
                <w:sz w:val="16"/>
                <w:szCs w:val="16"/>
              </w:rPr>
              <w:t>ssessment</w:t>
            </w:r>
            <w:r w:rsidR="001355BD">
              <w:rPr>
                <w:rFonts w:ascii="Calibri" w:hAnsi="Calibri" w:cs="Arial"/>
                <w:sz w:val="16"/>
                <w:szCs w:val="16"/>
              </w:rPr>
              <w:t xml:space="preserve"> (DFA)</w:t>
            </w:r>
            <w:r w:rsidR="00446FCC" w:rsidRPr="00A637E9">
              <w:rPr>
                <w:rFonts w:ascii="Calibri" w:hAnsi="Calibri" w:cs="Arial"/>
                <w:sz w:val="16"/>
                <w:szCs w:val="16"/>
              </w:rPr>
              <w:t xml:space="preserve"> and the INFF DA project to foster a cohesive approach</w:t>
            </w:r>
          </w:p>
          <w:p w14:paraId="386D86F8" w14:textId="1EBF4186" w:rsidR="00446FCC" w:rsidRPr="00D36B25" w:rsidRDefault="00446FCC" w:rsidP="003B672F">
            <w:pPr>
              <w:pStyle w:val="ListParagraph"/>
              <w:numPr>
                <w:ilvl w:val="1"/>
                <w:numId w:val="17"/>
              </w:numPr>
              <w:spacing w:after="120"/>
              <w:rPr>
                <w:sz w:val="16"/>
                <w:szCs w:val="16"/>
                <w:lang w:eastAsia="en-CA"/>
              </w:rPr>
            </w:pPr>
            <w:hyperlink r:id="rId110" w:history="1">
              <w:r w:rsidRPr="00E4359F">
                <w:rPr>
                  <w:rStyle w:val="Hyperlink"/>
                  <w:sz w:val="16"/>
                  <w:szCs w:val="16"/>
                  <w:lang w:eastAsia="en-CA"/>
                </w:rPr>
                <w:t>Workshop</w:t>
              </w:r>
            </w:hyperlink>
            <w:r>
              <w:rPr>
                <w:sz w:val="16"/>
                <w:szCs w:val="16"/>
                <w:lang w:eastAsia="en-CA"/>
              </w:rPr>
              <w:t xml:space="preserve"> organised by UNESCWA in March 2023 </w:t>
            </w:r>
            <w:r w:rsidRPr="00A637E9">
              <w:rPr>
                <w:rFonts w:ascii="Calibri" w:hAnsi="Calibri" w:cs="Arial"/>
                <w:sz w:val="16"/>
                <w:szCs w:val="16"/>
              </w:rPr>
              <w:t>to apprise the RCO and UNCTs including UNDP Amman on ESCWA-INFF work and its advanced engagement with the ministries of planning, economic development and finance</w:t>
            </w:r>
          </w:p>
          <w:p w14:paraId="490293F8" w14:textId="14D905D5" w:rsidR="00D36B25" w:rsidRPr="001355BD" w:rsidRDefault="00D36B25" w:rsidP="003B672F">
            <w:pPr>
              <w:pStyle w:val="ListParagraph"/>
              <w:numPr>
                <w:ilvl w:val="1"/>
                <w:numId w:val="17"/>
              </w:numPr>
              <w:spacing w:after="120"/>
              <w:rPr>
                <w:sz w:val="16"/>
                <w:szCs w:val="16"/>
                <w:lang w:eastAsia="en-CA"/>
              </w:rPr>
            </w:pPr>
            <w:r>
              <w:rPr>
                <w:rFonts w:ascii="Calibri" w:hAnsi="Calibri" w:cs="Arial"/>
                <w:sz w:val="16"/>
                <w:szCs w:val="16"/>
              </w:rPr>
              <w:t xml:space="preserve">Comprehensive </w:t>
            </w:r>
            <w:r w:rsidRPr="00A637E9">
              <w:rPr>
                <w:rFonts w:ascii="Calibri" w:hAnsi="Calibri" w:cs="Arial"/>
                <w:sz w:val="16"/>
                <w:szCs w:val="16"/>
              </w:rPr>
              <w:t>series of over 10 technical discussions with the RCO and UNDP to synchroni</w:t>
            </w:r>
            <w:r w:rsidR="001355BD">
              <w:rPr>
                <w:rFonts w:ascii="Calibri" w:hAnsi="Calibri" w:cs="Arial"/>
                <w:sz w:val="16"/>
                <w:szCs w:val="16"/>
              </w:rPr>
              <w:t>s</w:t>
            </w:r>
            <w:r w:rsidRPr="00A637E9">
              <w:rPr>
                <w:rFonts w:ascii="Calibri" w:hAnsi="Calibri" w:cs="Arial"/>
                <w:sz w:val="16"/>
                <w:szCs w:val="16"/>
              </w:rPr>
              <w:t>e their recommendations for the government</w:t>
            </w:r>
          </w:p>
          <w:p w14:paraId="2DE51206" w14:textId="16420090" w:rsidR="001355BD" w:rsidRPr="001355BD" w:rsidRDefault="001355BD" w:rsidP="003B672F">
            <w:pPr>
              <w:pStyle w:val="ListParagraph"/>
              <w:numPr>
                <w:ilvl w:val="1"/>
                <w:numId w:val="17"/>
              </w:numPr>
              <w:spacing w:after="120"/>
              <w:rPr>
                <w:sz w:val="16"/>
                <w:szCs w:val="16"/>
                <w:lang w:eastAsia="en-CA"/>
              </w:rPr>
            </w:pPr>
            <w:r>
              <w:rPr>
                <w:sz w:val="16"/>
                <w:szCs w:val="16"/>
                <w:lang w:eastAsia="en-CA"/>
              </w:rPr>
              <w:t xml:space="preserve">Substantive </w:t>
            </w:r>
            <w:r w:rsidRPr="00A637E9">
              <w:rPr>
                <w:rFonts w:ascii="Calibri" w:hAnsi="Calibri" w:cs="Arial"/>
                <w:sz w:val="16"/>
                <w:szCs w:val="16"/>
              </w:rPr>
              <w:t>contributions to the DFA validation workshop</w:t>
            </w:r>
            <w:r>
              <w:rPr>
                <w:rFonts w:ascii="Calibri" w:hAnsi="Calibri" w:cs="Arial"/>
                <w:sz w:val="16"/>
                <w:szCs w:val="16"/>
              </w:rPr>
              <w:t xml:space="preserve"> in July 2023</w:t>
            </w:r>
          </w:p>
          <w:p w14:paraId="4281D077" w14:textId="454689A2" w:rsidR="001355BD" w:rsidRPr="00DB3361" w:rsidRDefault="001355BD" w:rsidP="003B672F">
            <w:pPr>
              <w:pStyle w:val="ListParagraph"/>
              <w:numPr>
                <w:ilvl w:val="1"/>
                <w:numId w:val="17"/>
              </w:numPr>
              <w:spacing w:after="120"/>
              <w:rPr>
                <w:sz w:val="16"/>
                <w:szCs w:val="16"/>
                <w:lang w:eastAsia="en-CA"/>
              </w:rPr>
            </w:pPr>
            <w:r>
              <w:rPr>
                <w:sz w:val="16"/>
                <w:szCs w:val="16"/>
                <w:lang w:eastAsia="en-CA"/>
              </w:rPr>
              <w:t xml:space="preserve">Development of report </w:t>
            </w:r>
            <w:r w:rsidR="00DB3361" w:rsidRPr="00A637E9">
              <w:rPr>
                <w:rFonts w:ascii="Calibri" w:hAnsi="Calibri" w:cs="Arial"/>
                <w:sz w:val="16"/>
                <w:szCs w:val="16"/>
              </w:rPr>
              <w:t>to support UNDP DFA work covering several INFF domains, including the preparation of a national costing manual and another report providing a detailed account of the INFF tools developed accounting for national contexts</w:t>
            </w:r>
          </w:p>
          <w:p w14:paraId="2885ED80" w14:textId="5FC5B798" w:rsidR="00DB3361" w:rsidRPr="00DB3361" w:rsidRDefault="00DB3361" w:rsidP="003B672F">
            <w:pPr>
              <w:pStyle w:val="ListParagraph"/>
              <w:numPr>
                <w:ilvl w:val="1"/>
                <w:numId w:val="17"/>
              </w:numPr>
              <w:spacing w:after="120"/>
              <w:rPr>
                <w:sz w:val="16"/>
                <w:szCs w:val="16"/>
                <w:lang w:eastAsia="en-CA"/>
              </w:rPr>
            </w:pPr>
            <w:r w:rsidRPr="00DB3361">
              <w:rPr>
                <w:rFonts w:ascii="Calibri" w:hAnsi="Calibri" w:cs="Arial"/>
                <w:sz w:val="16"/>
                <w:szCs w:val="16"/>
              </w:rPr>
              <w:t>Significant analytical contributions provided by UNESCWA to the DFA initiative, developing comprehensive worksheets for assessing various financing streams, sources and challenges</w:t>
            </w:r>
          </w:p>
          <w:p w14:paraId="24E1CB6C" w14:textId="65149894" w:rsidR="00CA29E1" w:rsidRPr="00B8403D" w:rsidRDefault="00CA29E1" w:rsidP="003B672F">
            <w:pPr>
              <w:pStyle w:val="ListParagraph"/>
              <w:numPr>
                <w:ilvl w:val="0"/>
                <w:numId w:val="17"/>
              </w:numPr>
              <w:spacing w:after="120"/>
              <w:rPr>
                <w:b/>
                <w:bCs/>
                <w:sz w:val="16"/>
                <w:szCs w:val="16"/>
                <w:lang w:eastAsia="en-CA"/>
              </w:rPr>
            </w:pPr>
            <w:r w:rsidRPr="00B8403D">
              <w:rPr>
                <w:b/>
                <w:bCs/>
                <w:sz w:val="16"/>
                <w:szCs w:val="16"/>
                <w:lang w:eastAsia="en-CA"/>
              </w:rPr>
              <w:t>Kyrgyzstan</w:t>
            </w:r>
            <w:r w:rsidR="00247CE4" w:rsidRPr="00B8403D">
              <w:rPr>
                <w:b/>
                <w:bCs/>
                <w:sz w:val="16"/>
                <w:szCs w:val="16"/>
                <w:lang w:eastAsia="en-CA"/>
              </w:rPr>
              <w:t>:</w:t>
            </w:r>
          </w:p>
          <w:p w14:paraId="363828F6" w14:textId="0FDE0AF7" w:rsidR="00842AD1" w:rsidRPr="008D56F0" w:rsidRDefault="00842AD1" w:rsidP="003B672F">
            <w:pPr>
              <w:pStyle w:val="ListParagraph"/>
              <w:numPr>
                <w:ilvl w:val="1"/>
                <w:numId w:val="17"/>
              </w:numPr>
              <w:spacing w:after="120"/>
              <w:rPr>
                <w:sz w:val="16"/>
                <w:szCs w:val="16"/>
                <w:lang w:eastAsia="en-CA"/>
              </w:rPr>
            </w:pPr>
            <w:r w:rsidRPr="008D56F0">
              <w:rPr>
                <w:rFonts w:ascii="Calibri" w:hAnsi="Calibri" w:cs="Arial"/>
                <w:sz w:val="16"/>
                <w:szCs w:val="16"/>
              </w:rPr>
              <w:t>Support in several areas to strengthen efforts to mobilise private finance for sustainable development in the context of an INFF</w:t>
            </w:r>
          </w:p>
          <w:p w14:paraId="21AC9E2C" w14:textId="77777777" w:rsidR="00E97371" w:rsidRPr="005C5740" w:rsidRDefault="00E97371" w:rsidP="00E97371">
            <w:pPr>
              <w:ind w:left="2080"/>
              <w:rPr>
                <w:sz w:val="16"/>
                <w:szCs w:val="16"/>
                <w:lang w:eastAsia="en-CA"/>
              </w:rPr>
            </w:pPr>
            <w:r>
              <w:rPr>
                <w:sz w:val="16"/>
                <w:szCs w:val="16"/>
                <w:lang w:eastAsia="en-CA"/>
              </w:rPr>
              <w:lastRenderedPageBreak/>
              <w:t>PPP</w:t>
            </w:r>
          </w:p>
          <w:p w14:paraId="763CD3D9" w14:textId="5B184E23" w:rsidR="00E97371" w:rsidRPr="004744DC" w:rsidRDefault="00AF099C" w:rsidP="003B672F">
            <w:pPr>
              <w:pStyle w:val="ListParagraph"/>
              <w:numPr>
                <w:ilvl w:val="2"/>
                <w:numId w:val="17"/>
              </w:numPr>
              <w:contextualSpacing w:val="0"/>
              <w:rPr>
                <w:sz w:val="16"/>
                <w:szCs w:val="16"/>
                <w:lang w:eastAsia="en-CA"/>
              </w:rPr>
            </w:pPr>
            <w:r>
              <w:rPr>
                <w:sz w:val="16"/>
                <w:szCs w:val="16"/>
                <w:lang w:eastAsia="en-CA"/>
              </w:rPr>
              <w:t xml:space="preserve">Practical training organised by UNECE </w:t>
            </w:r>
            <w:r w:rsidR="00C87425">
              <w:rPr>
                <w:sz w:val="16"/>
                <w:szCs w:val="16"/>
                <w:lang w:eastAsia="en-CA"/>
              </w:rPr>
              <w:t xml:space="preserve">in October 2022 </w:t>
            </w:r>
            <w:r w:rsidR="00E97371">
              <w:rPr>
                <w:sz w:val="16"/>
                <w:szCs w:val="16"/>
                <w:lang w:eastAsia="en-CA"/>
              </w:rPr>
              <w:t xml:space="preserve">on the </w:t>
            </w:r>
            <w:r w:rsidR="00E97371" w:rsidRPr="00A637E9">
              <w:rPr>
                <w:rFonts w:ascii="Calibri" w:hAnsi="Calibri" w:cs="Arial"/>
                <w:sz w:val="16"/>
                <w:szCs w:val="16"/>
              </w:rPr>
              <w:t>use of PIERS</w:t>
            </w:r>
            <w:r w:rsidR="00E97371">
              <w:rPr>
                <w:rFonts w:ascii="Calibri" w:hAnsi="Calibri" w:cs="Arial"/>
                <w:sz w:val="16"/>
                <w:szCs w:val="16"/>
              </w:rPr>
              <w:t xml:space="preserve"> </w:t>
            </w:r>
          </w:p>
          <w:p w14:paraId="1698322E" w14:textId="43B4B3D1" w:rsidR="00E97371" w:rsidRDefault="00E97371" w:rsidP="003B672F">
            <w:pPr>
              <w:pStyle w:val="ListParagraph"/>
              <w:numPr>
                <w:ilvl w:val="2"/>
                <w:numId w:val="17"/>
              </w:numPr>
              <w:contextualSpacing w:val="0"/>
              <w:rPr>
                <w:sz w:val="16"/>
                <w:szCs w:val="16"/>
                <w:lang w:eastAsia="en-CA"/>
              </w:rPr>
            </w:pPr>
            <w:r>
              <w:rPr>
                <w:rFonts w:ascii="Calibri" w:hAnsi="Calibri" w:cs="Arial"/>
                <w:sz w:val="16"/>
                <w:szCs w:val="16"/>
              </w:rPr>
              <w:t>Report developed</w:t>
            </w:r>
            <w:r w:rsidR="00725D3E">
              <w:rPr>
                <w:rFonts w:ascii="Calibri" w:hAnsi="Calibri" w:cs="Arial"/>
                <w:sz w:val="16"/>
                <w:szCs w:val="16"/>
              </w:rPr>
              <w:t xml:space="preserve"> in 2023 with</w:t>
            </w:r>
            <w:r>
              <w:rPr>
                <w:rFonts w:ascii="Calibri" w:hAnsi="Calibri" w:cs="Arial"/>
                <w:sz w:val="16"/>
                <w:szCs w:val="16"/>
              </w:rPr>
              <w:t xml:space="preserve"> recommendations for the </w:t>
            </w:r>
            <w:r w:rsidRPr="00A637E9">
              <w:rPr>
                <w:rFonts w:ascii="Calibri" w:hAnsi="Calibri" w:cs="Arial"/>
                <w:sz w:val="16"/>
                <w:szCs w:val="16"/>
              </w:rPr>
              <w:t>identification and selection of 8 infrastructure projects</w:t>
            </w:r>
            <w:r>
              <w:rPr>
                <w:rFonts w:ascii="Calibri" w:hAnsi="Calibri" w:cs="Arial"/>
                <w:sz w:val="16"/>
                <w:szCs w:val="16"/>
              </w:rPr>
              <w:t xml:space="preserve"> that were evaluated using PIERS</w:t>
            </w:r>
          </w:p>
          <w:p w14:paraId="67C9DC69" w14:textId="5EC294B2" w:rsidR="00E97371" w:rsidRDefault="00E97371" w:rsidP="003B672F">
            <w:pPr>
              <w:pStyle w:val="ListParagraph"/>
              <w:numPr>
                <w:ilvl w:val="2"/>
                <w:numId w:val="17"/>
              </w:numPr>
              <w:spacing w:after="120"/>
              <w:rPr>
                <w:sz w:val="16"/>
                <w:szCs w:val="16"/>
                <w:lang w:eastAsia="en-CA"/>
              </w:rPr>
            </w:pPr>
            <w:r w:rsidRPr="00EB5B1E">
              <w:rPr>
                <w:sz w:val="16"/>
                <w:szCs w:val="16"/>
                <w:lang w:eastAsia="en-CA"/>
              </w:rPr>
              <w:t xml:space="preserve">National workshop organised by UNECE </w:t>
            </w:r>
            <w:r>
              <w:rPr>
                <w:sz w:val="16"/>
                <w:szCs w:val="16"/>
                <w:lang w:eastAsia="en-CA"/>
              </w:rPr>
              <w:t xml:space="preserve">in </w:t>
            </w:r>
            <w:r w:rsidR="008D56F0">
              <w:rPr>
                <w:sz w:val="16"/>
                <w:szCs w:val="16"/>
                <w:lang w:eastAsia="en-CA"/>
              </w:rPr>
              <w:t xml:space="preserve">September </w:t>
            </w:r>
            <w:r>
              <w:rPr>
                <w:sz w:val="16"/>
                <w:szCs w:val="16"/>
                <w:lang w:eastAsia="en-CA"/>
              </w:rPr>
              <w:t xml:space="preserve">2023 to present the results </w:t>
            </w:r>
          </w:p>
          <w:p w14:paraId="46198FD8" w14:textId="77777777" w:rsidR="00E97371" w:rsidRPr="005C5740" w:rsidRDefault="00E97371" w:rsidP="00E97371">
            <w:pPr>
              <w:spacing w:after="120"/>
              <w:ind w:left="2080"/>
              <w:rPr>
                <w:sz w:val="16"/>
                <w:szCs w:val="16"/>
                <w:lang w:eastAsia="en-CA"/>
              </w:rPr>
            </w:pPr>
            <w:r>
              <w:rPr>
                <w:sz w:val="16"/>
                <w:szCs w:val="16"/>
                <w:lang w:eastAsia="en-CA"/>
              </w:rPr>
              <w:t>Strengthening  accounting and corporate reporting</w:t>
            </w:r>
          </w:p>
          <w:p w14:paraId="5DB03A4B" w14:textId="434872D0" w:rsidR="00E97371" w:rsidRDefault="00E97371" w:rsidP="003B672F">
            <w:pPr>
              <w:pStyle w:val="ListParagraph"/>
              <w:numPr>
                <w:ilvl w:val="2"/>
                <w:numId w:val="17"/>
              </w:numPr>
              <w:spacing w:after="120"/>
              <w:rPr>
                <w:sz w:val="16"/>
                <w:szCs w:val="16"/>
                <w:lang w:eastAsia="en-CA"/>
              </w:rPr>
            </w:pPr>
            <w:r>
              <w:rPr>
                <w:sz w:val="16"/>
                <w:szCs w:val="16"/>
                <w:lang w:eastAsia="en-CA"/>
              </w:rPr>
              <w:t>Meeting on ADT organised by UNCTAD for national stakeholders in</w:t>
            </w:r>
            <w:r w:rsidR="00A03006">
              <w:rPr>
                <w:sz w:val="16"/>
                <w:szCs w:val="16"/>
                <w:lang w:eastAsia="en-CA"/>
              </w:rPr>
              <w:t xml:space="preserve"> November 2022</w:t>
            </w:r>
          </w:p>
          <w:p w14:paraId="4CB92D81" w14:textId="2CA9D06C" w:rsidR="00E97371" w:rsidRDefault="00E97371" w:rsidP="003B672F">
            <w:pPr>
              <w:pStyle w:val="ListParagraph"/>
              <w:numPr>
                <w:ilvl w:val="2"/>
                <w:numId w:val="17"/>
              </w:numPr>
              <w:spacing w:after="120"/>
              <w:rPr>
                <w:sz w:val="16"/>
                <w:szCs w:val="16"/>
                <w:lang w:eastAsia="en-CA"/>
              </w:rPr>
            </w:pPr>
            <w:r>
              <w:rPr>
                <w:sz w:val="16"/>
                <w:szCs w:val="16"/>
                <w:lang w:eastAsia="en-CA"/>
              </w:rPr>
              <w:t xml:space="preserve">ADT assessment and national workshop in </w:t>
            </w:r>
            <w:r w:rsidR="00A03006">
              <w:rPr>
                <w:sz w:val="16"/>
                <w:szCs w:val="16"/>
                <w:lang w:eastAsia="en-CA"/>
              </w:rPr>
              <w:t>March 2022</w:t>
            </w:r>
          </w:p>
          <w:p w14:paraId="77139B08" w14:textId="28BB87E3" w:rsidR="00E97371" w:rsidRDefault="00E97371" w:rsidP="003B672F">
            <w:pPr>
              <w:pStyle w:val="ListParagraph"/>
              <w:numPr>
                <w:ilvl w:val="2"/>
                <w:numId w:val="17"/>
              </w:numPr>
              <w:spacing w:after="120"/>
              <w:rPr>
                <w:sz w:val="16"/>
                <w:szCs w:val="16"/>
                <w:lang w:eastAsia="en-CA"/>
              </w:rPr>
            </w:pPr>
            <w:r>
              <w:rPr>
                <w:sz w:val="16"/>
                <w:szCs w:val="16"/>
                <w:lang w:eastAsia="en-CA"/>
              </w:rPr>
              <w:t>Comprehensive report on ADT</w:t>
            </w:r>
            <w:r w:rsidR="00E84EF0">
              <w:rPr>
                <w:sz w:val="16"/>
                <w:szCs w:val="16"/>
                <w:lang w:eastAsia="en-CA"/>
              </w:rPr>
              <w:t xml:space="preserve"> with recommendations developed </w:t>
            </w:r>
            <w:r>
              <w:rPr>
                <w:sz w:val="16"/>
                <w:szCs w:val="16"/>
                <w:lang w:eastAsia="en-CA"/>
              </w:rPr>
              <w:t>and adopted at the national level</w:t>
            </w:r>
          </w:p>
          <w:p w14:paraId="1E4F75FF" w14:textId="440E4297" w:rsidR="00E84EF0" w:rsidRDefault="00E84EF0" w:rsidP="003B672F">
            <w:pPr>
              <w:pStyle w:val="ListParagraph"/>
              <w:numPr>
                <w:ilvl w:val="2"/>
                <w:numId w:val="17"/>
              </w:numPr>
              <w:spacing w:after="120"/>
              <w:rPr>
                <w:sz w:val="16"/>
                <w:szCs w:val="16"/>
                <w:lang w:eastAsia="en-CA"/>
              </w:rPr>
            </w:pPr>
            <w:r>
              <w:rPr>
                <w:rFonts w:ascii="Calibri" w:hAnsi="Calibri" w:cs="Arial"/>
                <w:sz w:val="16"/>
                <w:szCs w:val="16"/>
              </w:rPr>
              <w:t>Final ADT consultation meeting held virtually in December 2024 to finalise the draft action plan for implementing the ADT recommendations</w:t>
            </w:r>
          </w:p>
          <w:p w14:paraId="462F74B2" w14:textId="77777777" w:rsidR="00E97371" w:rsidRPr="005C5740" w:rsidRDefault="00E97371" w:rsidP="00E97371">
            <w:pPr>
              <w:spacing w:after="120"/>
              <w:ind w:left="2080"/>
              <w:rPr>
                <w:sz w:val="16"/>
                <w:szCs w:val="16"/>
                <w:lang w:eastAsia="en-CA"/>
              </w:rPr>
            </w:pPr>
            <w:r>
              <w:rPr>
                <w:sz w:val="16"/>
                <w:szCs w:val="16"/>
                <w:lang w:eastAsia="en-CA"/>
              </w:rPr>
              <w:t>Strengthening  SME capacity on accounting and financial reporting</w:t>
            </w:r>
          </w:p>
          <w:p w14:paraId="259CB4FF" w14:textId="5D8B1920" w:rsidR="00E97371" w:rsidRPr="003B711F" w:rsidRDefault="00940F7B" w:rsidP="003B672F">
            <w:pPr>
              <w:pStyle w:val="ListParagraph"/>
              <w:numPr>
                <w:ilvl w:val="2"/>
                <w:numId w:val="17"/>
              </w:numPr>
              <w:spacing w:after="120"/>
              <w:rPr>
                <w:sz w:val="16"/>
                <w:szCs w:val="16"/>
                <w:lang w:eastAsia="en-CA"/>
              </w:rPr>
            </w:pPr>
            <w:r>
              <w:rPr>
                <w:rFonts w:ascii="Calibri" w:hAnsi="Calibri" w:cs="Arial"/>
                <w:sz w:val="16"/>
                <w:szCs w:val="16"/>
              </w:rPr>
              <w:t xml:space="preserve">Virtual </w:t>
            </w:r>
            <w:r w:rsidR="00E97371" w:rsidRPr="00A637E9">
              <w:rPr>
                <w:rFonts w:ascii="Calibri" w:hAnsi="Calibri" w:cs="Arial"/>
                <w:sz w:val="16"/>
                <w:szCs w:val="16"/>
              </w:rPr>
              <w:t>Training of Trainers workshop</w:t>
            </w:r>
            <w:r w:rsidR="00E97371">
              <w:rPr>
                <w:rFonts w:ascii="Calibri" w:hAnsi="Calibri" w:cs="Arial"/>
                <w:sz w:val="16"/>
                <w:szCs w:val="16"/>
              </w:rPr>
              <w:t xml:space="preserve"> organised by UNCTAD in </w:t>
            </w:r>
            <w:r>
              <w:rPr>
                <w:rFonts w:ascii="Calibri" w:hAnsi="Calibri" w:cs="Arial"/>
                <w:sz w:val="16"/>
                <w:szCs w:val="16"/>
              </w:rPr>
              <w:t>June 2022</w:t>
            </w:r>
            <w:r w:rsidR="00E97371" w:rsidRPr="00A637E9">
              <w:rPr>
                <w:rFonts w:ascii="Calibri" w:hAnsi="Calibri" w:cs="Arial"/>
                <w:sz w:val="16"/>
                <w:szCs w:val="16"/>
              </w:rPr>
              <w:t xml:space="preserve"> to provide technical assistance to trainers </w:t>
            </w:r>
            <w:r w:rsidR="00194528">
              <w:rPr>
                <w:rFonts w:ascii="Calibri" w:hAnsi="Calibri" w:cs="Arial"/>
                <w:sz w:val="16"/>
                <w:szCs w:val="16"/>
              </w:rPr>
              <w:t>in implementing</w:t>
            </w:r>
            <w:r w:rsidR="00E97371">
              <w:rPr>
                <w:rFonts w:ascii="Calibri" w:hAnsi="Calibri" w:cs="Arial"/>
                <w:sz w:val="16"/>
                <w:szCs w:val="16"/>
              </w:rPr>
              <w:t xml:space="preserve"> </w:t>
            </w:r>
            <w:hyperlink r:id="rId111" w:history="1">
              <w:r w:rsidR="00E97371" w:rsidRPr="00A637E9">
                <w:rPr>
                  <w:rStyle w:val="Hyperlink"/>
                  <w:rFonts w:ascii="Calibri" w:hAnsi="Calibri" w:cs="Arial"/>
                  <w:sz w:val="16"/>
                  <w:szCs w:val="16"/>
                </w:rPr>
                <w:t>Accounting and Financial Reporting Guidelines for SMEs</w:t>
              </w:r>
            </w:hyperlink>
            <w:r w:rsidR="00E97371" w:rsidRPr="00A637E9">
              <w:rPr>
                <w:rFonts w:ascii="Calibri" w:hAnsi="Calibri" w:cs="Arial"/>
                <w:sz w:val="16"/>
                <w:szCs w:val="16"/>
              </w:rPr>
              <w:t xml:space="preserve"> </w:t>
            </w:r>
          </w:p>
          <w:p w14:paraId="07D8566F" w14:textId="3B4E4FC5" w:rsidR="00E97371" w:rsidRPr="003B711F" w:rsidRDefault="00E97371" w:rsidP="00E97371">
            <w:pPr>
              <w:spacing w:after="120"/>
              <w:ind w:left="2080"/>
              <w:rPr>
                <w:sz w:val="16"/>
                <w:szCs w:val="16"/>
                <w:lang w:eastAsia="en-CA"/>
              </w:rPr>
            </w:pPr>
            <w:r>
              <w:rPr>
                <w:sz w:val="16"/>
                <w:szCs w:val="16"/>
                <w:lang w:eastAsia="en-CA"/>
              </w:rPr>
              <w:t xml:space="preserve">Sustainability </w:t>
            </w:r>
            <w:r w:rsidR="00184C1E" w:rsidRPr="00184C1E">
              <w:rPr>
                <w:rFonts w:ascii="Calibri" w:hAnsi="Calibri" w:cs="Arial"/>
                <w:sz w:val="16"/>
                <w:szCs w:val="16"/>
              </w:rPr>
              <w:t>reporting training for the private sector</w:t>
            </w:r>
          </w:p>
          <w:p w14:paraId="117891DB" w14:textId="169F7C97" w:rsidR="00E97371" w:rsidRDefault="00184C1E" w:rsidP="003B672F">
            <w:pPr>
              <w:pStyle w:val="ListParagraph"/>
              <w:numPr>
                <w:ilvl w:val="2"/>
                <w:numId w:val="17"/>
              </w:numPr>
              <w:spacing w:after="120"/>
              <w:rPr>
                <w:sz w:val="16"/>
                <w:szCs w:val="16"/>
                <w:lang w:eastAsia="en-CA"/>
              </w:rPr>
            </w:pPr>
            <w:r>
              <w:rPr>
                <w:rFonts w:ascii="Calibri" w:hAnsi="Calibri" w:cs="Arial"/>
                <w:sz w:val="16"/>
                <w:szCs w:val="16"/>
              </w:rPr>
              <w:t>T</w:t>
            </w:r>
            <w:r w:rsidRPr="00C92152">
              <w:rPr>
                <w:rFonts w:ascii="Calibri" w:hAnsi="Calibri" w:cs="Arial"/>
                <w:sz w:val="16"/>
                <w:szCs w:val="16"/>
              </w:rPr>
              <w:t xml:space="preserve">raining session </w:t>
            </w:r>
            <w:r>
              <w:rPr>
                <w:sz w:val="16"/>
                <w:szCs w:val="16"/>
                <w:lang w:eastAsia="en-CA"/>
              </w:rPr>
              <w:t xml:space="preserve">organised by UNCTAD in May 2022 </w:t>
            </w:r>
            <w:r w:rsidRPr="00C92152">
              <w:rPr>
                <w:rFonts w:ascii="Calibri" w:hAnsi="Calibri" w:cs="Arial"/>
                <w:sz w:val="16"/>
                <w:szCs w:val="16"/>
              </w:rPr>
              <w:t xml:space="preserve">on the private sector's contribution to SDG implementation </w:t>
            </w:r>
          </w:p>
          <w:p w14:paraId="3B849AFF" w14:textId="622E47B2" w:rsidR="00CA29E1" w:rsidRPr="0037669C" w:rsidRDefault="000E3FD1" w:rsidP="003B672F">
            <w:pPr>
              <w:pStyle w:val="ListParagraph"/>
              <w:numPr>
                <w:ilvl w:val="0"/>
                <w:numId w:val="17"/>
              </w:numPr>
              <w:spacing w:after="120"/>
              <w:rPr>
                <w:b/>
                <w:bCs/>
                <w:sz w:val="16"/>
                <w:szCs w:val="16"/>
                <w:lang w:eastAsia="en-CA"/>
              </w:rPr>
            </w:pPr>
            <w:r w:rsidRPr="0037669C">
              <w:rPr>
                <w:b/>
                <w:bCs/>
                <w:sz w:val="16"/>
                <w:szCs w:val="16"/>
                <w:lang w:eastAsia="en-CA"/>
              </w:rPr>
              <w:t>Pakistan</w:t>
            </w:r>
            <w:r w:rsidR="00247CE4" w:rsidRPr="0037669C">
              <w:rPr>
                <w:b/>
                <w:bCs/>
                <w:sz w:val="16"/>
                <w:szCs w:val="16"/>
                <w:lang w:eastAsia="en-CA"/>
              </w:rPr>
              <w:t>:</w:t>
            </w:r>
          </w:p>
          <w:p w14:paraId="45B8DC8A" w14:textId="4447BE81" w:rsidR="0035038F" w:rsidRDefault="0035038F" w:rsidP="003B672F">
            <w:pPr>
              <w:pStyle w:val="ListParagraph"/>
              <w:numPr>
                <w:ilvl w:val="1"/>
                <w:numId w:val="17"/>
              </w:numPr>
              <w:spacing w:after="120"/>
              <w:rPr>
                <w:sz w:val="16"/>
                <w:szCs w:val="16"/>
                <w:lang w:eastAsia="en-CA"/>
              </w:rPr>
            </w:pPr>
            <w:r>
              <w:rPr>
                <w:sz w:val="16"/>
                <w:szCs w:val="16"/>
                <w:lang w:eastAsia="en-CA"/>
              </w:rPr>
              <w:t>Inception workshop</w:t>
            </w:r>
            <w:r w:rsidR="00C959FC">
              <w:rPr>
                <w:sz w:val="16"/>
                <w:szCs w:val="16"/>
                <w:lang w:eastAsia="en-CA"/>
              </w:rPr>
              <w:t xml:space="preserve"> </w:t>
            </w:r>
            <w:r>
              <w:rPr>
                <w:sz w:val="16"/>
                <w:szCs w:val="16"/>
                <w:lang w:eastAsia="en-CA"/>
              </w:rPr>
              <w:t>held in December 2022</w:t>
            </w:r>
            <w:r w:rsidR="00C959FC">
              <w:rPr>
                <w:sz w:val="16"/>
                <w:szCs w:val="16"/>
                <w:lang w:eastAsia="en-CA"/>
              </w:rPr>
              <w:t xml:space="preserve"> </w:t>
            </w:r>
          </w:p>
          <w:p w14:paraId="5A43874D" w14:textId="617D94E2" w:rsidR="0035038F" w:rsidRPr="00B17C59" w:rsidRDefault="00C959FC" w:rsidP="003B672F">
            <w:pPr>
              <w:pStyle w:val="ListParagraph"/>
              <w:numPr>
                <w:ilvl w:val="2"/>
                <w:numId w:val="17"/>
              </w:numPr>
              <w:spacing w:after="120"/>
              <w:rPr>
                <w:sz w:val="16"/>
                <w:szCs w:val="16"/>
                <w:lang w:eastAsia="en-CA"/>
              </w:rPr>
            </w:pPr>
            <w:r>
              <w:rPr>
                <w:sz w:val="16"/>
                <w:szCs w:val="16"/>
                <w:lang w:eastAsia="en-CA"/>
              </w:rPr>
              <w:t xml:space="preserve">Request from </w:t>
            </w:r>
            <w:r w:rsidR="00DB6E13">
              <w:rPr>
                <w:sz w:val="16"/>
                <w:szCs w:val="16"/>
                <w:lang w:eastAsia="en-CA"/>
              </w:rPr>
              <w:t xml:space="preserve">Federal Board of Revenue </w:t>
            </w:r>
            <w:r w:rsidR="00B17C59">
              <w:rPr>
                <w:sz w:val="16"/>
                <w:szCs w:val="16"/>
                <w:lang w:eastAsia="en-CA"/>
              </w:rPr>
              <w:t xml:space="preserve">(FBR) </w:t>
            </w:r>
            <w:r w:rsidR="00DB6E13">
              <w:rPr>
                <w:sz w:val="16"/>
                <w:szCs w:val="16"/>
                <w:lang w:eastAsia="en-CA"/>
              </w:rPr>
              <w:t xml:space="preserve">to UNESCAP for </w:t>
            </w:r>
            <w:r w:rsidR="00DB6E13" w:rsidRPr="00A637E9">
              <w:rPr>
                <w:rFonts w:ascii="Calibri" w:hAnsi="Calibri" w:cs="Arial"/>
                <w:sz w:val="16"/>
                <w:szCs w:val="16"/>
              </w:rPr>
              <w:t>technical assistance</w:t>
            </w:r>
            <w:r w:rsidR="00950218">
              <w:rPr>
                <w:rFonts w:ascii="Calibri" w:hAnsi="Calibri" w:cs="Arial"/>
                <w:sz w:val="16"/>
                <w:szCs w:val="16"/>
              </w:rPr>
              <w:t xml:space="preserve"> </w:t>
            </w:r>
            <w:r w:rsidR="00950218" w:rsidRPr="00A637E9">
              <w:rPr>
                <w:rFonts w:ascii="Calibri" w:hAnsi="Calibri" w:cs="Arial"/>
                <w:sz w:val="16"/>
                <w:szCs w:val="16"/>
              </w:rPr>
              <w:t>to support the implementation of four initiatives to digitali</w:t>
            </w:r>
            <w:r w:rsidR="00950218">
              <w:rPr>
                <w:rFonts w:ascii="Calibri" w:hAnsi="Calibri" w:cs="Arial"/>
                <w:sz w:val="16"/>
                <w:szCs w:val="16"/>
              </w:rPr>
              <w:t>s</w:t>
            </w:r>
            <w:r w:rsidR="00950218" w:rsidRPr="00A637E9">
              <w:rPr>
                <w:rFonts w:ascii="Calibri" w:hAnsi="Calibri" w:cs="Arial"/>
                <w:sz w:val="16"/>
                <w:szCs w:val="16"/>
              </w:rPr>
              <w:t xml:space="preserve">e </w:t>
            </w:r>
            <w:r w:rsidR="00950218">
              <w:rPr>
                <w:rFonts w:ascii="Calibri" w:hAnsi="Calibri" w:cs="Arial"/>
                <w:sz w:val="16"/>
                <w:szCs w:val="16"/>
              </w:rPr>
              <w:t xml:space="preserve">the </w:t>
            </w:r>
            <w:r w:rsidR="00950218" w:rsidRPr="00A637E9">
              <w:rPr>
                <w:rFonts w:ascii="Calibri" w:hAnsi="Calibri" w:cs="Arial"/>
                <w:sz w:val="16"/>
                <w:szCs w:val="16"/>
              </w:rPr>
              <w:t>Pakistan tax system: e-invoicin</w:t>
            </w:r>
            <w:r w:rsidR="009035A6">
              <w:rPr>
                <w:rFonts w:ascii="Calibri" w:hAnsi="Calibri" w:cs="Arial"/>
                <w:sz w:val="16"/>
                <w:szCs w:val="16"/>
              </w:rPr>
              <w:t>g</w:t>
            </w:r>
            <w:r w:rsidR="00950218">
              <w:rPr>
                <w:rFonts w:ascii="Calibri" w:hAnsi="Calibri" w:cs="Arial"/>
                <w:sz w:val="16"/>
                <w:szCs w:val="16"/>
              </w:rPr>
              <w:t>;</w:t>
            </w:r>
            <w:r w:rsidR="00950218" w:rsidRPr="00A637E9">
              <w:rPr>
                <w:rFonts w:ascii="Calibri" w:hAnsi="Calibri" w:cs="Arial"/>
                <w:sz w:val="16"/>
                <w:szCs w:val="16"/>
              </w:rPr>
              <w:t xml:space="preserve"> e-withholding taxes</w:t>
            </w:r>
            <w:r w:rsidR="00950218">
              <w:rPr>
                <w:rFonts w:ascii="Calibri" w:hAnsi="Calibri" w:cs="Arial"/>
                <w:sz w:val="16"/>
                <w:szCs w:val="16"/>
              </w:rPr>
              <w:t>;</w:t>
            </w:r>
            <w:r w:rsidR="00950218" w:rsidRPr="00A637E9">
              <w:rPr>
                <w:rFonts w:ascii="Calibri" w:hAnsi="Calibri" w:cs="Arial"/>
                <w:sz w:val="16"/>
                <w:szCs w:val="16"/>
              </w:rPr>
              <w:t xml:space="preserve"> point-of-sale (POS) systems</w:t>
            </w:r>
            <w:r w:rsidR="00950218">
              <w:rPr>
                <w:rFonts w:ascii="Calibri" w:hAnsi="Calibri" w:cs="Arial"/>
                <w:sz w:val="16"/>
                <w:szCs w:val="16"/>
              </w:rPr>
              <w:t>;</w:t>
            </w:r>
            <w:r w:rsidR="00950218" w:rsidRPr="00A637E9">
              <w:rPr>
                <w:rFonts w:ascii="Calibri" w:hAnsi="Calibri" w:cs="Arial"/>
                <w:sz w:val="16"/>
                <w:szCs w:val="16"/>
              </w:rPr>
              <w:t xml:space="preserve"> and track and trace systems</w:t>
            </w:r>
          </w:p>
          <w:p w14:paraId="634976E2" w14:textId="4A147324" w:rsidR="00B17C59" w:rsidRDefault="00B17C59" w:rsidP="003B672F">
            <w:pPr>
              <w:pStyle w:val="ListParagraph"/>
              <w:numPr>
                <w:ilvl w:val="1"/>
                <w:numId w:val="17"/>
              </w:numPr>
              <w:spacing w:after="120"/>
              <w:rPr>
                <w:sz w:val="16"/>
                <w:szCs w:val="16"/>
                <w:lang w:eastAsia="en-CA"/>
              </w:rPr>
            </w:pPr>
            <w:r>
              <w:rPr>
                <w:sz w:val="16"/>
                <w:szCs w:val="16"/>
                <w:lang w:eastAsia="en-CA"/>
              </w:rPr>
              <w:t>Technical assistance by UNESCP to FBR:</w:t>
            </w:r>
          </w:p>
          <w:p w14:paraId="1905CEC0" w14:textId="0FB7F19B" w:rsidR="009035A6" w:rsidRDefault="009035A6" w:rsidP="003B672F">
            <w:pPr>
              <w:pStyle w:val="ListParagraph"/>
              <w:numPr>
                <w:ilvl w:val="2"/>
                <w:numId w:val="17"/>
              </w:numPr>
              <w:spacing w:after="60"/>
              <w:contextualSpacing w:val="0"/>
              <w:rPr>
                <w:sz w:val="16"/>
                <w:szCs w:val="16"/>
                <w:lang w:eastAsia="en-CA"/>
              </w:rPr>
            </w:pPr>
            <w:hyperlink r:id="rId112" w:history="1">
              <w:r w:rsidRPr="00A637E9">
                <w:rPr>
                  <w:rStyle w:val="Hyperlink"/>
                  <w:rFonts w:ascii="Calibri" w:hAnsi="Calibri" w:cs="Arial"/>
                  <w:sz w:val="16"/>
                  <w:szCs w:val="16"/>
                </w:rPr>
                <w:t>International conference on digitalization of taxes in Pakistan</w:t>
              </w:r>
            </w:hyperlink>
            <w:r>
              <w:t xml:space="preserve"> </w:t>
            </w:r>
            <w:r w:rsidRPr="009035A6">
              <w:rPr>
                <w:sz w:val="16"/>
                <w:szCs w:val="16"/>
              </w:rPr>
              <w:t>in June 2023</w:t>
            </w:r>
          </w:p>
          <w:p w14:paraId="63F4EE8D" w14:textId="1E48C50F" w:rsidR="009035A6" w:rsidRDefault="009035A6" w:rsidP="003B672F">
            <w:pPr>
              <w:pStyle w:val="ListParagraph"/>
              <w:numPr>
                <w:ilvl w:val="2"/>
                <w:numId w:val="17"/>
              </w:numPr>
              <w:spacing w:after="60"/>
              <w:contextualSpacing w:val="0"/>
              <w:rPr>
                <w:sz w:val="16"/>
                <w:szCs w:val="16"/>
                <w:lang w:eastAsia="en-CA"/>
              </w:rPr>
            </w:pPr>
            <w:hyperlink r:id="rId113" w:history="1">
              <w:r w:rsidRPr="00A637E9">
                <w:rPr>
                  <w:rStyle w:val="Hyperlink"/>
                  <w:rFonts w:ascii="Calibri" w:hAnsi="Calibri" w:cs="Arial"/>
                  <w:sz w:val="16"/>
                  <w:szCs w:val="16"/>
                </w:rPr>
                <w:t>Capacity Building Workshop on Data Analytic Tools to Enhance Tax Compliance through E-invoicing, Track and Trace Systems, E-withholding taxes, and POS Systems</w:t>
              </w:r>
            </w:hyperlink>
            <w:r>
              <w:rPr>
                <w:sz w:val="16"/>
                <w:szCs w:val="16"/>
              </w:rPr>
              <w:t xml:space="preserve"> in October 2023</w:t>
            </w:r>
            <w:r w:rsidR="000557DB">
              <w:rPr>
                <w:sz w:val="16"/>
                <w:szCs w:val="16"/>
              </w:rPr>
              <w:t xml:space="preserve"> for junior and senior tax officials</w:t>
            </w:r>
          </w:p>
          <w:p w14:paraId="71A8AC97" w14:textId="77E28760" w:rsidR="009035A6" w:rsidRDefault="00C6529A" w:rsidP="003B672F">
            <w:pPr>
              <w:pStyle w:val="ListParagraph"/>
              <w:numPr>
                <w:ilvl w:val="2"/>
                <w:numId w:val="17"/>
              </w:numPr>
              <w:spacing w:after="60"/>
              <w:contextualSpacing w:val="0"/>
              <w:rPr>
                <w:sz w:val="16"/>
                <w:szCs w:val="16"/>
                <w:lang w:eastAsia="en-CA"/>
              </w:rPr>
            </w:pPr>
            <w:hyperlink r:id="rId114" w:history="1">
              <w:r w:rsidRPr="00A637E9">
                <w:rPr>
                  <w:rStyle w:val="Hyperlink"/>
                  <w:rFonts w:cstheme="minorHAnsi"/>
                  <w:sz w:val="16"/>
                  <w:szCs w:val="16"/>
                </w:rPr>
                <w:t>Training Workshop on Public Finance for SDGs in Pakistan: An Integrated National Financing Framework Approach</w:t>
              </w:r>
            </w:hyperlink>
            <w:r>
              <w:rPr>
                <w:sz w:val="16"/>
                <w:szCs w:val="16"/>
              </w:rPr>
              <w:t xml:space="preserve"> in February 2024</w:t>
            </w:r>
          </w:p>
          <w:p w14:paraId="0DF9409D" w14:textId="56107DB3" w:rsidR="00B8533C" w:rsidRDefault="00B8533C" w:rsidP="003B672F">
            <w:pPr>
              <w:pStyle w:val="ListParagraph"/>
              <w:numPr>
                <w:ilvl w:val="2"/>
                <w:numId w:val="17"/>
              </w:numPr>
              <w:spacing w:after="60"/>
              <w:contextualSpacing w:val="0"/>
              <w:rPr>
                <w:sz w:val="16"/>
                <w:szCs w:val="16"/>
                <w:lang w:eastAsia="en-CA"/>
              </w:rPr>
            </w:pPr>
            <w:r>
              <w:rPr>
                <w:sz w:val="16"/>
                <w:szCs w:val="16"/>
                <w:lang w:eastAsia="en-CA"/>
              </w:rPr>
              <w:t>Production of guidance material</w:t>
            </w:r>
            <w:r w:rsidR="00C4604D">
              <w:rPr>
                <w:sz w:val="16"/>
                <w:szCs w:val="16"/>
                <w:lang w:eastAsia="en-CA"/>
              </w:rPr>
              <w:t>:</w:t>
            </w:r>
          </w:p>
          <w:p w14:paraId="5D7D6147" w14:textId="66D9DB9F" w:rsidR="00C4604D" w:rsidRPr="00361507" w:rsidRDefault="00C4604D" w:rsidP="003B672F">
            <w:pPr>
              <w:pStyle w:val="ListParagraph"/>
              <w:numPr>
                <w:ilvl w:val="3"/>
                <w:numId w:val="17"/>
              </w:numPr>
              <w:spacing w:after="60"/>
              <w:contextualSpacing w:val="0"/>
              <w:rPr>
                <w:sz w:val="16"/>
                <w:szCs w:val="16"/>
                <w:lang w:eastAsia="en-CA"/>
              </w:rPr>
            </w:pPr>
            <w:r>
              <w:rPr>
                <w:sz w:val="16"/>
                <w:szCs w:val="16"/>
                <w:lang w:eastAsia="en-CA"/>
              </w:rPr>
              <w:t xml:space="preserve">Report </w:t>
            </w:r>
            <w:r w:rsidR="00E5704A">
              <w:rPr>
                <w:sz w:val="16"/>
                <w:szCs w:val="16"/>
                <w:lang w:eastAsia="en-CA"/>
              </w:rPr>
              <w:t>published</w:t>
            </w:r>
            <w:r w:rsidR="009F7043">
              <w:rPr>
                <w:sz w:val="16"/>
                <w:szCs w:val="16"/>
                <w:lang w:eastAsia="en-CA"/>
              </w:rPr>
              <w:t xml:space="preserve"> by UNESCAP</w:t>
            </w:r>
            <w:r w:rsidR="0048161B">
              <w:rPr>
                <w:sz w:val="16"/>
                <w:szCs w:val="16"/>
                <w:lang w:eastAsia="en-CA"/>
              </w:rPr>
              <w:t xml:space="preserve"> February 2024 </w:t>
            </w:r>
            <w:r w:rsidR="009F7043">
              <w:rPr>
                <w:sz w:val="16"/>
                <w:szCs w:val="16"/>
                <w:lang w:eastAsia="en-CA"/>
              </w:rPr>
              <w:t xml:space="preserve"> on </w:t>
            </w:r>
            <w:hyperlink r:id="rId115" w:history="1">
              <w:r w:rsidR="009F7043" w:rsidRPr="00BD4ADD">
                <w:rPr>
                  <w:rStyle w:val="Hyperlink"/>
                  <w:rFonts w:cstheme="minorHAnsi"/>
                  <w:sz w:val="16"/>
                  <w:szCs w:val="16"/>
                </w:rPr>
                <w:t>Advancing Tax Compliance through Digital Solutions: Best Practices, Tools, and Possible Strategies for Pakistan</w:t>
              </w:r>
            </w:hyperlink>
          </w:p>
          <w:p w14:paraId="198BE32E" w14:textId="6AAC0EF8" w:rsidR="00361507" w:rsidRDefault="00DD60CD" w:rsidP="003B672F">
            <w:pPr>
              <w:pStyle w:val="ListParagraph"/>
              <w:numPr>
                <w:ilvl w:val="3"/>
                <w:numId w:val="17"/>
              </w:numPr>
              <w:spacing w:after="60"/>
              <w:contextualSpacing w:val="0"/>
              <w:rPr>
                <w:sz w:val="16"/>
                <w:szCs w:val="16"/>
                <w:lang w:eastAsia="en-CA"/>
              </w:rPr>
            </w:pPr>
            <w:r>
              <w:rPr>
                <w:sz w:val="16"/>
                <w:szCs w:val="16"/>
                <w:lang w:eastAsia="en-CA"/>
              </w:rPr>
              <w:t xml:space="preserve">Report </w:t>
            </w:r>
            <w:r w:rsidR="00E5704A">
              <w:rPr>
                <w:sz w:val="16"/>
                <w:szCs w:val="16"/>
                <w:lang w:eastAsia="en-CA"/>
              </w:rPr>
              <w:t>publish</w:t>
            </w:r>
            <w:r>
              <w:rPr>
                <w:sz w:val="16"/>
                <w:szCs w:val="16"/>
                <w:lang w:eastAsia="en-CA"/>
              </w:rPr>
              <w:t xml:space="preserve">ed by UNESCAP in </w:t>
            </w:r>
            <w:r w:rsidR="0048161B">
              <w:rPr>
                <w:sz w:val="16"/>
                <w:szCs w:val="16"/>
                <w:lang w:eastAsia="en-CA"/>
              </w:rPr>
              <w:t xml:space="preserve">February </w:t>
            </w:r>
            <w:r>
              <w:rPr>
                <w:sz w:val="16"/>
                <w:szCs w:val="16"/>
                <w:lang w:eastAsia="en-CA"/>
              </w:rPr>
              <w:t xml:space="preserve">2024 </w:t>
            </w:r>
            <w:hyperlink r:id="rId116" w:history="1">
              <w:r w:rsidRPr="0048161B">
                <w:rPr>
                  <w:rStyle w:val="Hyperlink"/>
                  <w:sz w:val="16"/>
                  <w:szCs w:val="16"/>
                  <w:lang w:eastAsia="en-CA"/>
                </w:rPr>
                <w:t>Towards an Integrated National Financing Framework for Pakistan</w:t>
              </w:r>
            </w:hyperlink>
            <w:r w:rsidR="006534DF">
              <w:rPr>
                <w:sz w:val="16"/>
                <w:szCs w:val="16"/>
                <w:lang w:eastAsia="en-CA"/>
              </w:rPr>
              <w:t xml:space="preserve"> (informed by </w:t>
            </w:r>
            <w:r w:rsidR="006534DF" w:rsidRPr="00A637E9">
              <w:rPr>
                <w:rFonts w:cstheme="minorHAnsi"/>
                <w:sz w:val="16"/>
                <w:szCs w:val="16"/>
              </w:rPr>
              <w:t>a rapid assessment on INFF in Pakistan</w:t>
            </w:r>
            <w:r w:rsidR="006534DF">
              <w:rPr>
                <w:rFonts w:cstheme="minorHAnsi"/>
                <w:sz w:val="16"/>
                <w:szCs w:val="16"/>
              </w:rPr>
              <w:t xml:space="preserve"> </w:t>
            </w:r>
            <w:r w:rsidR="001F1D7F">
              <w:rPr>
                <w:rFonts w:cstheme="minorHAnsi"/>
                <w:sz w:val="16"/>
                <w:szCs w:val="16"/>
              </w:rPr>
              <w:t xml:space="preserve">during the development of </w:t>
            </w:r>
            <w:r w:rsidR="006534DF" w:rsidRPr="00A637E9">
              <w:rPr>
                <w:rFonts w:cstheme="minorHAnsi"/>
                <w:sz w:val="16"/>
                <w:szCs w:val="16"/>
              </w:rPr>
              <w:t>the INFF inception report</w:t>
            </w:r>
            <w:r w:rsidR="001F1D7F">
              <w:rPr>
                <w:rFonts w:cstheme="minorHAnsi"/>
                <w:sz w:val="16"/>
                <w:szCs w:val="16"/>
              </w:rPr>
              <w:t>)</w:t>
            </w:r>
          </w:p>
          <w:p w14:paraId="4C70A188" w14:textId="24816104" w:rsidR="000E3FD1" w:rsidRPr="0037669C" w:rsidRDefault="000E3FD1" w:rsidP="003B672F">
            <w:pPr>
              <w:pStyle w:val="ListParagraph"/>
              <w:numPr>
                <w:ilvl w:val="0"/>
                <w:numId w:val="17"/>
              </w:numPr>
              <w:spacing w:after="120"/>
              <w:rPr>
                <w:b/>
                <w:bCs/>
                <w:sz w:val="16"/>
                <w:szCs w:val="16"/>
                <w:lang w:eastAsia="en-CA"/>
              </w:rPr>
            </w:pPr>
            <w:r w:rsidRPr="0037669C">
              <w:rPr>
                <w:b/>
                <w:bCs/>
                <w:sz w:val="16"/>
                <w:szCs w:val="16"/>
                <w:lang w:eastAsia="en-CA"/>
              </w:rPr>
              <w:t>Samoa</w:t>
            </w:r>
            <w:r w:rsidR="00247CE4" w:rsidRPr="0037669C">
              <w:rPr>
                <w:b/>
                <w:bCs/>
                <w:sz w:val="16"/>
                <w:szCs w:val="16"/>
                <w:lang w:eastAsia="en-CA"/>
              </w:rPr>
              <w:t>:</w:t>
            </w:r>
          </w:p>
          <w:p w14:paraId="3FF7BC8F" w14:textId="4D259790" w:rsidR="003F2818" w:rsidRPr="00160895" w:rsidRDefault="00160895" w:rsidP="003B672F">
            <w:pPr>
              <w:pStyle w:val="ListParagraph"/>
              <w:numPr>
                <w:ilvl w:val="1"/>
                <w:numId w:val="17"/>
              </w:numPr>
              <w:spacing w:after="120"/>
              <w:rPr>
                <w:sz w:val="16"/>
                <w:szCs w:val="16"/>
                <w:lang w:eastAsia="en-CA"/>
              </w:rPr>
            </w:pPr>
            <w:r>
              <w:rPr>
                <w:rFonts w:ascii="Calibri" w:hAnsi="Calibri" w:cs="Arial"/>
                <w:sz w:val="16"/>
                <w:szCs w:val="16"/>
              </w:rPr>
              <w:t>E</w:t>
            </w:r>
            <w:r w:rsidRPr="00A637E9">
              <w:rPr>
                <w:rFonts w:ascii="Calibri" w:hAnsi="Calibri" w:cs="Arial"/>
                <w:sz w:val="16"/>
                <w:szCs w:val="16"/>
              </w:rPr>
              <w:t>xtensive consultations with government officials</w:t>
            </w:r>
            <w:r>
              <w:rPr>
                <w:rFonts w:ascii="Calibri" w:hAnsi="Calibri" w:cs="Arial"/>
                <w:sz w:val="16"/>
                <w:szCs w:val="16"/>
              </w:rPr>
              <w:t>;</w:t>
            </w:r>
            <w:r w:rsidRPr="00A637E9">
              <w:rPr>
                <w:rFonts w:ascii="Calibri" w:hAnsi="Calibri" w:cs="Arial"/>
                <w:sz w:val="16"/>
                <w:szCs w:val="16"/>
              </w:rPr>
              <w:t xml:space="preserve"> financial institutions</w:t>
            </w:r>
            <w:r>
              <w:rPr>
                <w:rFonts w:ascii="Calibri" w:hAnsi="Calibri" w:cs="Arial"/>
                <w:sz w:val="16"/>
                <w:szCs w:val="16"/>
              </w:rPr>
              <w:t>;</w:t>
            </w:r>
            <w:r w:rsidRPr="00A637E9">
              <w:rPr>
                <w:rFonts w:ascii="Calibri" w:hAnsi="Calibri" w:cs="Arial"/>
                <w:sz w:val="16"/>
                <w:szCs w:val="16"/>
              </w:rPr>
              <w:t xml:space="preserve"> development partners</w:t>
            </w:r>
            <w:r>
              <w:rPr>
                <w:rFonts w:ascii="Calibri" w:hAnsi="Calibri" w:cs="Arial"/>
                <w:sz w:val="16"/>
                <w:szCs w:val="16"/>
              </w:rPr>
              <w:t>;</w:t>
            </w:r>
            <w:r w:rsidRPr="00A637E9">
              <w:rPr>
                <w:rFonts w:ascii="Calibri" w:hAnsi="Calibri" w:cs="Arial"/>
                <w:sz w:val="16"/>
                <w:szCs w:val="16"/>
              </w:rPr>
              <w:t xml:space="preserve"> and other key stakeholders</w:t>
            </w:r>
          </w:p>
          <w:p w14:paraId="0E4ED5B3" w14:textId="20199843" w:rsidR="00160895" w:rsidRPr="00F40885" w:rsidRDefault="008B79D7" w:rsidP="003B672F">
            <w:pPr>
              <w:pStyle w:val="ListParagraph"/>
              <w:numPr>
                <w:ilvl w:val="1"/>
                <w:numId w:val="17"/>
              </w:numPr>
              <w:spacing w:after="120"/>
              <w:rPr>
                <w:sz w:val="16"/>
                <w:szCs w:val="16"/>
                <w:lang w:eastAsia="en-CA"/>
              </w:rPr>
            </w:pPr>
            <w:r w:rsidRPr="00F40885">
              <w:rPr>
                <w:sz w:val="16"/>
                <w:szCs w:val="16"/>
                <w:lang w:eastAsia="en-CA"/>
              </w:rPr>
              <w:t xml:space="preserve">Production of </w:t>
            </w:r>
            <w:r w:rsidR="00160895" w:rsidRPr="00F40885">
              <w:rPr>
                <w:rFonts w:ascii="Calibri" w:hAnsi="Calibri" w:cs="Arial"/>
                <w:sz w:val="16"/>
                <w:szCs w:val="16"/>
              </w:rPr>
              <w:t xml:space="preserve">report on </w:t>
            </w:r>
            <w:r w:rsidR="00160895" w:rsidRPr="00F40885">
              <w:rPr>
                <w:rFonts w:ascii="Calibri" w:hAnsi="Calibri" w:cs="Arial"/>
                <w:i/>
                <w:iCs/>
                <w:sz w:val="16"/>
                <w:szCs w:val="16"/>
              </w:rPr>
              <w:t>Enhancing financing opportunities for climate action and nature-based solutions in Samoa</w:t>
            </w:r>
            <w:r w:rsidR="00363C40" w:rsidRPr="00F40885">
              <w:rPr>
                <w:rFonts w:ascii="Calibri" w:hAnsi="Calibri" w:cs="Arial"/>
                <w:sz w:val="16"/>
                <w:szCs w:val="16"/>
              </w:rPr>
              <w:t xml:space="preserve"> in 2024 and submission to Government</w:t>
            </w:r>
          </w:p>
          <w:p w14:paraId="14976C5C" w14:textId="127398C5" w:rsidR="000E3FD1" w:rsidRPr="0037669C" w:rsidRDefault="000E3FD1" w:rsidP="003B672F">
            <w:pPr>
              <w:pStyle w:val="ListParagraph"/>
              <w:numPr>
                <w:ilvl w:val="0"/>
                <w:numId w:val="17"/>
              </w:numPr>
              <w:spacing w:after="120"/>
              <w:rPr>
                <w:b/>
                <w:bCs/>
                <w:sz w:val="16"/>
                <w:szCs w:val="16"/>
                <w:lang w:eastAsia="en-CA"/>
              </w:rPr>
            </w:pPr>
            <w:r w:rsidRPr="0037669C">
              <w:rPr>
                <w:b/>
                <w:bCs/>
                <w:sz w:val="16"/>
                <w:szCs w:val="16"/>
                <w:lang w:eastAsia="en-CA"/>
              </w:rPr>
              <w:t>Zambia</w:t>
            </w:r>
            <w:r w:rsidR="00247CE4" w:rsidRPr="0037669C">
              <w:rPr>
                <w:b/>
                <w:bCs/>
                <w:sz w:val="16"/>
                <w:szCs w:val="16"/>
                <w:lang w:eastAsia="en-CA"/>
              </w:rPr>
              <w:t>:</w:t>
            </w:r>
          </w:p>
          <w:p w14:paraId="2E8E5DBF" w14:textId="60922FF7" w:rsidR="00C81EAC" w:rsidRDefault="0090775C" w:rsidP="003B672F">
            <w:pPr>
              <w:pStyle w:val="ListParagraph"/>
              <w:numPr>
                <w:ilvl w:val="1"/>
                <w:numId w:val="17"/>
              </w:numPr>
              <w:spacing w:after="120"/>
              <w:rPr>
                <w:sz w:val="16"/>
                <w:szCs w:val="16"/>
                <w:lang w:eastAsia="en-CA"/>
              </w:rPr>
            </w:pPr>
            <w:r>
              <w:rPr>
                <w:sz w:val="16"/>
                <w:szCs w:val="16"/>
                <w:lang w:eastAsia="en-CA"/>
              </w:rPr>
              <w:t>Three national workshops conducted jointly by UNECA and UNCTAD</w:t>
            </w:r>
          </w:p>
          <w:p w14:paraId="4A787CC6" w14:textId="0AEBDB06" w:rsidR="00924729" w:rsidRDefault="00F52252" w:rsidP="003B672F">
            <w:pPr>
              <w:pStyle w:val="ListParagraph"/>
              <w:numPr>
                <w:ilvl w:val="2"/>
                <w:numId w:val="17"/>
              </w:numPr>
              <w:spacing w:after="120"/>
              <w:rPr>
                <w:sz w:val="16"/>
                <w:szCs w:val="16"/>
                <w:lang w:eastAsia="en-CA"/>
              </w:rPr>
            </w:pPr>
            <w:hyperlink r:id="rId117" w:history="1">
              <w:r w:rsidRPr="00A637E9">
                <w:rPr>
                  <w:rStyle w:val="Hyperlink"/>
                  <w:rFonts w:ascii="Calibri" w:hAnsi="Calibri" w:cs="Arial"/>
                  <w:sz w:val="16"/>
                  <w:szCs w:val="16"/>
                </w:rPr>
                <w:t>Capacity building workshop on domestic resource mobilization (DRM) and Illicit Financial Flows (IFF) in Zambia</w:t>
              </w:r>
            </w:hyperlink>
            <w:r w:rsidRPr="00F52252">
              <w:rPr>
                <w:sz w:val="16"/>
                <w:szCs w:val="16"/>
              </w:rPr>
              <w:t xml:space="preserve"> </w:t>
            </w:r>
            <w:r w:rsidR="00F2599E">
              <w:rPr>
                <w:sz w:val="16"/>
                <w:szCs w:val="16"/>
              </w:rPr>
              <w:t>in March 2022</w:t>
            </w:r>
          </w:p>
          <w:p w14:paraId="0F062B8C" w14:textId="29AE93AF" w:rsidR="00F2599E" w:rsidRDefault="007532C6" w:rsidP="003B672F">
            <w:pPr>
              <w:pStyle w:val="ListParagraph"/>
              <w:numPr>
                <w:ilvl w:val="2"/>
                <w:numId w:val="17"/>
              </w:numPr>
              <w:spacing w:after="120"/>
              <w:rPr>
                <w:sz w:val="16"/>
                <w:szCs w:val="16"/>
                <w:lang w:eastAsia="en-CA"/>
              </w:rPr>
            </w:pPr>
            <w:hyperlink r:id="rId118" w:history="1">
              <w:r w:rsidRPr="00A637E9">
                <w:rPr>
                  <w:rStyle w:val="Hyperlink"/>
                  <w:rFonts w:ascii="Calibri" w:hAnsi="Calibri" w:cs="Arial"/>
                  <w:sz w:val="16"/>
                  <w:szCs w:val="16"/>
                </w:rPr>
                <w:t>Workshop on impact investing in Zambia and corporate sustainability reporting for the implementation of SDGs in Africa</w:t>
              </w:r>
            </w:hyperlink>
            <w:r>
              <w:t xml:space="preserve"> </w:t>
            </w:r>
            <w:r>
              <w:rPr>
                <w:sz w:val="16"/>
                <w:szCs w:val="16"/>
              </w:rPr>
              <w:t>in March 2023</w:t>
            </w:r>
          </w:p>
          <w:p w14:paraId="2AD8CEAE" w14:textId="6D91C206" w:rsidR="000404F5" w:rsidRDefault="000404F5" w:rsidP="003B672F">
            <w:pPr>
              <w:pStyle w:val="ListParagraph"/>
              <w:numPr>
                <w:ilvl w:val="2"/>
                <w:numId w:val="17"/>
              </w:numPr>
              <w:spacing w:after="120"/>
              <w:rPr>
                <w:sz w:val="16"/>
                <w:szCs w:val="16"/>
                <w:lang w:eastAsia="en-CA"/>
              </w:rPr>
            </w:pPr>
            <w:hyperlink r:id="rId119" w:history="1">
              <w:r w:rsidRPr="00A637E9">
                <w:rPr>
                  <w:rStyle w:val="Hyperlink"/>
                  <w:rFonts w:ascii="Calibri" w:hAnsi="Calibri" w:cs="Arial"/>
                  <w:sz w:val="16"/>
                  <w:szCs w:val="16"/>
                </w:rPr>
                <w:t>Capacity-Building Workshops on Public-Private Partnerships (PPP) in Zambia</w:t>
              </w:r>
            </w:hyperlink>
            <w:r>
              <w:t xml:space="preserve"> </w:t>
            </w:r>
            <w:r>
              <w:rPr>
                <w:sz w:val="16"/>
                <w:szCs w:val="16"/>
              </w:rPr>
              <w:t xml:space="preserve">in </w:t>
            </w:r>
            <w:r w:rsidR="0075338E">
              <w:rPr>
                <w:sz w:val="16"/>
                <w:szCs w:val="16"/>
              </w:rPr>
              <w:t>February 2024</w:t>
            </w:r>
          </w:p>
          <w:p w14:paraId="601EF82B" w14:textId="77777777" w:rsidR="0076394A" w:rsidRDefault="00741ABD" w:rsidP="003B672F">
            <w:pPr>
              <w:pStyle w:val="ListParagraph"/>
              <w:numPr>
                <w:ilvl w:val="1"/>
                <w:numId w:val="17"/>
              </w:numPr>
              <w:spacing w:after="120"/>
              <w:rPr>
                <w:sz w:val="16"/>
                <w:szCs w:val="16"/>
                <w:lang w:eastAsia="en-CA"/>
              </w:rPr>
            </w:pPr>
            <w:r>
              <w:rPr>
                <w:sz w:val="16"/>
                <w:szCs w:val="16"/>
                <w:lang w:eastAsia="en-CA"/>
              </w:rPr>
              <w:t>Production of</w:t>
            </w:r>
            <w:r w:rsidR="0076394A">
              <w:rPr>
                <w:sz w:val="16"/>
                <w:szCs w:val="16"/>
                <w:lang w:eastAsia="en-CA"/>
              </w:rPr>
              <w:t>:</w:t>
            </w:r>
          </w:p>
          <w:p w14:paraId="31BCD013" w14:textId="32416C52" w:rsidR="00741ABD" w:rsidRDefault="0076394A" w:rsidP="003B672F">
            <w:pPr>
              <w:pStyle w:val="ListParagraph"/>
              <w:numPr>
                <w:ilvl w:val="2"/>
                <w:numId w:val="17"/>
              </w:numPr>
              <w:spacing w:after="120"/>
              <w:rPr>
                <w:sz w:val="16"/>
                <w:szCs w:val="16"/>
                <w:lang w:eastAsia="en-CA"/>
              </w:rPr>
            </w:pPr>
            <w:r>
              <w:rPr>
                <w:sz w:val="16"/>
                <w:szCs w:val="16"/>
                <w:lang w:eastAsia="en-CA"/>
              </w:rPr>
              <w:t>A</w:t>
            </w:r>
            <w:r w:rsidR="00741ABD">
              <w:rPr>
                <w:sz w:val="16"/>
                <w:szCs w:val="16"/>
                <w:lang w:eastAsia="en-CA"/>
              </w:rPr>
              <w:t xml:space="preserve">n </w:t>
            </w:r>
            <w:hyperlink r:id="rId120" w:history="1">
              <w:r w:rsidR="00741ABD" w:rsidRPr="00A637E9">
                <w:rPr>
                  <w:rStyle w:val="Hyperlink"/>
                  <w:rFonts w:ascii="Calibri" w:hAnsi="Calibri" w:cs="Arial"/>
                  <w:sz w:val="16"/>
                  <w:szCs w:val="16"/>
                </w:rPr>
                <w:t>Infrastructure Public-Private Partnership Diagnostic Study Report on Zambia</w:t>
              </w:r>
            </w:hyperlink>
            <w:r w:rsidR="00FD3409">
              <w:t xml:space="preserve"> </w:t>
            </w:r>
            <w:r w:rsidR="00E424F4" w:rsidRPr="00E424F4">
              <w:rPr>
                <w:sz w:val="16"/>
                <w:szCs w:val="16"/>
              </w:rPr>
              <w:t xml:space="preserve">in 2023 </w:t>
            </w:r>
            <w:r w:rsidR="00FD3409" w:rsidRPr="00E424F4">
              <w:rPr>
                <w:sz w:val="16"/>
                <w:szCs w:val="16"/>
              </w:rPr>
              <w:t>by UNECA</w:t>
            </w:r>
            <w:r w:rsidR="00644873">
              <w:rPr>
                <w:sz w:val="16"/>
                <w:szCs w:val="16"/>
              </w:rPr>
              <w:t xml:space="preserve"> </w:t>
            </w:r>
          </w:p>
          <w:p w14:paraId="73010A32" w14:textId="6A76F34B" w:rsidR="004D68FC" w:rsidRDefault="0076394A" w:rsidP="003B672F">
            <w:pPr>
              <w:pStyle w:val="ListParagraph"/>
              <w:numPr>
                <w:ilvl w:val="2"/>
                <w:numId w:val="17"/>
              </w:numPr>
              <w:spacing w:after="120"/>
              <w:rPr>
                <w:sz w:val="16"/>
                <w:szCs w:val="16"/>
                <w:lang w:eastAsia="en-CA"/>
              </w:rPr>
            </w:pPr>
            <w:r>
              <w:rPr>
                <w:sz w:val="16"/>
                <w:szCs w:val="16"/>
                <w:lang w:eastAsia="en-CA"/>
              </w:rPr>
              <w:t>A</w:t>
            </w:r>
            <w:r w:rsidR="004D68FC">
              <w:rPr>
                <w:sz w:val="16"/>
                <w:szCs w:val="16"/>
                <w:lang w:eastAsia="en-CA"/>
              </w:rPr>
              <w:t xml:space="preserve"> policy manual</w:t>
            </w:r>
            <w:r w:rsidR="00720FF0">
              <w:rPr>
                <w:sz w:val="16"/>
                <w:szCs w:val="16"/>
                <w:lang w:eastAsia="en-CA"/>
              </w:rPr>
              <w:t xml:space="preserve"> in 2024</w:t>
            </w:r>
            <w:r w:rsidR="003536E5">
              <w:rPr>
                <w:sz w:val="16"/>
                <w:szCs w:val="16"/>
                <w:lang w:eastAsia="en-CA"/>
              </w:rPr>
              <w:t xml:space="preserve"> on</w:t>
            </w:r>
            <w:r w:rsidR="00720FF0">
              <w:rPr>
                <w:sz w:val="16"/>
                <w:szCs w:val="16"/>
                <w:lang w:eastAsia="en-CA"/>
              </w:rPr>
              <w:t xml:space="preserve"> </w:t>
            </w:r>
            <w:hyperlink r:id="rId121" w:history="1">
              <w:r w:rsidR="00720FF0" w:rsidRPr="0030592B">
                <w:rPr>
                  <w:rStyle w:val="Hyperlink"/>
                  <w:sz w:val="16"/>
                  <w:szCs w:val="16"/>
                  <w:lang w:eastAsia="en-CA"/>
                </w:rPr>
                <w:t>Enhanced Domestic Resource Mobilisation in Zambia</w:t>
              </w:r>
            </w:hyperlink>
            <w:r w:rsidR="0030592B">
              <w:rPr>
                <w:sz w:val="16"/>
                <w:szCs w:val="16"/>
                <w:lang w:eastAsia="en-CA"/>
              </w:rPr>
              <w:t xml:space="preserve">, </w:t>
            </w:r>
            <w:r w:rsidR="003536E5">
              <w:rPr>
                <w:sz w:val="16"/>
                <w:szCs w:val="16"/>
                <w:lang w:eastAsia="en-CA"/>
              </w:rPr>
              <w:t xml:space="preserve">in collaboration with the Ministry of </w:t>
            </w:r>
            <w:r w:rsidR="004E17EE">
              <w:rPr>
                <w:sz w:val="16"/>
                <w:szCs w:val="16"/>
                <w:lang w:eastAsia="en-CA"/>
              </w:rPr>
              <w:t xml:space="preserve">Finance and National Planning, </w:t>
            </w:r>
            <w:r w:rsidR="0030592B">
              <w:rPr>
                <w:sz w:val="16"/>
                <w:szCs w:val="16"/>
                <w:lang w:eastAsia="en-CA"/>
              </w:rPr>
              <w:t>to support post-COVID-19 recovery</w:t>
            </w:r>
          </w:p>
          <w:p w14:paraId="45F1A2EB" w14:textId="76056EB0" w:rsidR="0076394A" w:rsidRPr="003E2A95" w:rsidRDefault="0076394A" w:rsidP="003B672F">
            <w:pPr>
              <w:pStyle w:val="ListParagraph"/>
              <w:numPr>
                <w:ilvl w:val="2"/>
                <w:numId w:val="17"/>
              </w:numPr>
              <w:spacing w:after="120"/>
              <w:rPr>
                <w:sz w:val="16"/>
                <w:szCs w:val="16"/>
                <w:lang w:eastAsia="en-CA"/>
              </w:rPr>
            </w:pPr>
            <w:r>
              <w:rPr>
                <w:sz w:val="16"/>
                <w:szCs w:val="16"/>
                <w:lang w:eastAsia="en-CA"/>
              </w:rPr>
              <w:t xml:space="preserve">A </w:t>
            </w:r>
            <w:r w:rsidR="0078062C" w:rsidRPr="0078062C">
              <w:rPr>
                <w:rFonts w:ascii="Calibri" w:hAnsi="Calibri" w:cs="Arial"/>
                <w:sz w:val="16"/>
                <w:szCs w:val="16"/>
              </w:rPr>
              <w:t>Handbook on innovative finance for promoting inclusive industrialization and private sector development in Zambia</w:t>
            </w:r>
            <w:r w:rsidR="0078062C">
              <w:rPr>
                <w:rFonts w:ascii="Calibri" w:hAnsi="Calibri" w:cs="Arial"/>
                <w:sz w:val="16"/>
                <w:szCs w:val="16"/>
              </w:rPr>
              <w:t xml:space="preserve"> </w:t>
            </w:r>
            <w:r w:rsidR="00B256DC">
              <w:rPr>
                <w:rFonts w:ascii="Calibri" w:hAnsi="Calibri" w:cs="Arial"/>
                <w:sz w:val="16"/>
                <w:szCs w:val="16"/>
              </w:rPr>
              <w:t>in 2024</w:t>
            </w:r>
          </w:p>
          <w:p w14:paraId="0DDB75A8" w14:textId="5EC26CB7" w:rsidR="00FA7E8D" w:rsidRPr="003068FE" w:rsidRDefault="003E2A95" w:rsidP="003B672F">
            <w:pPr>
              <w:pStyle w:val="ListParagraph"/>
              <w:numPr>
                <w:ilvl w:val="1"/>
                <w:numId w:val="17"/>
              </w:numPr>
              <w:spacing w:after="120"/>
              <w:rPr>
                <w:sz w:val="16"/>
                <w:szCs w:val="16"/>
                <w:lang w:eastAsia="en-CA"/>
              </w:rPr>
            </w:pPr>
            <w:r>
              <w:rPr>
                <w:sz w:val="16"/>
                <w:szCs w:val="16"/>
                <w:lang w:eastAsia="en-CA"/>
              </w:rPr>
              <w:t xml:space="preserve">Technical partnership between UNECA and Zambia led to </w:t>
            </w:r>
            <w:r w:rsidR="00AD6589">
              <w:rPr>
                <w:sz w:val="16"/>
                <w:szCs w:val="16"/>
                <w:lang w:eastAsia="en-CA"/>
              </w:rPr>
              <w:t xml:space="preserve">a Joint SDG Fund project, </w:t>
            </w:r>
            <w:hyperlink r:id="rId122" w:history="1">
              <w:r w:rsidR="003068FE" w:rsidRPr="003068FE">
                <w:rPr>
                  <w:rStyle w:val="Hyperlink"/>
                  <w:rFonts w:ascii="Calibri" w:hAnsi="Calibri" w:cs="Arial"/>
                  <w:sz w:val="16"/>
                  <w:szCs w:val="16"/>
                </w:rPr>
                <w:t>Zambia’s Integrated Financing Framework for Sustainable Development</w:t>
              </w:r>
            </w:hyperlink>
          </w:p>
        </w:tc>
      </w:tr>
      <w:tr w:rsidR="0078678F" w:rsidRPr="009201BB" w14:paraId="4625BA28" w14:textId="77777777" w:rsidTr="00D646AC">
        <w:tc>
          <w:tcPr>
            <w:tcW w:w="9678" w:type="dxa"/>
          </w:tcPr>
          <w:p w14:paraId="03BB5E85" w14:textId="2078186F" w:rsidR="0078678F" w:rsidRPr="009201BB" w:rsidRDefault="0078678F" w:rsidP="003C2458">
            <w:pPr>
              <w:spacing w:after="120"/>
              <w:rPr>
                <w:rFonts w:cstheme="minorHAnsi"/>
                <w:b/>
                <w:bCs/>
                <w:sz w:val="16"/>
                <w:szCs w:val="16"/>
              </w:rPr>
            </w:pPr>
            <w:r w:rsidRPr="009201BB">
              <w:rPr>
                <w:rFonts w:cstheme="minorHAnsi"/>
                <w:b/>
                <w:bCs/>
                <w:sz w:val="16"/>
                <w:szCs w:val="16"/>
              </w:rPr>
              <w:lastRenderedPageBreak/>
              <w:t>OP 2.1</w:t>
            </w:r>
            <w:r w:rsidRPr="009201BB">
              <w:rPr>
                <w:rFonts w:cstheme="minorHAnsi"/>
                <w:sz w:val="16"/>
                <w:szCs w:val="16"/>
              </w:rPr>
              <w:t xml:space="preserve"> Regional workshop with participation of government officials, private sector representatives and other stakeholders of target countries within each region, representatives of implementing partners and collaborating entities, to share implementation experiences with INFFs and lessons learned, and facilitate knowledge sharing among countries and stakeholders</w:t>
            </w:r>
          </w:p>
        </w:tc>
      </w:tr>
      <w:tr w:rsidR="0078678F" w:rsidRPr="009201BB" w14:paraId="3C276CD9" w14:textId="77777777" w:rsidTr="00D646AC">
        <w:tc>
          <w:tcPr>
            <w:tcW w:w="9678" w:type="dxa"/>
          </w:tcPr>
          <w:p w14:paraId="07EC345D" w14:textId="77777777" w:rsidR="00C86177" w:rsidRDefault="00C86177" w:rsidP="003B672F">
            <w:pPr>
              <w:pStyle w:val="ListParagraph"/>
              <w:numPr>
                <w:ilvl w:val="0"/>
                <w:numId w:val="17"/>
              </w:numPr>
              <w:spacing w:after="120"/>
              <w:rPr>
                <w:rFonts w:cstheme="minorHAnsi"/>
                <w:b/>
                <w:bCs/>
                <w:sz w:val="16"/>
                <w:szCs w:val="16"/>
              </w:rPr>
            </w:pPr>
            <w:r>
              <w:rPr>
                <w:rFonts w:cstheme="minorHAnsi"/>
                <w:b/>
                <w:bCs/>
                <w:sz w:val="16"/>
                <w:szCs w:val="16"/>
              </w:rPr>
              <w:t>Africa</w:t>
            </w:r>
          </w:p>
          <w:p w14:paraId="2CF70E33" w14:textId="457D1BF1" w:rsidR="00BF0EC6" w:rsidRPr="007D2616" w:rsidRDefault="00BF0EC6" w:rsidP="003B672F">
            <w:pPr>
              <w:pStyle w:val="ListParagraph"/>
              <w:numPr>
                <w:ilvl w:val="1"/>
                <w:numId w:val="17"/>
              </w:numPr>
              <w:spacing w:after="60"/>
              <w:ind w:left="1440" w:hanging="357"/>
              <w:contextualSpacing w:val="0"/>
              <w:rPr>
                <w:rFonts w:cstheme="minorHAnsi"/>
                <w:b/>
                <w:bCs/>
                <w:sz w:val="16"/>
                <w:szCs w:val="16"/>
              </w:rPr>
            </w:pPr>
            <w:r w:rsidRPr="00A637E9">
              <w:rPr>
                <w:rFonts w:ascii="Calibri" w:hAnsi="Calibri" w:cs="Arial"/>
                <w:sz w:val="16"/>
                <w:szCs w:val="16"/>
              </w:rPr>
              <w:t>Three-day online training INFF inception workshop</w:t>
            </w:r>
            <w:r>
              <w:rPr>
                <w:rFonts w:ascii="Calibri" w:hAnsi="Calibri" w:cs="Arial"/>
                <w:sz w:val="16"/>
                <w:szCs w:val="16"/>
              </w:rPr>
              <w:t xml:space="preserve"> </w:t>
            </w:r>
            <w:r w:rsidR="00BE550A">
              <w:rPr>
                <w:rFonts w:ascii="Calibri" w:hAnsi="Calibri" w:cs="Arial"/>
                <w:sz w:val="16"/>
                <w:szCs w:val="16"/>
              </w:rPr>
              <w:t>(co-organised by UNECA; UNDES</w:t>
            </w:r>
            <w:r w:rsidR="007D2616">
              <w:rPr>
                <w:rFonts w:ascii="Calibri" w:hAnsi="Calibri" w:cs="Arial"/>
                <w:sz w:val="16"/>
                <w:szCs w:val="16"/>
              </w:rPr>
              <w:t>A</w:t>
            </w:r>
            <w:r w:rsidR="00BE550A">
              <w:rPr>
                <w:rFonts w:ascii="Calibri" w:hAnsi="Calibri" w:cs="Arial"/>
                <w:sz w:val="16"/>
                <w:szCs w:val="16"/>
              </w:rPr>
              <w:t xml:space="preserve">; UNDP; </w:t>
            </w:r>
            <w:r w:rsidR="007D2616">
              <w:rPr>
                <w:rFonts w:ascii="Calibri" w:hAnsi="Calibri" w:cs="Arial"/>
                <w:sz w:val="16"/>
                <w:szCs w:val="16"/>
              </w:rPr>
              <w:t>and UNITAR)</w:t>
            </w:r>
          </w:p>
          <w:p w14:paraId="509948EF" w14:textId="24BC9CE1" w:rsidR="007D2616" w:rsidRPr="00005955" w:rsidRDefault="00D51FC1" w:rsidP="003B672F">
            <w:pPr>
              <w:pStyle w:val="ListParagraph"/>
              <w:numPr>
                <w:ilvl w:val="1"/>
                <w:numId w:val="17"/>
              </w:numPr>
              <w:spacing w:after="60"/>
              <w:ind w:left="1440" w:hanging="357"/>
              <w:contextualSpacing w:val="0"/>
              <w:rPr>
                <w:rFonts w:cstheme="minorHAnsi"/>
                <w:b/>
                <w:bCs/>
                <w:sz w:val="16"/>
                <w:szCs w:val="16"/>
              </w:rPr>
            </w:pPr>
            <w:r w:rsidRPr="00005955">
              <w:rPr>
                <w:rFonts w:cstheme="minorHAnsi"/>
                <w:sz w:val="16"/>
                <w:szCs w:val="16"/>
              </w:rPr>
              <w:lastRenderedPageBreak/>
              <w:t xml:space="preserve">Four-day workshop </w:t>
            </w:r>
            <w:r w:rsidR="001D23BD" w:rsidRPr="00005955">
              <w:rPr>
                <w:rFonts w:cstheme="minorHAnsi"/>
                <w:sz w:val="16"/>
                <w:szCs w:val="16"/>
              </w:rPr>
              <w:t>in September 2022 on</w:t>
            </w:r>
            <w:r w:rsidR="001D23BD">
              <w:rPr>
                <w:rFonts w:cstheme="minorHAnsi"/>
                <w:b/>
                <w:bCs/>
                <w:sz w:val="16"/>
                <w:szCs w:val="16"/>
              </w:rPr>
              <w:t xml:space="preserve"> </w:t>
            </w:r>
            <w:r w:rsidR="001D23BD" w:rsidRPr="00A637E9">
              <w:rPr>
                <w:rFonts w:ascii="Calibri" w:hAnsi="Calibri" w:cs="Arial"/>
                <w:sz w:val="16"/>
                <w:szCs w:val="16"/>
              </w:rPr>
              <w:t>INFFs and Open Budgets for Sustainable Development in Africa</w:t>
            </w:r>
            <w:r w:rsidR="001D23BD">
              <w:rPr>
                <w:rFonts w:ascii="Calibri" w:hAnsi="Calibri" w:cs="Arial"/>
                <w:sz w:val="16"/>
                <w:szCs w:val="16"/>
              </w:rPr>
              <w:t xml:space="preserve"> (co-organised by UNECA; UNDESA; UNDP; and</w:t>
            </w:r>
            <w:r w:rsidR="00AE5FD1" w:rsidRPr="00A637E9">
              <w:rPr>
                <w:rFonts w:ascii="Calibri" w:hAnsi="Calibri" w:cs="Arial"/>
                <w:sz w:val="16"/>
                <w:szCs w:val="16"/>
              </w:rPr>
              <w:t xml:space="preserve"> the International Budget Partnership</w:t>
            </w:r>
            <w:r w:rsidR="00AE5FD1">
              <w:rPr>
                <w:rFonts w:ascii="Calibri" w:hAnsi="Calibri" w:cs="Arial"/>
                <w:sz w:val="16"/>
                <w:szCs w:val="16"/>
              </w:rPr>
              <w:t>)</w:t>
            </w:r>
          </w:p>
          <w:p w14:paraId="4F2F09FC" w14:textId="0D8E728A" w:rsidR="00005955" w:rsidRPr="00476CBA" w:rsidRDefault="00344C5C" w:rsidP="003B672F">
            <w:pPr>
              <w:pStyle w:val="ListParagraph"/>
              <w:numPr>
                <w:ilvl w:val="1"/>
                <w:numId w:val="17"/>
              </w:numPr>
              <w:spacing w:after="60"/>
              <w:ind w:left="1440" w:hanging="357"/>
              <w:contextualSpacing w:val="0"/>
              <w:rPr>
                <w:rFonts w:cstheme="minorHAnsi"/>
                <w:b/>
                <w:bCs/>
                <w:sz w:val="16"/>
                <w:szCs w:val="16"/>
              </w:rPr>
            </w:pPr>
            <w:r w:rsidRPr="00B05B4B">
              <w:rPr>
                <w:rFonts w:ascii="Calibri" w:hAnsi="Calibri" w:cs="Arial"/>
                <w:sz w:val="16"/>
                <w:szCs w:val="16"/>
              </w:rPr>
              <w:t>African regional workshop</w:t>
            </w:r>
            <w:r w:rsidR="00BC651F">
              <w:rPr>
                <w:rFonts w:ascii="Calibri" w:hAnsi="Calibri" w:cs="Arial"/>
                <w:sz w:val="16"/>
                <w:szCs w:val="16"/>
              </w:rPr>
              <w:t xml:space="preserve"> in June 2024 (co-organised by UNECA; </w:t>
            </w:r>
            <w:r w:rsidR="00476CBA">
              <w:rPr>
                <w:rFonts w:ascii="Calibri" w:hAnsi="Calibri" w:cs="Arial"/>
                <w:sz w:val="16"/>
                <w:szCs w:val="16"/>
              </w:rPr>
              <w:t>UNDP; and UNDESA)</w:t>
            </w:r>
          </w:p>
          <w:p w14:paraId="478972E5" w14:textId="05B805DD" w:rsidR="00476CBA" w:rsidRPr="004D3EA3" w:rsidRDefault="00476CBA" w:rsidP="003B672F">
            <w:pPr>
              <w:pStyle w:val="ListParagraph"/>
              <w:numPr>
                <w:ilvl w:val="1"/>
                <w:numId w:val="17"/>
              </w:numPr>
              <w:spacing w:after="60"/>
              <w:ind w:left="1440" w:hanging="357"/>
              <w:contextualSpacing w:val="0"/>
              <w:rPr>
                <w:rFonts w:cstheme="minorHAnsi"/>
                <w:sz w:val="16"/>
                <w:szCs w:val="16"/>
              </w:rPr>
            </w:pPr>
            <w:r w:rsidRPr="004D3EA3">
              <w:rPr>
                <w:rFonts w:cstheme="minorHAnsi"/>
                <w:sz w:val="16"/>
                <w:szCs w:val="16"/>
              </w:rPr>
              <w:t xml:space="preserve">Side event organised </w:t>
            </w:r>
            <w:r w:rsidR="00A5233D" w:rsidRPr="004D3EA3">
              <w:rPr>
                <w:rFonts w:cstheme="minorHAnsi"/>
                <w:sz w:val="16"/>
                <w:szCs w:val="16"/>
              </w:rPr>
              <w:t xml:space="preserve">at the Africa </w:t>
            </w:r>
            <w:r w:rsidR="00A5233D" w:rsidRPr="004D3EA3">
              <w:rPr>
                <w:rFonts w:ascii="Calibri" w:hAnsi="Calibri" w:cs="Arial"/>
                <w:sz w:val="16"/>
                <w:szCs w:val="16"/>
              </w:rPr>
              <w:t xml:space="preserve">Regional Consultation on Financing for Development </w:t>
            </w:r>
            <w:r w:rsidR="004D3EA3" w:rsidRPr="004D3EA3">
              <w:rPr>
                <w:rFonts w:ascii="Calibri" w:hAnsi="Calibri" w:cs="Arial"/>
                <w:sz w:val="16"/>
                <w:szCs w:val="16"/>
              </w:rPr>
              <w:t>on INFFs as a tool to align financing with national development priorities and the SDGs</w:t>
            </w:r>
          </w:p>
          <w:p w14:paraId="48EF3874" w14:textId="4764FA89" w:rsidR="0078678F" w:rsidRDefault="00F33A22" w:rsidP="003B672F">
            <w:pPr>
              <w:pStyle w:val="ListParagraph"/>
              <w:numPr>
                <w:ilvl w:val="0"/>
                <w:numId w:val="17"/>
              </w:numPr>
              <w:spacing w:after="120"/>
              <w:rPr>
                <w:rFonts w:cstheme="minorHAnsi"/>
                <w:b/>
                <w:bCs/>
                <w:sz w:val="16"/>
                <w:szCs w:val="16"/>
              </w:rPr>
            </w:pPr>
            <w:r>
              <w:rPr>
                <w:rFonts w:cstheme="minorHAnsi"/>
                <w:b/>
                <w:bCs/>
                <w:sz w:val="16"/>
                <w:szCs w:val="16"/>
              </w:rPr>
              <w:t>Asia and the Pacific</w:t>
            </w:r>
          </w:p>
          <w:p w14:paraId="16AFDB28" w14:textId="0B78544E" w:rsidR="00C20869" w:rsidRPr="00DC2539" w:rsidRDefault="00351D90" w:rsidP="003B672F">
            <w:pPr>
              <w:pStyle w:val="ListParagraph"/>
              <w:numPr>
                <w:ilvl w:val="1"/>
                <w:numId w:val="17"/>
              </w:numPr>
              <w:spacing w:after="60"/>
              <w:ind w:left="1440" w:hanging="357"/>
              <w:contextualSpacing w:val="0"/>
              <w:rPr>
                <w:rFonts w:cstheme="minorHAnsi"/>
                <w:b/>
                <w:bCs/>
                <w:sz w:val="16"/>
                <w:szCs w:val="16"/>
              </w:rPr>
            </w:pPr>
            <w:r w:rsidRPr="00DC2539">
              <w:rPr>
                <w:rFonts w:ascii="Calibri" w:hAnsi="Calibri" w:cs="Arial"/>
                <w:sz w:val="16"/>
                <w:szCs w:val="16"/>
              </w:rPr>
              <w:t>Three-day online training workshop</w:t>
            </w:r>
            <w:r w:rsidR="00DC2539" w:rsidRPr="00DC2539">
              <w:rPr>
                <w:rFonts w:ascii="Calibri" w:hAnsi="Calibri" w:cs="Arial"/>
                <w:sz w:val="16"/>
                <w:szCs w:val="16"/>
              </w:rPr>
              <w:t xml:space="preserve"> in March 2021</w:t>
            </w:r>
            <w:r w:rsidRPr="00DC2539">
              <w:rPr>
                <w:rFonts w:ascii="Calibri" w:hAnsi="Calibri" w:cs="Arial"/>
                <w:sz w:val="16"/>
                <w:szCs w:val="16"/>
              </w:rPr>
              <w:t xml:space="preserve"> on </w:t>
            </w:r>
            <w:hyperlink r:id="rId123" w:history="1">
              <w:r w:rsidRPr="00DC2539">
                <w:rPr>
                  <w:rStyle w:val="Hyperlink"/>
                  <w:rFonts w:ascii="Calibri" w:hAnsi="Calibri" w:cs="Arial"/>
                  <w:sz w:val="16"/>
                  <w:szCs w:val="16"/>
                </w:rPr>
                <w:t>INFFs and the alignment of SDG planning and budgeting</w:t>
              </w:r>
            </w:hyperlink>
            <w:r w:rsidR="00DC2539">
              <w:t xml:space="preserve"> </w:t>
            </w:r>
          </w:p>
          <w:p w14:paraId="5C588EAB" w14:textId="664AC3B9" w:rsidR="00DC2539" w:rsidRDefault="00DC2539" w:rsidP="003B672F">
            <w:pPr>
              <w:pStyle w:val="ListParagraph"/>
              <w:numPr>
                <w:ilvl w:val="1"/>
                <w:numId w:val="17"/>
              </w:numPr>
              <w:spacing w:after="60"/>
              <w:ind w:left="1440" w:hanging="357"/>
              <w:contextualSpacing w:val="0"/>
              <w:rPr>
                <w:rFonts w:cstheme="minorHAnsi"/>
                <w:sz w:val="16"/>
                <w:szCs w:val="16"/>
              </w:rPr>
            </w:pPr>
            <w:r w:rsidRPr="00AC3A7E">
              <w:rPr>
                <w:rFonts w:cstheme="minorHAnsi"/>
                <w:sz w:val="16"/>
                <w:szCs w:val="16"/>
              </w:rPr>
              <w:t xml:space="preserve">Regional </w:t>
            </w:r>
            <w:r w:rsidR="006321A6">
              <w:rPr>
                <w:rFonts w:cstheme="minorHAnsi"/>
                <w:sz w:val="16"/>
                <w:szCs w:val="16"/>
              </w:rPr>
              <w:t>knowledge-exchange</w:t>
            </w:r>
            <w:r w:rsidR="0056082D" w:rsidRPr="00AC3A7E">
              <w:rPr>
                <w:rFonts w:cstheme="minorHAnsi"/>
                <w:sz w:val="16"/>
                <w:szCs w:val="16"/>
              </w:rPr>
              <w:t xml:space="preserve"> </w:t>
            </w:r>
            <w:r w:rsidR="00AC3A7E">
              <w:rPr>
                <w:rFonts w:cstheme="minorHAnsi"/>
                <w:sz w:val="16"/>
                <w:szCs w:val="16"/>
              </w:rPr>
              <w:t>in June 2023</w:t>
            </w:r>
            <w:r w:rsidR="00834A2A">
              <w:rPr>
                <w:rFonts w:cstheme="minorHAnsi"/>
                <w:sz w:val="16"/>
                <w:szCs w:val="16"/>
              </w:rPr>
              <w:t xml:space="preserve">, </w:t>
            </w:r>
            <w:hyperlink r:id="rId124" w:history="1">
              <w:r w:rsidR="00834A2A" w:rsidRPr="00F21B55">
                <w:rPr>
                  <w:rStyle w:val="Hyperlink"/>
                  <w:rFonts w:cstheme="minorHAnsi"/>
                  <w:sz w:val="16"/>
                  <w:szCs w:val="16"/>
                </w:rPr>
                <w:t>F</w:t>
              </w:r>
              <w:r w:rsidR="00AC3A7E" w:rsidRPr="00F21B55">
                <w:rPr>
                  <w:rStyle w:val="Hyperlink"/>
                  <w:rFonts w:cstheme="minorHAnsi"/>
                  <w:sz w:val="16"/>
                  <w:szCs w:val="16"/>
                </w:rPr>
                <w:t xml:space="preserve">inancing </w:t>
              </w:r>
              <w:r w:rsidR="00834A2A" w:rsidRPr="00F21B55">
                <w:rPr>
                  <w:rStyle w:val="Hyperlink"/>
                  <w:rFonts w:cstheme="minorHAnsi"/>
                  <w:sz w:val="16"/>
                  <w:szCs w:val="16"/>
                </w:rPr>
                <w:t>Sustainable Development in A</w:t>
              </w:r>
              <w:r w:rsidR="00F21B55" w:rsidRPr="00F21B55">
                <w:rPr>
                  <w:rStyle w:val="Hyperlink"/>
                  <w:rFonts w:cstheme="minorHAnsi"/>
                  <w:sz w:val="16"/>
                  <w:szCs w:val="16"/>
                </w:rPr>
                <w:t>sia-Pacific Region in times of Volatility and Uncertainties</w:t>
              </w:r>
            </w:hyperlink>
            <w:r w:rsidR="00274BA7">
              <w:rPr>
                <w:rFonts w:cstheme="minorHAnsi"/>
                <w:sz w:val="16"/>
                <w:szCs w:val="16"/>
              </w:rPr>
              <w:t xml:space="preserve"> (co-organised with UNDP; UNDESA; the EU and the INFF Facility)</w:t>
            </w:r>
          </w:p>
          <w:p w14:paraId="6147E30D" w14:textId="4358864A" w:rsidR="00C86177" w:rsidRDefault="00C86177" w:rsidP="003B672F">
            <w:pPr>
              <w:pStyle w:val="ListParagraph"/>
              <w:numPr>
                <w:ilvl w:val="0"/>
                <w:numId w:val="17"/>
              </w:numPr>
              <w:spacing w:after="120"/>
              <w:rPr>
                <w:rFonts w:cstheme="minorHAnsi"/>
                <w:b/>
                <w:bCs/>
                <w:sz w:val="16"/>
                <w:szCs w:val="16"/>
              </w:rPr>
            </w:pPr>
            <w:r>
              <w:rPr>
                <w:rFonts w:cstheme="minorHAnsi"/>
                <w:b/>
                <w:bCs/>
                <w:sz w:val="16"/>
                <w:szCs w:val="16"/>
              </w:rPr>
              <w:t>Europe</w:t>
            </w:r>
          </w:p>
          <w:p w14:paraId="6E7EC948" w14:textId="5F6DE45C" w:rsidR="00EE60B3" w:rsidRPr="005457A7" w:rsidRDefault="003541F6" w:rsidP="003B672F">
            <w:pPr>
              <w:pStyle w:val="ListParagraph"/>
              <w:numPr>
                <w:ilvl w:val="1"/>
                <w:numId w:val="17"/>
              </w:numPr>
              <w:spacing w:after="60"/>
              <w:ind w:hanging="357"/>
              <w:contextualSpacing w:val="0"/>
              <w:rPr>
                <w:rFonts w:cstheme="minorHAnsi"/>
                <w:sz w:val="16"/>
                <w:szCs w:val="16"/>
              </w:rPr>
            </w:pPr>
            <w:r w:rsidRPr="003541F6">
              <w:rPr>
                <w:rFonts w:cstheme="minorHAnsi"/>
                <w:sz w:val="16"/>
                <w:szCs w:val="16"/>
              </w:rPr>
              <w:t xml:space="preserve">Joint workshop by </w:t>
            </w:r>
            <w:r>
              <w:rPr>
                <w:rFonts w:cstheme="minorHAnsi"/>
                <w:sz w:val="16"/>
                <w:szCs w:val="16"/>
              </w:rPr>
              <w:t xml:space="preserve">UNECE and UNCTAD </w:t>
            </w:r>
            <w:r w:rsidR="00D75090">
              <w:rPr>
                <w:rFonts w:cstheme="minorHAnsi"/>
                <w:sz w:val="16"/>
                <w:szCs w:val="16"/>
              </w:rPr>
              <w:t xml:space="preserve">in March 2024, </w:t>
            </w:r>
            <w:hyperlink r:id="rId125" w:history="1">
              <w:r w:rsidR="00B3594C" w:rsidRPr="00B3594C">
                <w:rPr>
                  <w:rStyle w:val="Hyperlink"/>
                  <w:rFonts w:ascii="Calibri" w:hAnsi="Calibri" w:cs="Arial"/>
                  <w:sz w:val="16"/>
                  <w:szCs w:val="16"/>
                </w:rPr>
                <w:t>Towards INFFs: Implementing sustainability focused normative tools in Eastern Europe, Western Balkans, the Caucasus, and Central Asia</w:t>
              </w:r>
            </w:hyperlink>
          </w:p>
          <w:p w14:paraId="0D51B1C3" w14:textId="4493C722" w:rsidR="005457A7" w:rsidRPr="00EE60B3" w:rsidRDefault="00410C36" w:rsidP="003B672F">
            <w:pPr>
              <w:pStyle w:val="ListParagraph"/>
              <w:numPr>
                <w:ilvl w:val="2"/>
                <w:numId w:val="17"/>
              </w:numPr>
              <w:spacing w:after="60"/>
              <w:ind w:hanging="357"/>
              <w:contextualSpacing w:val="0"/>
              <w:rPr>
                <w:rFonts w:cstheme="minorHAnsi"/>
                <w:sz w:val="16"/>
                <w:szCs w:val="16"/>
              </w:rPr>
            </w:pPr>
            <w:r>
              <w:rPr>
                <w:rFonts w:ascii="Calibri" w:hAnsi="Calibri" w:cs="Arial"/>
                <w:sz w:val="16"/>
                <w:szCs w:val="16"/>
              </w:rPr>
              <w:t xml:space="preserve">Resulted in the launch of the </w:t>
            </w:r>
            <w:hyperlink r:id="rId126" w:history="1">
              <w:r w:rsidRPr="000D154A">
                <w:rPr>
                  <w:rStyle w:val="Hyperlink"/>
                  <w:rFonts w:ascii="Calibri" w:hAnsi="Calibri" w:cs="Arial"/>
                  <w:sz w:val="16"/>
                  <w:szCs w:val="16"/>
                </w:rPr>
                <w:t>Eurasian Regional Partnership on Sustainability and SDG Reporting</w:t>
              </w:r>
            </w:hyperlink>
          </w:p>
          <w:p w14:paraId="142E1696" w14:textId="039175FF" w:rsidR="003541F6" w:rsidRPr="0056701A" w:rsidRDefault="00EE60B3" w:rsidP="003B672F">
            <w:pPr>
              <w:pStyle w:val="ListParagraph"/>
              <w:numPr>
                <w:ilvl w:val="1"/>
                <w:numId w:val="17"/>
              </w:numPr>
              <w:spacing w:after="60"/>
              <w:ind w:hanging="357"/>
              <w:contextualSpacing w:val="0"/>
              <w:rPr>
                <w:rFonts w:cstheme="minorHAnsi"/>
                <w:sz w:val="16"/>
                <w:szCs w:val="16"/>
              </w:rPr>
            </w:pPr>
            <w:r>
              <w:rPr>
                <w:rFonts w:ascii="Calibri" w:hAnsi="Calibri" w:cs="Arial"/>
                <w:sz w:val="16"/>
                <w:szCs w:val="16"/>
              </w:rPr>
              <w:t xml:space="preserve">Follow-up </w:t>
            </w:r>
            <w:r w:rsidR="00DA38D7">
              <w:rPr>
                <w:rFonts w:ascii="Calibri" w:hAnsi="Calibri" w:cs="Arial"/>
                <w:sz w:val="16"/>
                <w:szCs w:val="16"/>
              </w:rPr>
              <w:t>regional meeting by UNCTAD in October 2024</w:t>
            </w:r>
            <w:r w:rsidR="00D45A94">
              <w:rPr>
                <w:rFonts w:ascii="Calibri" w:hAnsi="Calibri" w:cs="Arial"/>
                <w:sz w:val="16"/>
                <w:szCs w:val="16"/>
              </w:rPr>
              <w:t>, in hybrid format</w:t>
            </w:r>
            <w:r w:rsidR="002E0469">
              <w:rPr>
                <w:rFonts w:ascii="Calibri" w:hAnsi="Calibri" w:cs="Arial"/>
                <w:sz w:val="16"/>
                <w:szCs w:val="16"/>
              </w:rPr>
              <w:t xml:space="preserve"> (</w:t>
            </w:r>
            <w:r w:rsidR="00F840B8">
              <w:rPr>
                <w:rFonts w:ascii="Calibri" w:hAnsi="Calibri" w:cs="Arial"/>
                <w:sz w:val="16"/>
                <w:szCs w:val="16"/>
              </w:rPr>
              <w:t>for experience-sharing on ADT assessment; the expansion of partnership</w:t>
            </w:r>
            <w:r w:rsidR="00855C5A">
              <w:rPr>
                <w:rFonts w:ascii="Calibri" w:hAnsi="Calibri" w:cs="Arial"/>
                <w:sz w:val="16"/>
                <w:szCs w:val="16"/>
              </w:rPr>
              <w:t xml:space="preserve"> membership</w:t>
            </w:r>
            <w:r w:rsidR="003E56BB">
              <w:rPr>
                <w:rFonts w:ascii="Calibri" w:hAnsi="Calibri" w:cs="Arial"/>
                <w:sz w:val="16"/>
                <w:szCs w:val="16"/>
              </w:rPr>
              <w:t xml:space="preserve">; </w:t>
            </w:r>
            <w:r w:rsidR="00F74A75">
              <w:rPr>
                <w:rFonts w:ascii="Calibri" w:hAnsi="Calibri" w:cs="Arial"/>
                <w:sz w:val="16"/>
                <w:szCs w:val="16"/>
              </w:rPr>
              <w:t>discussion of</w:t>
            </w:r>
            <w:r w:rsidR="00A61639">
              <w:rPr>
                <w:rFonts w:ascii="Calibri" w:hAnsi="Calibri" w:cs="Arial"/>
                <w:sz w:val="16"/>
                <w:szCs w:val="16"/>
              </w:rPr>
              <w:t xml:space="preserve"> </w:t>
            </w:r>
            <w:r w:rsidR="00A61639" w:rsidRPr="00454A15">
              <w:rPr>
                <w:rFonts w:ascii="Calibri" w:hAnsi="Calibri" w:cs="Arial"/>
                <w:sz w:val="16"/>
                <w:szCs w:val="16"/>
              </w:rPr>
              <w:t>foundational documents</w:t>
            </w:r>
            <w:r w:rsidR="00A61639">
              <w:rPr>
                <w:rFonts w:ascii="Calibri" w:hAnsi="Calibri" w:cs="Arial"/>
                <w:sz w:val="16"/>
                <w:szCs w:val="16"/>
              </w:rPr>
              <w:t xml:space="preserve">; and </w:t>
            </w:r>
            <w:r w:rsidR="00044EB4">
              <w:rPr>
                <w:rFonts w:ascii="Calibri" w:hAnsi="Calibri" w:cs="Arial"/>
                <w:sz w:val="16"/>
                <w:szCs w:val="16"/>
              </w:rPr>
              <w:t>outlining of a work plan)</w:t>
            </w:r>
            <w:r w:rsidR="00F74A75">
              <w:rPr>
                <w:rFonts w:ascii="Calibri" w:hAnsi="Calibri" w:cs="Arial"/>
                <w:sz w:val="16"/>
                <w:szCs w:val="16"/>
              </w:rPr>
              <w:t xml:space="preserve"> </w:t>
            </w:r>
            <w:r w:rsidR="00B3594C">
              <w:rPr>
                <w:rFonts w:ascii="Calibri" w:hAnsi="Calibri" w:cs="Arial"/>
                <w:sz w:val="16"/>
                <w:szCs w:val="16"/>
              </w:rPr>
              <w:t xml:space="preserve"> </w:t>
            </w:r>
          </w:p>
          <w:p w14:paraId="2BD6B1F6" w14:textId="3A436D74" w:rsidR="0056701A" w:rsidRPr="003541F6" w:rsidRDefault="00B457C5" w:rsidP="003B672F">
            <w:pPr>
              <w:pStyle w:val="ListParagraph"/>
              <w:numPr>
                <w:ilvl w:val="1"/>
                <w:numId w:val="17"/>
              </w:numPr>
              <w:spacing w:after="60"/>
              <w:ind w:hanging="357"/>
              <w:contextualSpacing w:val="0"/>
              <w:rPr>
                <w:rFonts w:cstheme="minorHAnsi"/>
                <w:sz w:val="16"/>
                <w:szCs w:val="16"/>
              </w:rPr>
            </w:pPr>
            <w:r>
              <w:rPr>
                <w:rFonts w:ascii="Calibri" w:hAnsi="Calibri" w:cs="Arial"/>
                <w:sz w:val="16"/>
                <w:szCs w:val="16"/>
              </w:rPr>
              <w:t xml:space="preserve">Follow-up regional </w:t>
            </w:r>
            <w:r w:rsidRPr="003541F6">
              <w:rPr>
                <w:rFonts w:cstheme="minorHAnsi"/>
                <w:sz w:val="16"/>
                <w:szCs w:val="16"/>
              </w:rPr>
              <w:t xml:space="preserve">workshop by </w:t>
            </w:r>
            <w:r>
              <w:rPr>
                <w:rFonts w:cstheme="minorHAnsi"/>
                <w:sz w:val="16"/>
                <w:szCs w:val="16"/>
              </w:rPr>
              <w:t>UNECE</w:t>
            </w:r>
            <w:r w:rsidR="005625B0">
              <w:rPr>
                <w:rFonts w:cstheme="minorHAnsi"/>
                <w:sz w:val="16"/>
                <w:szCs w:val="16"/>
              </w:rPr>
              <w:t xml:space="preserve"> in November 2024</w:t>
            </w:r>
            <w:r w:rsidR="00F7357C">
              <w:rPr>
                <w:rFonts w:cstheme="minorHAnsi"/>
                <w:sz w:val="16"/>
                <w:szCs w:val="16"/>
              </w:rPr>
              <w:t xml:space="preserve"> on </w:t>
            </w:r>
            <w:hyperlink r:id="rId127" w:history="1">
              <w:r w:rsidR="00F7357C" w:rsidRPr="00992DF3">
                <w:rPr>
                  <w:rStyle w:val="Hyperlink"/>
                  <w:rFonts w:cstheme="minorHAnsi"/>
                  <w:sz w:val="16"/>
                  <w:szCs w:val="16"/>
                </w:rPr>
                <w:t>Sustainable P</w:t>
              </w:r>
              <w:r w:rsidR="00992DF3" w:rsidRPr="00992DF3">
                <w:rPr>
                  <w:rStyle w:val="Hyperlink"/>
                  <w:rFonts w:cstheme="minorHAnsi"/>
                  <w:sz w:val="16"/>
                  <w:szCs w:val="16"/>
                </w:rPr>
                <w:t>ublic-</w:t>
              </w:r>
              <w:r w:rsidR="00F7357C" w:rsidRPr="00992DF3">
                <w:rPr>
                  <w:rStyle w:val="Hyperlink"/>
                  <w:rFonts w:cstheme="minorHAnsi"/>
                  <w:sz w:val="16"/>
                  <w:szCs w:val="16"/>
                </w:rPr>
                <w:t>P</w:t>
              </w:r>
              <w:r w:rsidR="00992DF3" w:rsidRPr="00992DF3">
                <w:rPr>
                  <w:rStyle w:val="Hyperlink"/>
                  <w:rFonts w:cstheme="minorHAnsi"/>
                  <w:sz w:val="16"/>
                  <w:szCs w:val="16"/>
                </w:rPr>
                <w:t>rivate-</w:t>
              </w:r>
              <w:r w:rsidR="00F7357C" w:rsidRPr="00992DF3">
                <w:rPr>
                  <w:rStyle w:val="Hyperlink"/>
                  <w:rFonts w:cstheme="minorHAnsi"/>
                  <w:sz w:val="16"/>
                  <w:szCs w:val="16"/>
                </w:rPr>
                <w:t>P</w:t>
              </w:r>
              <w:r w:rsidR="00992DF3" w:rsidRPr="00992DF3">
                <w:rPr>
                  <w:rStyle w:val="Hyperlink"/>
                  <w:rFonts w:cstheme="minorHAnsi"/>
                  <w:sz w:val="16"/>
                  <w:szCs w:val="16"/>
                </w:rPr>
                <w:t>artnerships</w:t>
              </w:r>
              <w:r w:rsidR="00F7357C" w:rsidRPr="00992DF3">
                <w:rPr>
                  <w:rStyle w:val="Hyperlink"/>
                  <w:rFonts w:cstheme="minorHAnsi"/>
                  <w:sz w:val="16"/>
                  <w:szCs w:val="16"/>
                </w:rPr>
                <w:t xml:space="preserve"> in support of INFFs</w:t>
              </w:r>
            </w:hyperlink>
            <w:r w:rsidR="00992DF3">
              <w:rPr>
                <w:rFonts w:cstheme="minorHAnsi"/>
                <w:sz w:val="16"/>
                <w:szCs w:val="16"/>
              </w:rPr>
              <w:t xml:space="preserve">, </w:t>
            </w:r>
          </w:p>
          <w:p w14:paraId="66151CC8" w14:textId="39E8C841" w:rsidR="00C86177" w:rsidRDefault="00C86177" w:rsidP="003B672F">
            <w:pPr>
              <w:pStyle w:val="ListParagraph"/>
              <w:numPr>
                <w:ilvl w:val="0"/>
                <w:numId w:val="17"/>
              </w:numPr>
              <w:spacing w:after="120"/>
              <w:rPr>
                <w:rFonts w:cstheme="minorHAnsi"/>
                <w:b/>
                <w:bCs/>
                <w:sz w:val="16"/>
                <w:szCs w:val="16"/>
              </w:rPr>
            </w:pPr>
            <w:r>
              <w:rPr>
                <w:rFonts w:cstheme="minorHAnsi"/>
                <w:b/>
                <w:bCs/>
                <w:sz w:val="16"/>
                <w:szCs w:val="16"/>
              </w:rPr>
              <w:t>Latin America and the Caribbean</w:t>
            </w:r>
          </w:p>
          <w:p w14:paraId="322A1273" w14:textId="39482B38" w:rsidR="00C91352" w:rsidRDefault="00C91352" w:rsidP="003B672F">
            <w:pPr>
              <w:pStyle w:val="ListParagraph"/>
              <w:numPr>
                <w:ilvl w:val="1"/>
                <w:numId w:val="17"/>
              </w:numPr>
              <w:spacing w:after="60"/>
              <w:ind w:left="1440" w:hanging="357"/>
              <w:contextualSpacing w:val="0"/>
              <w:rPr>
                <w:rFonts w:cstheme="minorHAnsi"/>
                <w:b/>
                <w:bCs/>
                <w:sz w:val="16"/>
                <w:szCs w:val="16"/>
              </w:rPr>
            </w:pPr>
            <w:r w:rsidRPr="00C20869">
              <w:rPr>
                <w:rFonts w:cstheme="minorHAnsi"/>
                <w:sz w:val="16"/>
                <w:szCs w:val="16"/>
              </w:rPr>
              <w:t>R</w:t>
            </w:r>
            <w:r w:rsidRPr="00BB29E8">
              <w:rPr>
                <w:rFonts w:ascii="Calibri" w:hAnsi="Calibri" w:cs="Arial"/>
                <w:sz w:val="16"/>
                <w:szCs w:val="16"/>
              </w:rPr>
              <w:t xml:space="preserve">egional </w:t>
            </w:r>
            <w:r>
              <w:rPr>
                <w:rFonts w:ascii="Calibri" w:hAnsi="Calibri" w:cs="Arial"/>
                <w:sz w:val="16"/>
                <w:szCs w:val="16"/>
              </w:rPr>
              <w:t xml:space="preserve">side </w:t>
            </w:r>
            <w:r w:rsidRPr="00BB29E8">
              <w:rPr>
                <w:rFonts w:ascii="Calibri" w:hAnsi="Calibri" w:cs="Arial"/>
                <w:sz w:val="16"/>
                <w:szCs w:val="16"/>
              </w:rPr>
              <w:t xml:space="preserve">event </w:t>
            </w:r>
            <w:r>
              <w:rPr>
                <w:rFonts w:ascii="Calibri" w:hAnsi="Calibri" w:cs="Arial"/>
                <w:sz w:val="16"/>
                <w:szCs w:val="16"/>
              </w:rPr>
              <w:t>at the Global INFF Workshop in</w:t>
            </w:r>
            <w:r w:rsidR="002C2D2E">
              <w:rPr>
                <w:rFonts w:ascii="Calibri" w:hAnsi="Calibri" w:cs="Arial"/>
                <w:sz w:val="16"/>
                <w:szCs w:val="16"/>
              </w:rPr>
              <w:t xml:space="preserve"> </w:t>
            </w:r>
            <w:r w:rsidRPr="00A637E9">
              <w:rPr>
                <w:rFonts w:ascii="Calibri" w:hAnsi="Calibri" w:cs="Arial"/>
                <w:sz w:val="16"/>
                <w:szCs w:val="16"/>
              </w:rPr>
              <w:t>April</w:t>
            </w:r>
            <w:r>
              <w:rPr>
                <w:rFonts w:ascii="Calibri" w:hAnsi="Calibri" w:cs="Arial"/>
                <w:sz w:val="16"/>
                <w:szCs w:val="16"/>
              </w:rPr>
              <w:t xml:space="preserve"> 2024 (facilitated by UNECLAC)</w:t>
            </w:r>
          </w:p>
          <w:p w14:paraId="4650DED9" w14:textId="094262A6" w:rsidR="00EB4FF1" w:rsidRDefault="00EB4FF1" w:rsidP="003B672F">
            <w:pPr>
              <w:pStyle w:val="ListParagraph"/>
              <w:numPr>
                <w:ilvl w:val="0"/>
                <w:numId w:val="17"/>
              </w:numPr>
              <w:spacing w:after="120"/>
              <w:rPr>
                <w:rFonts w:cstheme="minorHAnsi"/>
                <w:b/>
                <w:bCs/>
                <w:sz w:val="16"/>
                <w:szCs w:val="16"/>
              </w:rPr>
            </w:pPr>
            <w:r>
              <w:rPr>
                <w:rFonts w:cstheme="minorHAnsi"/>
                <w:b/>
                <w:bCs/>
                <w:sz w:val="16"/>
                <w:szCs w:val="16"/>
              </w:rPr>
              <w:t>Western Asia</w:t>
            </w:r>
          </w:p>
          <w:p w14:paraId="208ED012" w14:textId="47B84E62" w:rsidR="00195BE5" w:rsidRPr="007076B0" w:rsidRDefault="00C40F36" w:rsidP="003B672F">
            <w:pPr>
              <w:pStyle w:val="ListParagraph"/>
              <w:numPr>
                <w:ilvl w:val="1"/>
                <w:numId w:val="17"/>
              </w:numPr>
              <w:spacing w:after="60"/>
              <w:contextualSpacing w:val="0"/>
              <w:rPr>
                <w:rFonts w:cstheme="minorHAnsi"/>
                <w:b/>
                <w:bCs/>
                <w:sz w:val="16"/>
                <w:szCs w:val="16"/>
              </w:rPr>
            </w:pPr>
            <w:r w:rsidRPr="00A637E9">
              <w:rPr>
                <w:rFonts w:ascii="Calibri" w:hAnsi="Calibri" w:cs="Arial"/>
                <w:sz w:val="16"/>
                <w:szCs w:val="16"/>
              </w:rPr>
              <w:t xml:space="preserve">High-level regional </w:t>
            </w:r>
            <w:hyperlink r:id="rId128" w:history="1">
              <w:r w:rsidRPr="00A330B0">
                <w:rPr>
                  <w:rStyle w:val="Hyperlink"/>
                  <w:rFonts w:ascii="Calibri" w:hAnsi="Calibri" w:cs="Arial"/>
                  <w:sz w:val="16"/>
                  <w:szCs w:val="16"/>
                </w:rPr>
                <w:t>two-day INFF inception workshop</w:t>
              </w:r>
            </w:hyperlink>
            <w:r w:rsidRPr="00A637E9">
              <w:rPr>
                <w:rFonts w:ascii="Calibri" w:hAnsi="Calibri" w:cs="Arial"/>
                <w:sz w:val="16"/>
                <w:szCs w:val="16"/>
              </w:rPr>
              <w:t xml:space="preserve"> in </w:t>
            </w:r>
            <w:r w:rsidR="008B2B5B">
              <w:rPr>
                <w:rFonts w:ascii="Calibri" w:hAnsi="Calibri" w:cs="Arial"/>
                <w:sz w:val="16"/>
                <w:szCs w:val="16"/>
              </w:rPr>
              <w:t>December 2021</w:t>
            </w:r>
            <w:r w:rsidR="00B60ABD">
              <w:rPr>
                <w:rFonts w:ascii="Calibri" w:hAnsi="Calibri" w:cs="Arial"/>
                <w:sz w:val="16"/>
                <w:szCs w:val="16"/>
              </w:rPr>
              <w:t xml:space="preserve"> </w:t>
            </w:r>
            <w:r w:rsidRPr="00A637E9">
              <w:rPr>
                <w:rFonts w:ascii="Calibri" w:hAnsi="Calibri" w:cs="Arial"/>
                <w:sz w:val="16"/>
                <w:szCs w:val="16"/>
              </w:rPr>
              <w:t>Cairo, Egypt</w:t>
            </w:r>
            <w:r w:rsidR="00DC7D9D">
              <w:rPr>
                <w:rFonts w:ascii="Calibri" w:hAnsi="Calibri" w:cs="Arial"/>
                <w:sz w:val="16"/>
                <w:szCs w:val="16"/>
              </w:rPr>
              <w:t xml:space="preserve"> (</w:t>
            </w:r>
            <w:r w:rsidRPr="00A637E9">
              <w:rPr>
                <w:rFonts w:ascii="Calibri" w:hAnsi="Calibri" w:cs="Arial"/>
                <w:sz w:val="16"/>
                <w:szCs w:val="16"/>
              </w:rPr>
              <w:t xml:space="preserve">back-to back with the Inter-governmental Committee </w:t>
            </w:r>
            <w:r w:rsidR="00E107CF">
              <w:rPr>
                <w:rFonts w:ascii="Calibri" w:hAnsi="Calibri" w:cs="Arial"/>
                <w:sz w:val="16"/>
                <w:szCs w:val="16"/>
              </w:rPr>
              <w:t xml:space="preserve">Meeting </w:t>
            </w:r>
            <w:r w:rsidRPr="00A637E9">
              <w:rPr>
                <w:rFonts w:ascii="Calibri" w:hAnsi="Calibri" w:cs="Arial"/>
                <w:sz w:val="16"/>
                <w:szCs w:val="16"/>
              </w:rPr>
              <w:t>on F</w:t>
            </w:r>
            <w:r w:rsidR="007076B0">
              <w:rPr>
                <w:rFonts w:ascii="Calibri" w:hAnsi="Calibri" w:cs="Arial"/>
                <w:sz w:val="16"/>
                <w:szCs w:val="16"/>
              </w:rPr>
              <w:t>fD)</w:t>
            </w:r>
          </w:p>
          <w:p w14:paraId="082E6036" w14:textId="0AB93CB1" w:rsidR="00B1184C" w:rsidRPr="00B1184C" w:rsidRDefault="002C2D2E" w:rsidP="003B672F">
            <w:pPr>
              <w:pStyle w:val="ListParagraph"/>
              <w:numPr>
                <w:ilvl w:val="1"/>
                <w:numId w:val="17"/>
              </w:numPr>
              <w:spacing w:after="60"/>
              <w:contextualSpacing w:val="0"/>
              <w:rPr>
                <w:rFonts w:cstheme="minorHAnsi"/>
                <w:b/>
                <w:bCs/>
                <w:sz w:val="16"/>
                <w:szCs w:val="16"/>
              </w:rPr>
            </w:pPr>
            <w:r>
              <w:rPr>
                <w:rFonts w:ascii="Calibri" w:hAnsi="Calibri" w:cs="Arial"/>
                <w:sz w:val="16"/>
                <w:szCs w:val="16"/>
              </w:rPr>
              <w:t>R</w:t>
            </w:r>
            <w:r w:rsidRPr="00EE085F">
              <w:rPr>
                <w:rFonts w:ascii="Calibri" w:hAnsi="Calibri" w:cs="Arial"/>
                <w:sz w:val="16"/>
                <w:szCs w:val="16"/>
              </w:rPr>
              <w:t>egional workshop</w:t>
            </w:r>
            <w:r>
              <w:rPr>
                <w:rFonts w:ascii="Calibri" w:hAnsi="Calibri" w:cs="Arial"/>
                <w:sz w:val="16"/>
                <w:szCs w:val="16"/>
              </w:rPr>
              <w:t xml:space="preserve"> in </w:t>
            </w:r>
            <w:r w:rsidRPr="00EE085F">
              <w:rPr>
                <w:rFonts w:ascii="Calibri" w:hAnsi="Calibri" w:cs="Arial"/>
                <w:sz w:val="16"/>
                <w:szCs w:val="16"/>
              </w:rPr>
              <w:t xml:space="preserve">April 2024 </w:t>
            </w:r>
            <w:r w:rsidR="00B1184C">
              <w:rPr>
                <w:rFonts w:ascii="Calibri" w:hAnsi="Calibri" w:cs="Arial"/>
                <w:sz w:val="16"/>
                <w:szCs w:val="16"/>
              </w:rPr>
              <w:t xml:space="preserve">on UNESCWA </w:t>
            </w:r>
            <w:r w:rsidR="00B1184C" w:rsidRPr="00EE085F">
              <w:rPr>
                <w:rFonts w:ascii="Calibri" w:hAnsi="Calibri" w:cs="Arial"/>
                <w:sz w:val="16"/>
                <w:szCs w:val="16"/>
              </w:rPr>
              <w:t>financing tools for INFFs</w:t>
            </w:r>
            <w:r w:rsidR="00101013">
              <w:rPr>
                <w:rFonts w:ascii="Calibri" w:hAnsi="Calibri" w:cs="Arial"/>
                <w:sz w:val="16"/>
                <w:szCs w:val="16"/>
              </w:rPr>
              <w:t xml:space="preserve"> and </w:t>
            </w:r>
            <w:r w:rsidR="00101013" w:rsidRPr="00EE085F">
              <w:rPr>
                <w:rFonts w:ascii="Calibri" w:hAnsi="Calibri" w:cs="Arial"/>
                <w:sz w:val="16"/>
                <w:szCs w:val="16"/>
              </w:rPr>
              <w:t>key financing risks in the Arab region</w:t>
            </w:r>
            <w:r w:rsidR="0073740C">
              <w:rPr>
                <w:rFonts w:ascii="Calibri" w:hAnsi="Calibri" w:cs="Arial"/>
                <w:sz w:val="16"/>
                <w:szCs w:val="16"/>
              </w:rPr>
              <w:t xml:space="preserve"> (facili</w:t>
            </w:r>
            <w:r w:rsidR="00731DF2">
              <w:rPr>
                <w:rFonts w:ascii="Calibri" w:hAnsi="Calibri" w:cs="Arial"/>
                <w:sz w:val="16"/>
                <w:szCs w:val="16"/>
              </w:rPr>
              <w:t xml:space="preserve">tated alongside </w:t>
            </w:r>
            <w:r w:rsidR="00E107CF" w:rsidRPr="00EE085F">
              <w:rPr>
                <w:rFonts w:ascii="Calibri" w:hAnsi="Calibri" w:cs="Arial"/>
                <w:sz w:val="16"/>
                <w:szCs w:val="16"/>
              </w:rPr>
              <w:t xml:space="preserve">the Intergovernmental Committee </w:t>
            </w:r>
            <w:r w:rsidR="00E107CF">
              <w:rPr>
                <w:rFonts w:ascii="Calibri" w:hAnsi="Calibri" w:cs="Arial"/>
                <w:sz w:val="16"/>
                <w:szCs w:val="16"/>
              </w:rPr>
              <w:t>Meeting on FfD)</w:t>
            </w:r>
          </w:p>
          <w:p w14:paraId="41FA0AB8" w14:textId="77777777" w:rsidR="00296941" w:rsidRPr="00296941" w:rsidRDefault="00296941" w:rsidP="003B672F">
            <w:pPr>
              <w:pStyle w:val="ListParagraph"/>
              <w:numPr>
                <w:ilvl w:val="1"/>
                <w:numId w:val="17"/>
              </w:numPr>
              <w:spacing w:after="60"/>
              <w:contextualSpacing w:val="0"/>
              <w:rPr>
                <w:rFonts w:cstheme="minorHAnsi"/>
                <w:b/>
                <w:bCs/>
                <w:sz w:val="16"/>
                <w:szCs w:val="16"/>
              </w:rPr>
            </w:pPr>
            <w:r>
              <w:rPr>
                <w:rFonts w:ascii="Calibri" w:hAnsi="Calibri" w:cs="Arial"/>
                <w:sz w:val="16"/>
                <w:szCs w:val="16"/>
              </w:rPr>
              <w:t>T</w:t>
            </w:r>
            <w:r w:rsidR="002C2D2E" w:rsidRPr="00EE085F">
              <w:rPr>
                <w:rFonts w:ascii="Calibri" w:hAnsi="Calibri" w:cs="Arial"/>
                <w:sz w:val="16"/>
                <w:szCs w:val="16"/>
              </w:rPr>
              <w:t xml:space="preserve">wo parliamentary documents </w:t>
            </w:r>
            <w:r>
              <w:rPr>
                <w:rFonts w:ascii="Calibri" w:hAnsi="Calibri" w:cs="Arial"/>
                <w:sz w:val="16"/>
                <w:szCs w:val="16"/>
              </w:rPr>
              <w:t xml:space="preserve">published </w:t>
            </w:r>
            <w:r w:rsidR="002C2D2E" w:rsidRPr="00EE085F">
              <w:rPr>
                <w:rFonts w:ascii="Calibri" w:hAnsi="Calibri" w:cs="Arial"/>
                <w:sz w:val="16"/>
                <w:szCs w:val="16"/>
              </w:rPr>
              <w:t>in Arabic</w:t>
            </w:r>
          </w:p>
          <w:p w14:paraId="6D186DC2" w14:textId="75D904F7" w:rsidR="00AB5270" w:rsidRPr="00AB5270" w:rsidRDefault="002C2D2E" w:rsidP="003B672F">
            <w:pPr>
              <w:pStyle w:val="ListParagraph"/>
              <w:numPr>
                <w:ilvl w:val="2"/>
                <w:numId w:val="17"/>
              </w:numPr>
              <w:spacing w:after="60"/>
              <w:contextualSpacing w:val="0"/>
              <w:rPr>
                <w:rFonts w:cstheme="minorHAnsi"/>
                <w:b/>
                <w:bCs/>
                <w:sz w:val="16"/>
                <w:szCs w:val="16"/>
              </w:rPr>
            </w:pPr>
            <w:hyperlink r:id="rId129" w:history="1">
              <w:r w:rsidRPr="00AB5270">
                <w:rPr>
                  <w:rStyle w:val="Hyperlink"/>
                  <w:rFonts w:ascii="Calibri" w:hAnsi="Calibri" w:cs="Arial"/>
                  <w:sz w:val="16"/>
                  <w:szCs w:val="16"/>
                </w:rPr>
                <w:t>Innovative Approaches to Policymaking: Evidence-Based Dynamic Financing Solutions</w:t>
              </w:r>
            </w:hyperlink>
          </w:p>
          <w:p w14:paraId="65C97AAD" w14:textId="032F33B9" w:rsidR="007076B0" w:rsidRPr="00D848A6" w:rsidRDefault="002C2D2E" w:rsidP="003B672F">
            <w:pPr>
              <w:pStyle w:val="ListParagraph"/>
              <w:numPr>
                <w:ilvl w:val="2"/>
                <w:numId w:val="17"/>
              </w:numPr>
              <w:spacing w:after="60"/>
              <w:contextualSpacing w:val="0"/>
              <w:rPr>
                <w:rFonts w:cstheme="minorHAnsi"/>
                <w:b/>
                <w:bCs/>
                <w:sz w:val="16"/>
                <w:szCs w:val="16"/>
              </w:rPr>
            </w:pPr>
            <w:hyperlink r:id="rId130" w:history="1">
              <w:r w:rsidRPr="00FA5B73">
                <w:rPr>
                  <w:rStyle w:val="Hyperlink"/>
                  <w:rFonts w:ascii="Calibri" w:hAnsi="Calibri" w:cs="Arial"/>
                  <w:sz w:val="16"/>
                  <w:szCs w:val="16"/>
                </w:rPr>
                <w:t>Intelligence Solutions and Machine Learning Applications to Budget for the SDGs: Integrated Budget Intelligence Toolkit</w:t>
              </w:r>
            </w:hyperlink>
          </w:p>
          <w:p w14:paraId="25D2DD11" w14:textId="2E53E838" w:rsidR="00D848A6" w:rsidRPr="00CE6BAE" w:rsidRDefault="00D848A6" w:rsidP="003B672F">
            <w:pPr>
              <w:pStyle w:val="ListParagraph"/>
              <w:numPr>
                <w:ilvl w:val="1"/>
                <w:numId w:val="17"/>
              </w:numPr>
              <w:spacing w:after="60"/>
              <w:contextualSpacing w:val="0"/>
              <w:rPr>
                <w:rFonts w:cstheme="minorHAnsi"/>
                <w:b/>
                <w:bCs/>
                <w:sz w:val="16"/>
                <w:szCs w:val="16"/>
              </w:rPr>
            </w:pPr>
            <w:r w:rsidRPr="00CE6BAE">
              <w:rPr>
                <w:sz w:val="16"/>
                <w:szCs w:val="16"/>
              </w:rPr>
              <w:t xml:space="preserve">Regional </w:t>
            </w:r>
            <w:r w:rsidR="00CE6BAE" w:rsidRPr="00CE6BAE">
              <w:rPr>
                <w:sz w:val="16"/>
                <w:szCs w:val="16"/>
              </w:rPr>
              <w:t>meetings and events</w:t>
            </w:r>
            <w:r w:rsidR="00CE6BAE">
              <w:rPr>
                <w:sz w:val="16"/>
                <w:szCs w:val="16"/>
              </w:rPr>
              <w:t>:</w:t>
            </w:r>
          </w:p>
          <w:p w14:paraId="00E6C4BF" w14:textId="620866D6" w:rsidR="00CE6BAE" w:rsidRPr="005E70E3" w:rsidRDefault="007A2069" w:rsidP="003B672F">
            <w:pPr>
              <w:pStyle w:val="ListParagraph"/>
              <w:numPr>
                <w:ilvl w:val="2"/>
                <w:numId w:val="17"/>
              </w:numPr>
              <w:spacing w:after="60"/>
              <w:ind w:left="2438" w:hanging="357"/>
              <w:contextualSpacing w:val="0"/>
              <w:rPr>
                <w:rFonts w:cstheme="minorHAnsi"/>
                <w:b/>
                <w:bCs/>
                <w:sz w:val="16"/>
                <w:szCs w:val="16"/>
              </w:rPr>
            </w:pPr>
            <w:r>
              <w:rPr>
                <w:rFonts w:ascii="Calibri" w:hAnsi="Calibri" w:cs="Arial"/>
                <w:sz w:val="16"/>
                <w:szCs w:val="16"/>
              </w:rPr>
              <w:t>F</w:t>
            </w:r>
            <w:r w:rsidR="00CE6BAE" w:rsidRPr="00A637E9">
              <w:rPr>
                <w:rFonts w:ascii="Calibri" w:hAnsi="Calibri" w:cs="Arial"/>
                <w:sz w:val="16"/>
                <w:szCs w:val="16"/>
              </w:rPr>
              <w:t xml:space="preserve">ollow-up session with government </w:t>
            </w:r>
            <w:r w:rsidR="00CE6BAE" w:rsidRPr="007A2069">
              <w:rPr>
                <w:rFonts w:cs="Arial"/>
                <w:sz w:val="16"/>
                <w:szCs w:val="16"/>
              </w:rPr>
              <w:t xml:space="preserve">officials </w:t>
            </w:r>
            <w:r w:rsidRPr="007A2069">
              <w:rPr>
                <w:rFonts w:cs="Arial"/>
                <w:sz w:val="16"/>
                <w:szCs w:val="16"/>
              </w:rPr>
              <w:t>i</w:t>
            </w:r>
            <w:r w:rsidRPr="007A2069">
              <w:rPr>
                <w:sz w:val="16"/>
                <w:szCs w:val="16"/>
              </w:rPr>
              <w:t>n December 2021</w:t>
            </w:r>
            <w:r>
              <w:rPr>
                <w:sz w:val="16"/>
                <w:szCs w:val="16"/>
              </w:rPr>
              <w:t xml:space="preserve"> </w:t>
            </w:r>
            <w:r w:rsidR="00A72925">
              <w:rPr>
                <w:sz w:val="16"/>
                <w:szCs w:val="16"/>
              </w:rPr>
              <w:t>to f</w:t>
            </w:r>
            <w:r w:rsidRPr="007A2069">
              <w:rPr>
                <w:rFonts w:cs="Arial"/>
                <w:sz w:val="16"/>
                <w:szCs w:val="16"/>
              </w:rPr>
              <w:t xml:space="preserve">urther discuss the approaches and tools being developed to support </w:t>
            </w:r>
            <w:r w:rsidR="00A72925">
              <w:rPr>
                <w:rFonts w:cs="Arial"/>
                <w:sz w:val="16"/>
                <w:szCs w:val="16"/>
              </w:rPr>
              <w:t xml:space="preserve">INFF </w:t>
            </w:r>
            <w:r w:rsidRPr="007A2069">
              <w:rPr>
                <w:rFonts w:cs="Arial"/>
                <w:sz w:val="16"/>
                <w:szCs w:val="16"/>
              </w:rPr>
              <w:t>implementation</w:t>
            </w:r>
            <w:r w:rsidR="00A72925">
              <w:rPr>
                <w:rFonts w:cs="Arial"/>
                <w:sz w:val="16"/>
                <w:szCs w:val="16"/>
              </w:rPr>
              <w:t xml:space="preserve"> (</w:t>
            </w:r>
            <w:r w:rsidR="00CE6BAE" w:rsidRPr="007A2069">
              <w:rPr>
                <w:rFonts w:cs="Arial"/>
                <w:sz w:val="16"/>
                <w:szCs w:val="16"/>
              </w:rPr>
              <w:t>during ESCWA 8th Executive Committee</w:t>
            </w:r>
            <w:r w:rsidR="00A72925">
              <w:rPr>
                <w:rFonts w:cs="Arial"/>
                <w:sz w:val="16"/>
                <w:szCs w:val="16"/>
              </w:rPr>
              <w:t xml:space="preserve"> meeting)</w:t>
            </w:r>
          </w:p>
          <w:p w14:paraId="525CE88C" w14:textId="77777777" w:rsidR="0091680F" w:rsidRDefault="005E70E3" w:rsidP="003B672F">
            <w:pPr>
              <w:pStyle w:val="NormalWeb"/>
              <w:numPr>
                <w:ilvl w:val="2"/>
                <w:numId w:val="17"/>
              </w:numPr>
              <w:spacing w:before="20" w:beforeAutospacing="0" w:after="60" w:afterAutospacing="0"/>
              <w:ind w:left="2438" w:hanging="357"/>
              <w:jc w:val="left"/>
              <w:rPr>
                <w:rFonts w:ascii="Calibri" w:hAnsi="Calibri" w:cs="Arial"/>
                <w:sz w:val="16"/>
                <w:szCs w:val="16"/>
              </w:rPr>
            </w:pPr>
            <w:r w:rsidRPr="00A637E9">
              <w:rPr>
                <w:rFonts w:ascii="Calibri" w:hAnsi="Calibri" w:cs="Arial"/>
                <w:sz w:val="16"/>
                <w:szCs w:val="16"/>
              </w:rPr>
              <w:t>High-</w:t>
            </w:r>
            <w:r>
              <w:rPr>
                <w:rFonts w:ascii="Calibri" w:hAnsi="Calibri" w:cs="Arial"/>
                <w:sz w:val="16"/>
                <w:szCs w:val="16"/>
              </w:rPr>
              <w:t>l</w:t>
            </w:r>
            <w:r w:rsidRPr="00A637E9">
              <w:rPr>
                <w:rFonts w:ascii="Calibri" w:hAnsi="Calibri" w:cs="Arial"/>
                <w:sz w:val="16"/>
                <w:szCs w:val="16"/>
              </w:rPr>
              <w:t xml:space="preserve">evel </w:t>
            </w:r>
            <w:r>
              <w:rPr>
                <w:rFonts w:ascii="Calibri" w:hAnsi="Calibri" w:cs="Arial"/>
                <w:sz w:val="16"/>
                <w:szCs w:val="16"/>
              </w:rPr>
              <w:t>p</w:t>
            </w:r>
            <w:r w:rsidRPr="00A637E9">
              <w:rPr>
                <w:rFonts w:ascii="Calibri" w:hAnsi="Calibri" w:cs="Arial"/>
                <w:sz w:val="16"/>
                <w:szCs w:val="16"/>
              </w:rPr>
              <w:t>lenary for Ministers of Planning and Finance</w:t>
            </w:r>
            <w:r>
              <w:rPr>
                <w:rFonts w:ascii="Calibri" w:hAnsi="Calibri" w:cs="Arial"/>
                <w:sz w:val="16"/>
                <w:szCs w:val="16"/>
              </w:rPr>
              <w:t xml:space="preserve"> in March 2022</w:t>
            </w:r>
            <w:r w:rsidRPr="00A637E9">
              <w:rPr>
                <w:rFonts w:ascii="Calibri" w:hAnsi="Calibri" w:cs="Arial"/>
                <w:sz w:val="16"/>
                <w:szCs w:val="16"/>
              </w:rPr>
              <w:t xml:space="preserve"> during the </w:t>
            </w:r>
            <w:hyperlink r:id="rId131" w:history="1">
              <w:r w:rsidRPr="00097136">
                <w:rPr>
                  <w:rStyle w:val="Hyperlink"/>
                  <w:rFonts w:ascii="Calibri" w:hAnsi="Calibri" w:cs="Arial"/>
                  <w:sz w:val="16"/>
                  <w:szCs w:val="16"/>
                </w:rPr>
                <w:t>Arab Forum on Sustainable Development</w:t>
              </w:r>
            </w:hyperlink>
            <w:r w:rsidR="0091680F" w:rsidRPr="0091680F">
              <w:rPr>
                <w:sz w:val="16"/>
                <w:szCs w:val="16"/>
              </w:rPr>
              <w:t xml:space="preserve"> (</w:t>
            </w:r>
            <w:r w:rsidRPr="00A637E9">
              <w:rPr>
                <w:rFonts w:ascii="Calibri" w:hAnsi="Calibri" w:cs="Arial"/>
                <w:sz w:val="16"/>
                <w:szCs w:val="16"/>
              </w:rPr>
              <w:t>included an information note on the state of INFF/Financing in the region</w:t>
            </w:r>
            <w:r w:rsidR="0091680F">
              <w:rPr>
                <w:rFonts w:ascii="Calibri" w:hAnsi="Calibri" w:cs="Arial"/>
                <w:sz w:val="16"/>
                <w:szCs w:val="16"/>
              </w:rPr>
              <w:t>)</w:t>
            </w:r>
          </w:p>
          <w:p w14:paraId="53575B7D" w14:textId="20198C1D" w:rsidR="005E70E3" w:rsidRDefault="002A613C" w:rsidP="003B672F">
            <w:pPr>
              <w:pStyle w:val="NormalWeb"/>
              <w:numPr>
                <w:ilvl w:val="2"/>
                <w:numId w:val="17"/>
              </w:numPr>
              <w:spacing w:before="20" w:beforeAutospacing="0" w:after="60" w:afterAutospacing="0"/>
              <w:ind w:left="2438" w:hanging="357"/>
              <w:jc w:val="left"/>
              <w:rPr>
                <w:rFonts w:ascii="Calibri" w:hAnsi="Calibri" w:cs="Arial"/>
                <w:sz w:val="16"/>
                <w:szCs w:val="16"/>
              </w:rPr>
            </w:pPr>
            <w:r>
              <w:rPr>
                <w:rFonts w:ascii="Calibri" w:hAnsi="Calibri" w:cs="Arial"/>
                <w:sz w:val="16"/>
                <w:szCs w:val="16"/>
              </w:rPr>
              <w:t>Further d</w:t>
            </w:r>
            <w:r w:rsidR="005E70E3" w:rsidRPr="00A637E9">
              <w:rPr>
                <w:rFonts w:ascii="Calibri" w:hAnsi="Calibri" w:cs="Arial"/>
                <w:sz w:val="16"/>
                <w:szCs w:val="16"/>
              </w:rPr>
              <w:t xml:space="preserve">iscussions during the 2023 High-level </w:t>
            </w:r>
            <w:r>
              <w:rPr>
                <w:rFonts w:ascii="Calibri" w:hAnsi="Calibri" w:cs="Arial"/>
                <w:sz w:val="16"/>
                <w:szCs w:val="16"/>
              </w:rPr>
              <w:t>p</w:t>
            </w:r>
            <w:r w:rsidR="005E70E3" w:rsidRPr="00A637E9">
              <w:rPr>
                <w:rFonts w:ascii="Calibri" w:hAnsi="Calibri" w:cs="Arial"/>
                <w:sz w:val="16"/>
                <w:szCs w:val="16"/>
              </w:rPr>
              <w:t xml:space="preserve">lenary </w:t>
            </w:r>
            <w:r>
              <w:rPr>
                <w:rFonts w:ascii="Calibri" w:hAnsi="Calibri" w:cs="Arial"/>
                <w:sz w:val="16"/>
                <w:szCs w:val="16"/>
              </w:rPr>
              <w:t>in March 2023</w:t>
            </w:r>
            <w:r w:rsidR="005E70E3" w:rsidRPr="00A637E9">
              <w:rPr>
                <w:rFonts w:ascii="Calibri" w:hAnsi="Calibri" w:cs="Arial"/>
                <w:sz w:val="16"/>
                <w:szCs w:val="16"/>
              </w:rPr>
              <w:t xml:space="preserve"> </w:t>
            </w:r>
          </w:p>
          <w:p w14:paraId="2F6010D2" w14:textId="2C076D37" w:rsidR="00111047" w:rsidRDefault="00111047" w:rsidP="003B672F">
            <w:pPr>
              <w:pStyle w:val="NormalWeb"/>
              <w:numPr>
                <w:ilvl w:val="2"/>
                <w:numId w:val="17"/>
              </w:numPr>
              <w:spacing w:before="20" w:beforeAutospacing="0" w:after="60" w:afterAutospacing="0"/>
              <w:ind w:left="2438" w:hanging="357"/>
              <w:jc w:val="left"/>
              <w:rPr>
                <w:rFonts w:ascii="Calibri" w:hAnsi="Calibri" w:cs="Arial"/>
                <w:sz w:val="16"/>
                <w:szCs w:val="16"/>
              </w:rPr>
            </w:pPr>
            <w:r>
              <w:rPr>
                <w:rFonts w:ascii="Calibri" w:hAnsi="Calibri" w:cs="Arial"/>
                <w:sz w:val="16"/>
                <w:szCs w:val="16"/>
              </w:rPr>
              <w:t xml:space="preserve">Region-wide webinar in April 2022 </w:t>
            </w:r>
            <w:r w:rsidRPr="00A637E9">
              <w:rPr>
                <w:rFonts w:ascii="Calibri" w:hAnsi="Calibri" w:cs="Arial"/>
                <w:sz w:val="16"/>
                <w:szCs w:val="16"/>
              </w:rPr>
              <w:t xml:space="preserve">to introduce RCOs and UNCTs to the online policy tools </w:t>
            </w:r>
            <w:r>
              <w:rPr>
                <w:rFonts w:ascii="Calibri" w:hAnsi="Calibri" w:cs="Arial"/>
                <w:sz w:val="16"/>
                <w:szCs w:val="16"/>
              </w:rPr>
              <w:t>for</w:t>
            </w:r>
            <w:r w:rsidRPr="00A637E9">
              <w:rPr>
                <w:rFonts w:ascii="Calibri" w:hAnsi="Calibri" w:cs="Arial"/>
                <w:sz w:val="16"/>
                <w:szCs w:val="16"/>
              </w:rPr>
              <w:t xml:space="preserve"> INFFs in the region</w:t>
            </w:r>
          </w:p>
          <w:p w14:paraId="0C8A994A" w14:textId="4AB82F93" w:rsidR="008809CC" w:rsidRPr="007F059A" w:rsidRDefault="003D494B" w:rsidP="003B672F">
            <w:pPr>
              <w:pStyle w:val="NormalWeb"/>
              <w:numPr>
                <w:ilvl w:val="2"/>
                <w:numId w:val="17"/>
              </w:numPr>
              <w:spacing w:before="20" w:beforeAutospacing="0" w:after="60" w:afterAutospacing="0"/>
              <w:ind w:left="2438" w:hanging="357"/>
              <w:jc w:val="left"/>
              <w:rPr>
                <w:rFonts w:ascii="Calibri" w:hAnsi="Calibri" w:cs="Arial"/>
                <w:sz w:val="16"/>
                <w:szCs w:val="16"/>
              </w:rPr>
            </w:pPr>
            <w:r w:rsidRPr="00A637E9">
              <w:rPr>
                <w:rFonts w:ascii="Calibri" w:hAnsi="Calibri" w:cs="Arial"/>
                <w:sz w:val="16"/>
                <w:szCs w:val="16"/>
              </w:rPr>
              <w:t>ESCWA Ministerial Session</w:t>
            </w:r>
            <w:r>
              <w:rPr>
                <w:rFonts w:ascii="Calibri" w:hAnsi="Calibri" w:cs="Arial"/>
                <w:sz w:val="16"/>
                <w:szCs w:val="16"/>
              </w:rPr>
              <w:t xml:space="preserve"> in December 2022</w:t>
            </w:r>
            <w:r w:rsidR="007F059A">
              <w:rPr>
                <w:rFonts w:ascii="Calibri" w:hAnsi="Calibri" w:cs="Arial"/>
                <w:sz w:val="16"/>
                <w:szCs w:val="16"/>
              </w:rPr>
              <w:t xml:space="preserve">, including a </w:t>
            </w:r>
            <w:r w:rsidR="007F059A" w:rsidRPr="00A637E9">
              <w:rPr>
                <w:rFonts w:ascii="Calibri" w:hAnsi="Calibri" w:cs="Arial"/>
                <w:sz w:val="16"/>
                <w:szCs w:val="16"/>
              </w:rPr>
              <w:t>report to brief Ministers on</w:t>
            </w:r>
            <w:r w:rsidR="007F059A">
              <w:rPr>
                <w:rFonts w:ascii="Calibri" w:hAnsi="Calibri" w:cs="Arial"/>
                <w:sz w:val="16"/>
                <w:szCs w:val="16"/>
              </w:rPr>
              <w:t xml:space="preserve"> FfD </w:t>
            </w:r>
            <w:r w:rsidR="007F059A" w:rsidRPr="00A637E9">
              <w:rPr>
                <w:rFonts w:ascii="Calibri" w:hAnsi="Calibri" w:cs="Arial"/>
                <w:sz w:val="16"/>
                <w:szCs w:val="16"/>
              </w:rPr>
              <w:t>and INFF-related activities</w:t>
            </w:r>
            <w:r w:rsidR="007F059A">
              <w:rPr>
                <w:rFonts w:ascii="Calibri" w:hAnsi="Calibri" w:cs="Arial"/>
                <w:sz w:val="16"/>
                <w:szCs w:val="16"/>
              </w:rPr>
              <w:t xml:space="preserve"> in the region</w:t>
            </w:r>
          </w:p>
        </w:tc>
      </w:tr>
      <w:tr w:rsidR="00C26785" w:rsidRPr="002A1AF1" w14:paraId="6B5B2EB4" w14:textId="77777777" w:rsidTr="00641224">
        <w:tc>
          <w:tcPr>
            <w:tcW w:w="9678" w:type="dxa"/>
          </w:tcPr>
          <w:p w14:paraId="4915FB6C" w14:textId="1B4D3131" w:rsidR="00C26785" w:rsidRPr="00C26785" w:rsidRDefault="00C26785" w:rsidP="003C2458">
            <w:pPr>
              <w:spacing w:after="120"/>
              <w:rPr>
                <w:rFonts w:cstheme="minorHAnsi"/>
                <w:b/>
                <w:bCs/>
                <w:sz w:val="16"/>
                <w:szCs w:val="16"/>
              </w:rPr>
            </w:pPr>
            <w:r w:rsidRPr="00C26785">
              <w:rPr>
                <w:rFonts w:cstheme="minorHAnsi"/>
                <w:b/>
                <w:bCs/>
                <w:sz w:val="16"/>
                <w:szCs w:val="16"/>
              </w:rPr>
              <w:lastRenderedPageBreak/>
              <w:t>OP 2.2</w:t>
            </w:r>
            <w:r w:rsidRPr="00C26785">
              <w:rPr>
                <w:rFonts w:cstheme="minorHAnsi"/>
                <w:sz w:val="16"/>
                <w:szCs w:val="16"/>
              </w:rPr>
              <w:t xml:space="preserve"> Follow up technical assistance to countries based on lessons learned and </w:t>
            </w:r>
            <w:r w:rsidR="006321A6">
              <w:rPr>
                <w:rFonts w:cstheme="minorHAnsi"/>
                <w:sz w:val="16"/>
                <w:szCs w:val="16"/>
              </w:rPr>
              <w:t>knowledge-exchange</w:t>
            </w:r>
            <w:r w:rsidRPr="00C26785">
              <w:rPr>
                <w:rFonts w:cstheme="minorHAnsi"/>
                <w:sz w:val="16"/>
                <w:szCs w:val="16"/>
              </w:rPr>
              <w:t xml:space="preserve"> at regional workshops, and/ or additional </w:t>
            </w:r>
            <w:r w:rsidR="006321A6">
              <w:rPr>
                <w:rFonts w:cstheme="minorHAnsi"/>
                <w:sz w:val="16"/>
                <w:szCs w:val="16"/>
              </w:rPr>
              <w:t>knowledge-exchange</w:t>
            </w:r>
            <w:r w:rsidRPr="00C26785">
              <w:rPr>
                <w:rFonts w:cstheme="minorHAnsi"/>
                <w:sz w:val="16"/>
                <w:szCs w:val="16"/>
              </w:rPr>
              <w:t xml:space="preserve"> between countries in the region</w:t>
            </w:r>
          </w:p>
        </w:tc>
      </w:tr>
      <w:tr w:rsidR="00C26785" w:rsidRPr="002A1AF1" w14:paraId="0C45D86A" w14:textId="77777777" w:rsidTr="008509C0">
        <w:tc>
          <w:tcPr>
            <w:tcW w:w="9678" w:type="dxa"/>
          </w:tcPr>
          <w:p w14:paraId="1A912901" w14:textId="77777777" w:rsidR="00A565C3" w:rsidRPr="00A565C3" w:rsidRDefault="00A565C3" w:rsidP="003B672F">
            <w:pPr>
              <w:pStyle w:val="ListParagraph"/>
              <w:numPr>
                <w:ilvl w:val="0"/>
                <w:numId w:val="93"/>
              </w:numPr>
              <w:contextualSpacing w:val="0"/>
              <w:rPr>
                <w:rFonts w:cstheme="minorHAnsi"/>
                <w:sz w:val="16"/>
                <w:szCs w:val="16"/>
              </w:rPr>
            </w:pPr>
            <w:r w:rsidRPr="00A565C3">
              <w:rPr>
                <w:rFonts w:cstheme="minorHAnsi"/>
                <w:b/>
                <w:bCs/>
                <w:sz w:val="16"/>
                <w:szCs w:val="16"/>
              </w:rPr>
              <w:t>Algeria:</w:t>
            </w:r>
            <w:r w:rsidRPr="00A565C3">
              <w:rPr>
                <w:rFonts w:cstheme="minorHAnsi"/>
                <w:sz w:val="16"/>
                <w:szCs w:val="16"/>
              </w:rPr>
              <w:t xml:space="preserve"> Formal request from Ministry of Finance to:</w:t>
            </w:r>
          </w:p>
          <w:p w14:paraId="4DDED5C4" w14:textId="117952C8" w:rsidR="00A565C3" w:rsidRPr="00A565C3" w:rsidRDefault="00A565C3" w:rsidP="003B672F">
            <w:pPr>
              <w:pStyle w:val="ListParagraph"/>
              <w:numPr>
                <w:ilvl w:val="0"/>
                <w:numId w:val="93"/>
              </w:numPr>
              <w:contextualSpacing w:val="0"/>
              <w:rPr>
                <w:rFonts w:cstheme="minorHAnsi"/>
                <w:sz w:val="16"/>
                <w:szCs w:val="16"/>
              </w:rPr>
            </w:pPr>
            <w:r w:rsidRPr="00A565C3">
              <w:rPr>
                <w:rFonts w:cstheme="minorHAnsi"/>
                <w:b/>
                <w:bCs/>
                <w:sz w:val="16"/>
                <w:szCs w:val="16"/>
              </w:rPr>
              <w:t xml:space="preserve">Bahrain: </w:t>
            </w:r>
            <w:r w:rsidRPr="00A565C3">
              <w:rPr>
                <w:rFonts w:cstheme="minorHAnsi"/>
                <w:sz w:val="16"/>
                <w:szCs w:val="16"/>
              </w:rPr>
              <w:t>Collaboration between</w:t>
            </w:r>
            <w:r w:rsidR="00724D60">
              <w:rPr>
                <w:rFonts w:cstheme="minorHAnsi"/>
                <w:sz w:val="16"/>
                <w:szCs w:val="16"/>
              </w:rPr>
              <w:t xml:space="preserve"> </w:t>
            </w:r>
            <w:r w:rsidR="0086137D">
              <w:rPr>
                <w:rFonts w:cstheme="minorHAnsi"/>
                <w:sz w:val="16"/>
                <w:szCs w:val="16"/>
              </w:rPr>
              <w:t>UN</w:t>
            </w:r>
            <w:r w:rsidRPr="00A565C3">
              <w:rPr>
                <w:rFonts w:cstheme="minorHAnsi"/>
                <w:sz w:val="16"/>
                <w:szCs w:val="16"/>
              </w:rPr>
              <w:t>ESCWA and RCO to advance the Financing for Sustainable Development agenda</w:t>
            </w:r>
          </w:p>
          <w:p w14:paraId="78BBA833" w14:textId="77777777"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Collaboration with RCO to assess the applicability of INFF tools</w:t>
            </w:r>
          </w:p>
          <w:p w14:paraId="5230B139" w14:textId="69FFB54C"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 xml:space="preserve">Conduct a virtual webinar for national policymakers on the operability of </w:t>
            </w:r>
            <w:r w:rsidR="0086137D">
              <w:rPr>
                <w:rFonts w:cs="Arial"/>
                <w:sz w:val="16"/>
                <w:szCs w:val="16"/>
              </w:rPr>
              <w:t>UN</w:t>
            </w:r>
            <w:r w:rsidRPr="00A565C3">
              <w:rPr>
                <w:rFonts w:cs="Arial"/>
                <w:sz w:val="16"/>
                <w:szCs w:val="16"/>
              </w:rPr>
              <w:t>ESCWA tools and the iBIT (conducted in May 2024, along with follow-up meeting)</w:t>
            </w:r>
          </w:p>
          <w:p w14:paraId="310BCBEC" w14:textId="77777777" w:rsidR="00A565C3" w:rsidRPr="00A565C3" w:rsidRDefault="00A565C3" w:rsidP="003B672F">
            <w:pPr>
              <w:pStyle w:val="NormalWeb"/>
              <w:numPr>
                <w:ilvl w:val="1"/>
                <w:numId w:val="93"/>
              </w:numPr>
              <w:spacing w:before="0" w:beforeAutospacing="0" w:after="0" w:afterAutospacing="0"/>
              <w:jc w:val="left"/>
              <w:rPr>
                <w:rFonts w:cs="Arial"/>
                <w:sz w:val="16"/>
                <w:szCs w:val="16"/>
              </w:rPr>
            </w:pPr>
            <w:r w:rsidRPr="00A565C3">
              <w:rPr>
                <w:rFonts w:cs="Arial"/>
                <w:sz w:val="16"/>
                <w:szCs w:val="16"/>
              </w:rPr>
              <w:t>Conduct a virtual workshop on the operability of the INFF tools for the country</w:t>
            </w:r>
          </w:p>
          <w:p w14:paraId="2C9AEC03" w14:textId="77777777" w:rsidR="00A565C3" w:rsidRPr="00A565C3" w:rsidRDefault="00A565C3" w:rsidP="003B672F">
            <w:pPr>
              <w:pStyle w:val="ListParagraph"/>
              <w:numPr>
                <w:ilvl w:val="1"/>
                <w:numId w:val="93"/>
              </w:numPr>
              <w:contextualSpacing w:val="0"/>
              <w:rPr>
                <w:rFonts w:cstheme="minorHAnsi"/>
                <w:b/>
                <w:bCs/>
                <w:sz w:val="16"/>
                <w:szCs w:val="16"/>
              </w:rPr>
            </w:pPr>
            <w:r w:rsidRPr="00A565C3">
              <w:rPr>
                <w:rFonts w:cs="Arial"/>
                <w:sz w:val="16"/>
                <w:szCs w:val="16"/>
              </w:rPr>
              <w:t>Consultation between ESCAP and the Pacific Islands Forum Secretariat (PIFS) to better understand regional perspectives on access to climate finance</w:t>
            </w:r>
          </w:p>
          <w:p w14:paraId="4E5CE94F" w14:textId="1C57314F" w:rsidR="00A565C3" w:rsidRPr="00A565C3" w:rsidRDefault="00A565C3" w:rsidP="003B672F">
            <w:pPr>
              <w:pStyle w:val="ListParagraph"/>
              <w:numPr>
                <w:ilvl w:val="1"/>
                <w:numId w:val="93"/>
              </w:numPr>
              <w:contextualSpacing w:val="0"/>
              <w:rPr>
                <w:rFonts w:cstheme="minorHAnsi"/>
                <w:sz w:val="16"/>
                <w:szCs w:val="16"/>
              </w:rPr>
            </w:pPr>
            <w:r w:rsidRPr="00A565C3">
              <w:rPr>
                <w:rFonts w:cstheme="minorHAnsi"/>
                <w:sz w:val="16"/>
                <w:szCs w:val="16"/>
              </w:rPr>
              <w:t xml:space="preserve">Develop </w:t>
            </w:r>
            <w:r w:rsidR="0086137D">
              <w:rPr>
                <w:rFonts w:cstheme="minorHAnsi"/>
                <w:sz w:val="16"/>
                <w:szCs w:val="16"/>
              </w:rPr>
              <w:t>UN</w:t>
            </w:r>
            <w:r w:rsidRPr="00A565C3">
              <w:rPr>
                <w:rFonts w:cs="Arial"/>
                <w:sz w:val="16"/>
                <w:szCs w:val="16"/>
              </w:rPr>
              <w:t xml:space="preserve">ESCWA INFF tools and iBIT </w:t>
            </w:r>
          </w:p>
          <w:p w14:paraId="5D6F5AB5" w14:textId="77777777" w:rsidR="00A565C3" w:rsidRPr="00A565C3" w:rsidRDefault="00A565C3" w:rsidP="003B672F">
            <w:pPr>
              <w:pStyle w:val="NormalWeb"/>
              <w:numPr>
                <w:ilvl w:val="1"/>
                <w:numId w:val="93"/>
              </w:numPr>
              <w:spacing w:before="0" w:beforeAutospacing="0" w:after="0" w:afterAutospacing="0"/>
              <w:jc w:val="left"/>
              <w:rPr>
                <w:rFonts w:cs="Arial"/>
                <w:sz w:val="16"/>
                <w:szCs w:val="16"/>
              </w:rPr>
            </w:pPr>
            <w:r w:rsidRPr="00A565C3">
              <w:rPr>
                <w:rFonts w:cs="Arial"/>
                <w:sz w:val="16"/>
                <w:szCs w:val="16"/>
              </w:rPr>
              <w:t>Develop the national Budgeting Network Heatmap; Compass; and iBIT</w:t>
            </w:r>
          </w:p>
          <w:p w14:paraId="13F7B7E2" w14:textId="0694F8C6"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 xml:space="preserve">Joint discussions between </w:t>
            </w:r>
            <w:r w:rsidR="0086137D">
              <w:rPr>
                <w:rFonts w:cs="Arial"/>
                <w:sz w:val="16"/>
                <w:szCs w:val="16"/>
              </w:rPr>
              <w:t>UN</w:t>
            </w:r>
            <w:r w:rsidRPr="00A565C3">
              <w:rPr>
                <w:rFonts w:cs="Arial"/>
                <w:sz w:val="16"/>
                <w:szCs w:val="16"/>
              </w:rPr>
              <w:t xml:space="preserve">ESCWA and RCO in 2023 to initiate the INFF process and apply the </w:t>
            </w:r>
            <w:r w:rsidR="0086137D">
              <w:rPr>
                <w:rFonts w:cs="Arial"/>
                <w:sz w:val="16"/>
                <w:szCs w:val="16"/>
              </w:rPr>
              <w:t>UN</w:t>
            </w:r>
            <w:r w:rsidRPr="00A565C3">
              <w:rPr>
                <w:rFonts w:cs="Arial"/>
                <w:sz w:val="16"/>
                <w:szCs w:val="16"/>
              </w:rPr>
              <w:t xml:space="preserve">ESCWA tools to national context </w:t>
            </w:r>
          </w:p>
          <w:p w14:paraId="3068D5E2" w14:textId="77777777" w:rsidR="00A565C3" w:rsidRDefault="00A565C3" w:rsidP="003B672F">
            <w:pPr>
              <w:pStyle w:val="NormalWeb"/>
              <w:numPr>
                <w:ilvl w:val="0"/>
                <w:numId w:val="93"/>
              </w:numPr>
              <w:spacing w:before="0" w:beforeAutospacing="0" w:after="0" w:afterAutospacing="0"/>
              <w:jc w:val="left"/>
              <w:rPr>
                <w:rFonts w:ascii="Calibri" w:hAnsi="Calibri" w:cs="Arial"/>
                <w:sz w:val="16"/>
                <w:szCs w:val="16"/>
              </w:rPr>
            </w:pPr>
            <w:r w:rsidRPr="0067644C">
              <w:rPr>
                <w:rFonts w:ascii="Calibri" w:hAnsi="Calibri" w:cs="Arial"/>
                <w:b/>
                <w:bCs/>
                <w:sz w:val="16"/>
                <w:szCs w:val="16"/>
              </w:rPr>
              <w:t>Costa Rica:</w:t>
            </w:r>
            <w:r>
              <w:rPr>
                <w:rFonts w:ascii="Calibri" w:hAnsi="Calibri" w:cs="Arial"/>
                <w:sz w:val="16"/>
                <w:szCs w:val="16"/>
              </w:rPr>
              <w:t xml:space="preserve"> Interchange between </w:t>
            </w:r>
            <w:r w:rsidRPr="003C6444">
              <w:rPr>
                <w:rFonts w:ascii="Calibri" w:hAnsi="Calibri" w:cs="Arial"/>
                <w:sz w:val="16"/>
                <w:szCs w:val="16"/>
              </w:rPr>
              <w:t xml:space="preserve">high-level </w:t>
            </w:r>
            <w:r>
              <w:rPr>
                <w:rFonts w:ascii="Calibri" w:hAnsi="Calibri" w:cs="Arial"/>
                <w:sz w:val="16"/>
                <w:szCs w:val="16"/>
              </w:rPr>
              <w:t>officials of the Costa Rica M</w:t>
            </w:r>
            <w:r w:rsidRPr="003C6444">
              <w:rPr>
                <w:rFonts w:ascii="Calibri" w:hAnsi="Calibri" w:cs="Arial"/>
                <w:sz w:val="16"/>
                <w:szCs w:val="16"/>
              </w:rPr>
              <w:t xml:space="preserve">inistry of </w:t>
            </w:r>
            <w:r>
              <w:rPr>
                <w:rFonts w:ascii="Calibri" w:hAnsi="Calibri" w:cs="Arial"/>
                <w:sz w:val="16"/>
                <w:szCs w:val="16"/>
              </w:rPr>
              <w:t>F</w:t>
            </w:r>
            <w:r w:rsidRPr="003C6444">
              <w:rPr>
                <w:rFonts w:ascii="Calibri" w:hAnsi="Calibri" w:cs="Arial"/>
                <w:sz w:val="16"/>
                <w:szCs w:val="16"/>
              </w:rPr>
              <w:t xml:space="preserve">inance and Mexico on </w:t>
            </w:r>
            <w:r>
              <w:rPr>
                <w:rFonts w:ascii="Calibri" w:hAnsi="Calibri" w:cs="Arial"/>
                <w:sz w:val="16"/>
                <w:szCs w:val="16"/>
              </w:rPr>
              <w:t>s</w:t>
            </w:r>
            <w:r w:rsidRPr="003C6444">
              <w:rPr>
                <w:rFonts w:ascii="Calibri" w:hAnsi="Calibri" w:cs="Arial"/>
                <w:sz w:val="16"/>
                <w:szCs w:val="16"/>
              </w:rPr>
              <w:t xml:space="preserve">ustainable </w:t>
            </w:r>
            <w:r>
              <w:rPr>
                <w:rFonts w:ascii="Calibri" w:hAnsi="Calibri" w:cs="Arial"/>
                <w:sz w:val="16"/>
                <w:szCs w:val="16"/>
              </w:rPr>
              <w:t>s</w:t>
            </w:r>
            <w:r w:rsidRPr="003C6444">
              <w:rPr>
                <w:rFonts w:ascii="Calibri" w:hAnsi="Calibri" w:cs="Arial"/>
                <w:sz w:val="16"/>
                <w:szCs w:val="16"/>
              </w:rPr>
              <w:t xml:space="preserve">overeign </w:t>
            </w:r>
            <w:r>
              <w:rPr>
                <w:rFonts w:ascii="Calibri" w:hAnsi="Calibri" w:cs="Arial"/>
                <w:sz w:val="16"/>
                <w:szCs w:val="16"/>
              </w:rPr>
              <w:t>b</w:t>
            </w:r>
            <w:r w:rsidRPr="003C6444">
              <w:rPr>
                <w:rFonts w:ascii="Calibri" w:hAnsi="Calibri" w:cs="Arial"/>
                <w:sz w:val="16"/>
                <w:szCs w:val="16"/>
              </w:rPr>
              <w:t xml:space="preserve">ond </w:t>
            </w:r>
            <w:r>
              <w:rPr>
                <w:rFonts w:ascii="Calibri" w:hAnsi="Calibri" w:cs="Arial"/>
                <w:sz w:val="16"/>
                <w:szCs w:val="16"/>
              </w:rPr>
              <w:t>f</w:t>
            </w:r>
            <w:r w:rsidRPr="003C6444">
              <w:rPr>
                <w:rFonts w:ascii="Calibri" w:hAnsi="Calibri" w:cs="Arial"/>
                <w:sz w:val="16"/>
                <w:szCs w:val="16"/>
              </w:rPr>
              <w:t>ramework</w:t>
            </w:r>
            <w:r>
              <w:rPr>
                <w:rFonts w:ascii="Calibri" w:hAnsi="Calibri" w:cs="Arial"/>
                <w:sz w:val="16"/>
                <w:szCs w:val="16"/>
              </w:rPr>
              <w:t>s</w:t>
            </w:r>
          </w:p>
          <w:p w14:paraId="63723BB1" w14:textId="1C187A68" w:rsidR="00A565C3" w:rsidRPr="00A565C3" w:rsidRDefault="00A565C3" w:rsidP="003B672F">
            <w:pPr>
              <w:pStyle w:val="ListParagraph"/>
              <w:numPr>
                <w:ilvl w:val="0"/>
                <w:numId w:val="93"/>
              </w:numPr>
              <w:ind w:left="720" w:hanging="363"/>
              <w:contextualSpacing w:val="0"/>
              <w:rPr>
                <w:rFonts w:cstheme="minorHAnsi"/>
                <w:sz w:val="16"/>
                <w:szCs w:val="16"/>
              </w:rPr>
            </w:pPr>
            <w:r>
              <w:rPr>
                <w:rFonts w:ascii="Calibri" w:hAnsi="Calibri" w:cs="Arial"/>
                <w:b/>
                <w:bCs/>
                <w:sz w:val="16"/>
                <w:szCs w:val="16"/>
              </w:rPr>
              <w:lastRenderedPageBreak/>
              <w:t>Dominican Republic</w:t>
            </w:r>
            <w:r w:rsidRPr="00E922C6">
              <w:rPr>
                <w:rFonts w:ascii="Calibri" w:hAnsi="Calibri" w:cs="Arial"/>
                <w:sz w:val="16"/>
                <w:szCs w:val="16"/>
              </w:rPr>
              <w:t>:</w:t>
            </w:r>
            <w:r>
              <w:rPr>
                <w:rFonts w:ascii="Calibri" w:hAnsi="Calibri" w:cs="Arial"/>
                <w:sz w:val="16"/>
                <w:szCs w:val="16"/>
              </w:rPr>
              <w:t xml:space="preserve"> Request to UNECLA</w:t>
            </w:r>
            <w:r w:rsidR="0086137D">
              <w:rPr>
                <w:rFonts w:ascii="Calibri" w:hAnsi="Calibri" w:cs="Arial"/>
                <w:sz w:val="16"/>
                <w:szCs w:val="16"/>
              </w:rPr>
              <w:t>C</w:t>
            </w:r>
            <w:r>
              <w:rPr>
                <w:rFonts w:ascii="Calibri" w:hAnsi="Calibri" w:cs="Arial"/>
                <w:sz w:val="16"/>
                <w:szCs w:val="16"/>
              </w:rPr>
              <w:t xml:space="preserve"> to facilitate the participation by Colombia in the final project workshop for experience-sharing on </w:t>
            </w:r>
            <w:r w:rsidRPr="00E922C6">
              <w:rPr>
                <w:rFonts w:ascii="Calibri" w:hAnsi="Calibri" w:cs="Arial"/>
                <w:sz w:val="16"/>
                <w:szCs w:val="16"/>
              </w:rPr>
              <w:t>budgetary processes and SDGs financing</w:t>
            </w:r>
            <w:r>
              <w:rPr>
                <w:rFonts w:ascii="Calibri" w:hAnsi="Calibri" w:cs="Arial"/>
                <w:sz w:val="16"/>
                <w:szCs w:val="16"/>
              </w:rPr>
              <w:t xml:space="preserve"> in Colombia</w:t>
            </w:r>
          </w:p>
          <w:p w14:paraId="215622AF" w14:textId="52B42167" w:rsidR="00A565C3" w:rsidRPr="00A565C3" w:rsidRDefault="00A565C3" w:rsidP="003B672F">
            <w:pPr>
              <w:pStyle w:val="ListParagraph"/>
              <w:numPr>
                <w:ilvl w:val="0"/>
                <w:numId w:val="93"/>
              </w:numPr>
              <w:ind w:left="720" w:hanging="363"/>
              <w:contextualSpacing w:val="0"/>
              <w:rPr>
                <w:rFonts w:cstheme="minorHAnsi"/>
                <w:sz w:val="16"/>
                <w:szCs w:val="16"/>
              </w:rPr>
            </w:pPr>
            <w:r w:rsidRPr="00A565C3">
              <w:rPr>
                <w:rFonts w:cs="Arial"/>
                <w:b/>
                <w:bCs/>
                <w:sz w:val="16"/>
                <w:szCs w:val="16"/>
              </w:rPr>
              <w:t xml:space="preserve">Kingdom of Saudi Arabia: </w:t>
            </w:r>
          </w:p>
          <w:p w14:paraId="007D554A" w14:textId="4ECAA128" w:rsidR="00A565C3" w:rsidRPr="00A565C3" w:rsidRDefault="00A565C3" w:rsidP="003B672F">
            <w:pPr>
              <w:pStyle w:val="ListParagraph"/>
              <w:numPr>
                <w:ilvl w:val="0"/>
                <w:numId w:val="93"/>
              </w:numPr>
              <w:contextualSpacing w:val="0"/>
              <w:rPr>
                <w:rFonts w:cstheme="minorHAnsi"/>
                <w:b/>
                <w:bCs/>
                <w:sz w:val="16"/>
                <w:szCs w:val="16"/>
              </w:rPr>
            </w:pPr>
            <w:r w:rsidRPr="00A565C3">
              <w:rPr>
                <w:rFonts w:cs="Arial"/>
                <w:b/>
                <w:bCs/>
                <w:sz w:val="16"/>
                <w:szCs w:val="16"/>
              </w:rPr>
              <w:t>Lebanon</w:t>
            </w:r>
            <w:r w:rsidRPr="00A565C3">
              <w:rPr>
                <w:rFonts w:cs="Arial"/>
                <w:sz w:val="16"/>
                <w:szCs w:val="16"/>
              </w:rPr>
              <w:t>: Joint formulation of a project proposal in 2023 to develop an INFF (</w:t>
            </w:r>
            <w:r w:rsidR="0086137D">
              <w:rPr>
                <w:rFonts w:cs="Arial"/>
                <w:sz w:val="16"/>
                <w:szCs w:val="16"/>
              </w:rPr>
              <w:t>UN</w:t>
            </w:r>
            <w:r w:rsidRPr="00A565C3">
              <w:rPr>
                <w:rFonts w:cs="Arial"/>
                <w:sz w:val="16"/>
                <w:szCs w:val="16"/>
              </w:rPr>
              <w:t>ESCWA, in collaboration with RCO and UNCT)</w:t>
            </w:r>
          </w:p>
          <w:p w14:paraId="633DB6D2" w14:textId="77777777" w:rsidR="00A565C3" w:rsidRPr="00A565C3" w:rsidRDefault="00A565C3" w:rsidP="003B672F">
            <w:pPr>
              <w:pStyle w:val="ListParagraph"/>
              <w:numPr>
                <w:ilvl w:val="0"/>
                <w:numId w:val="93"/>
              </w:numPr>
              <w:contextualSpacing w:val="0"/>
              <w:rPr>
                <w:rFonts w:cstheme="minorHAnsi"/>
                <w:b/>
                <w:bCs/>
                <w:sz w:val="16"/>
                <w:szCs w:val="16"/>
              </w:rPr>
            </w:pPr>
            <w:r w:rsidRPr="00A565C3">
              <w:rPr>
                <w:rFonts w:cs="Arial"/>
                <w:b/>
                <w:bCs/>
                <w:sz w:val="16"/>
                <w:szCs w:val="16"/>
              </w:rPr>
              <w:t>Mauritania</w:t>
            </w:r>
            <w:r w:rsidRPr="00A565C3">
              <w:rPr>
                <w:rFonts w:cs="Arial"/>
                <w:sz w:val="16"/>
                <w:szCs w:val="16"/>
              </w:rPr>
              <w:t xml:space="preserve">: </w:t>
            </w:r>
          </w:p>
          <w:p w14:paraId="519B864F" w14:textId="77777777" w:rsidR="00A565C3" w:rsidRPr="00A565C3" w:rsidRDefault="00A565C3" w:rsidP="003B672F">
            <w:pPr>
              <w:pStyle w:val="NormalWeb"/>
              <w:numPr>
                <w:ilvl w:val="1"/>
                <w:numId w:val="93"/>
              </w:numPr>
              <w:spacing w:before="0" w:beforeAutospacing="0" w:after="0" w:afterAutospacing="0"/>
              <w:jc w:val="left"/>
              <w:rPr>
                <w:rFonts w:cs="Arial"/>
                <w:sz w:val="16"/>
                <w:szCs w:val="16"/>
              </w:rPr>
            </w:pPr>
            <w:r w:rsidRPr="00A565C3">
              <w:rPr>
                <w:rFonts w:cs="Arial"/>
                <w:sz w:val="16"/>
                <w:szCs w:val="16"/>
              </w:rPr>
              <w:t>Organize a national stakeholder validation workshop</w:t>
            </w:r>
          </w:p>
          <w:p w14:paraId="567C58D8" w14:textId="77777777"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Organize a national training workshop on the tools for officials</w:t>
            </w:r>
          </w:p>
          <w:p w14:paraId="7E749C54" w14:textId="77777777" w:rsidR="00A565C3" w:rsidRPr="0068693B" w:rsidRDefault="00A565C3" w:rsidP="003B672F">
            <w:pPr>
              <w:pStyle w:val="ListParagraph"/>
              <w:numPr>
                <w:ilvl w:val="0"/>
                <w:numId w:val="93"/>
              </w:numPr>
              <w:contextualSpacing w:val="0"/>
              <w:rPr>
                <w:rFonts w:cstheme="minorHAnsi"/>
                <w:b/>
                <w:bCs/>
                <w:sz w:val="16"/>
                <w:szCs w:val="16"/>
              </w:rPr>
            </w:pPr>
            <w:r w:rsidRPr="004D259B">
              <w:rPr>
                <w:rFonts w:cs="Arial"/>
                <w:b/>
                <w:bCs/>
                <w:sz w:val="16"/>
                <w:szCs w:val="16"/>
              </w:rPr>
              <w:t>Oman</w:t>
            </w:r>
            <w:r w:rsidRPr="004D259B">
              <w:rPr>
                <w:rFonts w:cs="Arial"/>
                <w:sz w:val="16"/>
                <w:szCs w:val="16"/>
              </w:rPr>
              <w:t>:</w:t>
            </w:r>
            <w:r>
              <w:rPr>
                <w:rFonts w:cs="Arial"/>
                <w:sz w:val="16"/>
                <w:szCs w:val="16"/>
              </w:rPr>
              <w:t xml:space="preserve"> </w:t>
            </w:r>
          </w:p>
          <w:p w14:paraId="5A9E4258" w14:textId="527D293C" w:rsidR="00A565C3" w:rsidRPr="0014558B" w:rsidRDefault="00A565C3" w:rsidP="00A565C3">
            <w:pPr>
              <w:ind w:left="720"/>
              <w:rPr>
                <w:rFonts w:cstheme="minorHAnsi"/>
                <w:sz w:val="16"/>
                <w:szCs w:val="16"/>
              </w:rPr>
            </w:pPr>
            <w:r>
              <w:rPr>
                <w:rFonts w:cstheme="minorHAnsi"/>
                <w:sz w:val="16"/>
                <w:szCs w:val="16"/>
              </w:rPr>
              <w:t xml:space="preserve">Requests from Ministry of Economy to </w:t>
            </w:r>
            <w:r w:rsidR="0086137D">
              <w:rPr>
                <w:rFonts w:cstheme="minorHAnsi"/>
                <w:sz w:val="16"/>
                <w:szCs w:val="16"/>
              </w:rPr>
              <w:t>UN</w:t>
            </w:r>
            <w:r>
              <w:rPr>
                <w:rFonts w:cstheme="minorHAnsi"/>
                <w:sz w:val="16"/>
                <w:szCs w:val="16"/>
              </w:rPr>
              <w:t>ESCWA:</w:t>
            </w:r>
          </w:p>
          <w:p w14:paraId="0463FF51" w14:textId="77777777" w:rsidR="00A565C3" w:rsidRPr="00A632AE" w:rsidRDefault="00A565C3" w:rsidP="003B672F">
            <w:pPr>
              <w:pStyle w:val="ListParagraph"/>
              <w:numPr>
                <w:ilvl w:val="1"/>
                <w:numId w:val="93"/>
              </w:numPr>
              <w:spacing w:before="60" w:after="60"/>
              <w:ind w:left="1440" w:hanging="357"/>
              <w:contextualSpacing w:val="0"/>
              <w:rPr>
                <w:rFonts w:cstheme="minorHAnsi"/>
                <w:sz w:val="16"/>
                <w:szCs w:val="16"/>
              </w:rPr>
            </w:pPr>
            <w:r w:rsidRPr="00A632AE">
              <w:rPr>
                <w:rFonts w:cstheme="minorHAnsi"/>
                <w:sz w:val="16"/>
                <w:szCs w:val="16"/>
              </w:rPr>
              <w:t xml:space="preserve">Development of comprehensive project proposal for a </w:t>
            </w:r>
            <w:r w:rsidRPr="00A632AE">
              <w:rPr>
                <w:rFonts w:ascii="Calibri" w:hAnsi="Calibri" w:cs="Arial"/>
                <w:sz w:val="16"/>
                <w:szCs w:val="16"/>
              </w:rPr>
              <w:t>mid-term review and evaluation of the 10th National Development Plan to inform a framework for INFF development; the development of the 11</w:t>
            </w:r>
            <w:r w:rsidRPr="00A632AE">
              <w:rPr>
                <w:rFonts w:ascii="Calibri" w:hAnsi="Calibri" w:cs="Arial"/>
                <w:sz w:val="16"/>
                <w:szCs w:val="16"/>
                <w:vertAlign w:val="superscript"/>
              </w:rPr>
              <w:t>th</w:t>
            </w:r>
            <w:r w:rsidRPr="00A632AE">
              <w:rPr>
                <w:rFonts w:ascii="Calibri" w:hAnsi="Calibri" w:cs="Arial"/>
                <w:sz w:val="16"/>
                <w:szCs w:val="16"/>
              </w:rPr>
              <w:t xml:space="preserve"> five-year National Development Plan; and alignment with Oman Vision 2040</w:t>
            </w:r>
            <w:r>
              <w:rPr>
                <w:rFonts w:ascii="Calibri" w:hAnsi="Calibri" w:cs="Arial"/>
                <w:sz w:val="16"/>
                <w:szCs w:val="16"/>
              </w:rPr>
              <w:t xml:space="preserve"> (</w:t>
            </w:r>
            <w:r>
              <w:rPr>
                <w:rFonts w:cs="Arial"/>
                <w:sz w:val="16"/>
                <w:szCs w:val="16"/>
              </w:rPr>
              <w:t>2023)</w:t>
            </w:r>
          </w:p>
          <w:p w14:paraId="0B4675A2" w14:textId="77777777" w:rsidR="00A565C3" w:rsidRPr="00A632AE" w:rsidRDefault="00A565C3" w:rsidP="003B672F">
            <w:pPr>
              <w:pStyle w:val="ListParagraph"/>
              <w:numPr>
                <w:ilvl w:val="1"/>
                <w:numId w:val="93"/>
              </w:numPr>
              <w:spacing w:before="60" w:after="60"/>
              <w:ind w:left="1440" w:hanging="357"/>
              <w:contextualSpacing w:val="0"/>
              <w:rPr>
                <w:rFonts w:cstheme="minorHAnsi"/>
                <w:sz w:val="16"/>
                <w:szCs w:val="16"/>
              </w:rPr>
            </w:pPr>
            <w:r w:rsidRPr="00A632AE">
              <w:rPr>
                <w:rFonts w:cstheme="minorHAnsi"/>
                <w:sz w:val="16"/>
                <w:szCs w:val="16"/>
              </w:rPr>
              <w:t xml:space="preserve">National stakeholder validation workshop held in May 2024 to </w:t>
            </w:r>
            <w:r w:rsidRPr="00A632AE">
              <w:rPr>
                <w:rFonts w:ascii="Calibri" w:hAnsi="Calibri" w:cs="Arial"/>
                <w:sz w:val="16"/>
                <w:szCs w:val="16"/>
              </w:rPr>
              <w:t>validate the findings of the FfD tools</w:t>
            </w:r>
            <w:r>
              <w:rPr>
                <w:rFonts w:ascii="Calibri" w:hAnsi="Calibri" w:cs="Arial"/>
                <w:sz w:val="16"/>
                <w:szCs w:val="16"/>
              </w:rPr>
              <w:t xml:space="preserve"> </w:t>
            </w:r>
          </w:p>
          <w:p w14:paraId="291B8BF7" w14:textId="77777777" w:rsidR="00A565C3" w:rsidRPr="0014558B" w:rsidRDefault="00A565C3" w:rsidP="00A565C3">
            <w:pPr>
              <w:ind w:left="720"/>
              <w:rPr>
                <w:rFonts w:cstheme="minorHAnsi"/>
                <w:sz w:val="16"/>
                <w:szCs w:val="16"/>
              </w:rPr>
            </w:pPr>
            <w:r>
              <w:rPr>
                <w:rFonts w:cstheme="minorHAnsi"/>
                <w:sz w:val="16"/>
                <w:szCs w:val="16"/>
              </w:rPr>
              <w:t>Request from Ministry of Finance:</w:t>
            </w:r>
          </w:p>
          <w:p w14:paraId="20D53A7B" w14:textId="77777777" w:rsidR="00A565C3" w:rsidRPr="00A632AE" w:rsidRDefault="00A565C3" w:rsidP="003B672F">
            <w:pPr>
              <w:pStyle w:val="ListParagraph"/>
              <w:numPr>
                <w:ilvl w:val="1"/>
                <w:numId w:val="93"/>
              </w:numPr>
              <w:contextualSpacing w:val="0"/>
              <w:rPr>
                <w:rFonts w:cstheme="minorHAnsi"/>
                <w:sz w:val="16"/>
                <w:szCs w:val="16"/>
              </w:rPr>
            </w:pPr>
            <w:r>
              <w:rPr>
                <w:rFonts w:cstheme="minorHAnsi"/>
                <w:sz w:val="16"/>
                <w:szCs w:val="16"/>
              </w:rPr>
              <w:t xml:space="preserve">Assessment of the </w:t>
            </w:r>
            <w:r w:rsidRPr="00BB467D">
              <w:rPr>
                <w:rFonts w:ascii="Calibri" w:hAnsi="Calibri" w:cs="Arial"/>
                <w:sz w:val="16"/>
                <w:szCs w:val="16"/>
              </w:rPr>
              <w:t>impact of economic and social policies</w:t>
            </w:r>
            <w:r>
              <w:rPr>
                <w:rFonts w:ascii="Calibri" w:hAnsi="Calibri" w:cs="Arial"/>
                <w:sz w:val="16"/>
                <w:szCs w:val="16"/>
              </w:rPr>
              <w:t xml:space="preserve"> </w:t>
            </w:r>
            <w:r w:rsidRPr="00BB467D">
              <w:rPr>
                <w:rFonts w:ascii="Calibri" w:hAnsi="Calibri" w:cs="Arial"/>
                <w:sz w:val="16"/>
                <w:szCs w:val="16"/>
              </w:rPr>
              <w:t>amid declining oil revenues</w:t>
            </w:r>
            <w:r>
              <w:rPr>
                <w:rFonts w:ascii="Calibri" w:hAnsi="Calibri" w:cs="Arial"/>
                <w:sz w:val="16"/>
                <w:szCs w:val="16"/>
              </w:rPr>
              <w:t xml:space="preserve"> </w:t>
            </w:r>
          </w:p>
          <w:p w14:paraId="2F31398E" w14:textId="77777777" w:rsidR="00A565C3" w:rsidRPr="00A632AE" w:rsidRDefault="00A565C3" w:rsidP="003B672F">
            <w:pPr>
              <w:pStyle w:val="ListParagraph"/>
              <w:numPr>
                <w:ilvl w:val="1"/>
                <w:numId w:val="93"/>
              </w:numPr>
              <w:contextualSpacing w:val="0"/>
              <w:rPr>
                <w:rFonts w:cstheme="minorHAnsi"/>
                <w:sz w:val="16"/>
                <w:szCs w:val="16"/>
              </w:rPr>
            </w:pPr>
            <w:r>
              <w:rPr>
                <w:rFonts w:cstheme="minorHAnsi"/>
                <w:sz w:val="16"/>
                <w:szCs w:val="16"/>
              </w:rPr>
              <w:t>Draft report shared with Ministry of Finance stakeholders</w:t>
            </w:r>
          </w:p>
          <w:p w14:paraId="7B692FA1" w14:textId="6DF41CA5" w:rsidR="00A565C3" w:rsidRPr="00A565C3" w:rsidRDefault="00A565C3" w:rsidP="003B672F">
            <w:pPr>
              <w:pStyle w:val="ListParagraph"/>
              <w:numPr>
                <w:ilvl w:val="0"/>
                <w:numId w:val="93"/>
              </w:numPr>
              <w:contextualSpacing w:val="0"/>
              <w:rPr>
                <w:rFonts w:cstheme="minorHAnsi"/>
                <w:b/>
                <w:bCs/>
                <w:sz w:val="16"/>
                <w:szCs w:val="16"/>
              </w:rPr>
            </w:pPr>
            <w:r w:rsidRPr="00A565C3">
              <w:rPr>
                <w:rFonts w:cs="Arial"/>
                <w:b/>
                <w:bCs/>
                <w:sz w:val="16"/>
                <w:szCs w:val="16"/>
              </w:rPr>
              <w:t>Pacific SIDS:</w:t>
            </w:r>
          </w:p>
          <w:p w14:paraId="0D55398A" w14:textId="72CD87C8" w:rsidR="00A565C3" w:rsidRPr="00A565C3" w:rsidRDefault="00A565C3" w:rsidP="003B672F">
            <w:pPr>
              <w:pStyle w:val="ListParagraph"/>
              <w:numPr>
                <w:ilvl w:val="1"/>
                <w:numId w:val="93"/>
              </w:numPr>
              <w:contextualSpacing w:val="0"/>
              <w:rPr>
                <w:rFonts w:cstheme="minorHAnsi"/>
                <w:b/>
                <w:bCs/>
                <w:sz w:val="16"/>
                <w:szCs w:val="16"/>
              </w:rPr>
            </w:pPr>
            <w:r w:rsidRPr="00A565C3">
              <w:rPr>
                <w:rFonts w:cs="Arial"/>
                <w:sz w:val="16"/>
                <w:szCs w:val="16"/>
              </w:rPr>
              <w:t>Request from</w:t>
            </w:r>
            <w:r w:rsidRPr="00A565C3">
              <w:rPr>
                <w:rFonts w:cs="Arial"/>
                <w:b/>
                <w:sz w:val="16"/>
                <w:szCs w:val="16"/>
              </w:rPr>
              <w:t xml:space="preserve"> </w:t>
            </w:r>
            <w:r w:rsidRPr="00A565C3">
              <w:rPr>
                <w:rFonts w:cs="Arial"/>
                <w:sz w:val="16"/>
                <w:szCs w:val="16"/>
              </w:rPr>
              <w:t xml:space="preserve">Ministry of Economy and Sustainable Development to </w:t>
            </w:r>
            <w:r w:rsidR="0086137D">
              <w:rPr>
                <w:rFonts w:cs="Arial"/>
                <w:sz w:val="16"/>
                <w:szCs w:val="16"/>
              </w:rPr>
              <w:t>UN</w:t>
            </w:r>
            <w:r w:rsidRPr="00A565C3">
              <w:rPr>
                <w:rFonts w:cs="Arial"/>
                <w:sz w:val="16"/>
                <w:szCs w:val="16"/>
              </w:rPr>
              <w:t>ESCWA to organize an INFF inception workshop</w:t>
            </w:r>
          </w:p>
          <w:p w14:paraId="198D14F6" w14:textId="77777777" w:rsidR="00A565C3" w:rsidRPr="00A565C3" w:rsidRDefault="00A565C3" w:rsidP="003B672F">
            <w:pPr>
              <w:pStyle w:val="ListParagraph"/>
              <w:numPr>
                <w:ilvl w:val="1"/>
                <w:numId w:val="93"/>
              </w:numPr>
              <w:contextualSpacing w:val="0"/>
              <w:rPr>
                <w:rFonts w:cstheme="minorHAnsi"/>
                <w:sz w:val="16"/>
                <w:szCs w:val="16"/>
              </w:rPr>
            </w:pPr>
            <w:r w:rsidRPr="00A565C3">
              <w:rPr>
                <w:rFonts w:cs="Arial"/>
                <w:sz w:val="16"/>
                <w:szCs w:val="16"/>
              </w:rPr>
              <w:t>Request from PIFS for a report on Options for the Pacific SIDS to enhance access to climate finance through a regional programmatic approach (Report shared with PIFS in January 2024)</w:t>
            </w:r>
          </w:p>
          <w:p w14:paraId="5469F330" w14:textId="77777777" w:rsidR="00A565C3" w:rsidRPr="00A565C3" w:rsidRDefault="00A565C3" w:rsidP="003B672F">
            <w:pPr>
              <w:pStyle w:val="ListParagraph"/>
              <w:numPr>
                <w:ilvl w:val="1"/>
                <w:numId w:val="93"/>
              </w:numPr>
              <w:contextualSpacing w:val="0"/>
              <w:rPr>
                <w:rFonts w:cstheme="minorHAnsi"/>
                <w:sz w:val="16"/>
                <w:szCs w:val="16"/>
              </w:rPr>
            </w:pPr>
            <w:r w:rsidRPr="00A565C3">
              <w:rPr>
                <w:rFonts w:cstheme="minorHAnsi"/>
                <w:sz w:val="16"/>
                <w:szCs w:val="16"/>
              </w:rPr>
              <w:t>Several meetings conducted and material shared for upcoming workshop</w:t>
            </w:r>
          </w:p>
          <w:p w14:paraId="7FA35FC3" w14:textId="703FC7B9" w:rsidR="00A565C3" w:rsidRPr="00A565C3" w:rsidRDefault="00A565C3" w:rsidP="003B672F">
            <w:pPr>
              <w:pStyle w:val="NormalWeb"/>
              <w:numPr>
                <w:ilvl w:val="0"/>
                <w:numId w:val="93"/>
              </w:numPr>
              <w:spacing w:before="0" w:beforeAutospacing="0" w:after="0" w:afterAutospacing="0"/>
              <w:jc w:val="left"/>
              <w:rPr>
                <w:rFonts w:cs="Arial"/>
                <w:sz w:val="16"/>
                <w:szCs w:val="16"/>
              </w:rPr>
            </w:pPr>
            <w:r w:rsidRPr="00A565C3">
              <w:rPr>
                <w:rFonts w:cs="Arial"/>
                <w:b/>
                <w:bCs/>
                <w:sz w:val="16"/>
                <w:szCs w:val="16"/>
              </w:rPr>
              <w:t>Tunisia:</w:t>
            </w:r>
            <w:r w:rsidRPr="00A565C3">
              <w:t xml:space="preserve"> </w:t>
            </w:r>
            <w:r w:rsidRPr="00A565C3">
              <w:rPr>
                <w:rFonts w:cstheme="minorHAnsi"/>
                <w:sz w:val="16"/>
                <w:szCs w:val="16"/>
              </w:rPr>
              <w:t xml:space="preserve">Formal request to </w:t>
            </w:r>
            <w:r w:rsidR="0086137D">
              <w:rPr>
                <w:rFonts w:cstheme="minorHAnsi"/>
                <w:sz w:val="16"/>
                <w:szCs w:val="16"/>
              </w:rPr>
              <w:t>UN</w:t>
            </w:r>
            <w:r w:rsidRPr="00A565C3">
              <w:rPr>
                <w:rFonts w:cstheme="minorHAnsi"/>
                <w:sz w:val="16"/>
                <w:szCs w:val="16"/>
              </w:rPr>
              <w:t xml:space="preserve">ESCWA to: </w:t>
            </w:r>
          </w:p>
          <w:p w14:paraId="399DA830" w14:textId="1BE9051D" w:rsidR="00A565C3" w:rsidRPr="00A565C3" w:rsidRDefault="00A565C3" w:rsidP="003B672F">
            <w:pPr>
              <w:pStyle w:val="ListParagraph"/>
              <w:numPr>
                <w:ilvl w:val="0"/>
                <w:numId w:val="93"/>
              </w:numPr>
              <w:contextualSpacing w:val="0"/>
              <w:rPr>
                <w:rFonts w:cstheme="minorHAnsi"/>
                <w:b/>
                <w:bCs/>
                <w:sz w:val="16"/>
                <w:szCs w:val="16"/>
              </w:rPr>
            </w:pPr>
            <w:r w:rsidRPr="00A565C3">
              <w:rPr>
                <w:rFonts w:cs="Arial"/>
                <w:b/>
                <w:bCs/>
                <w:sz w:val="16"/>
                <w:szCs w:val="16"/>
              </w:rPr>
              <w:t xml:space="preserve">United Arab Emirates: </w:t>
            </w:r>
            <w:r w:rsidRPr="00A565C3">
              <w:rPr>
                <w:rFonts w:cs="Arial"/>
                <w:sz w:val="16"/>
                <w:szCs w:val="16"/>
              </w:rPr>
              <w:t xml:space="preserve">Virtual meeting between </w:t>
            </w:r>
            <w:r w:rsidR="0086137D">
              <w:rPr>
                <w:rFonts w:cs="Arial"/>
                <w:sz w:val="16"/>
                <w:szCs w:val="16"/>
              </w:rPr>
              <w:t>UN</w:t>
            </w:r>
            <w:r w:rsidRPr="00A565C3">
              <w:rPr>
                <w:rFonts w:cs="Arial"/>
                <w:sz w:val="16"/>
                <w:szCs w:val="16"/>
              </w:rPr>
              <w:t>ESCWA and Ministry of Foreign Affairs in October 2023 to showcase costing and financing tools, including iBIT</w:t>
            </w:r>
          </w:p>
          <w:p w14:paraId="766E9B39" w14:textId="5C30AEF0" w:rsidR="007C407F" w:rsidRPr="00A565C3" w:rsidRDefault="00A565C3" w:rsidP="003B672F">
            <w:pPr>
              <w:pStyle w:val="ListParagraph"/>
              <w:numPr>
                <w:ilvl w:val="1"/>
                <w:numId w:val="93"/>
              </w:numPr>
              <w:contextualSpacing w:val="0"/>
              <w:rPr>
                <w:rFonts w:cstheme="minorHAnsi"/>
                <w:sz w:val="16"/>
                <w:szCs w:val="16"/>
              </w:rPr>
            </w:pPr>
            <w:r w:rsidRPr="00A565C3">
              <w:rPr>
                <w:rFonts w:cstheme="minorHAnsi"/>
                <w:sz w:val="16"/>
                <w:szCs w:val="16"/>
              </w:rPr>
              <w:t xml:space="preserve">Webinar conducted to present </w:t>
            </w:r>
            <w:r w:rsidRPr="00A565C3">
              <w:rPr>
                <w:rFonts w:cs="Arial"/>
                <w:sz w:val="16"/>
                <w:szCs w:val="16"/>
              </w:rPr>
              <w:t>INFF costing, financing, and budgeting tools (January 2025)</w:t>
            </w:r>
          </w:p>
        </w:tc>
      </w:tr>
      <w:tr w:rsidR="009A00E9" w:rsidRPr="002A1AF1" w14:paraId="5744777E" w14:textId="77777777" w:rsidTr="007302ED">
        <w:tc>
          <w:tcPr>
            <w:tcW w:w="9678" w:type="dxa"/>
          </w:tcPr>
          <w:p w14:paraId="7EF9FBF9" w14:textId="550A081A" w:rsidR="009A00E9" w:rsidRPr="009A00E9" w:rsidRDefault="009A00E9" w:rsidP="003C2458">
            <w:pPr>
              <w:spacing w:after="120"/>
              <w:rPr>
                <w:rFonts w:cstheme="minorHAnsi"/>
                <w:b/>
                <w:bCs/>
                <w:sz w:val="16"/>
                <w:szCs w:val="16"/>
              </w:rPr>
            </w:pPr>
            <w:r w:rsidRPr="009A00E9">
              <w:rPr>
                <w:rFonts w:cstheme="minorHAnsi"/>
                <w:b/>
                <w:bCs/>
                <w:sz w:val="16"/>
                <w:szCs w:val="16"/>
              </w:rPr>
              <w:lastRenderedPageBreak/>
              <w:t>OP 2.3</w:t>
            </w:r>
            <w:r w:rsidRPr="009A00E9">
              <w:rPr>
                <w:rFonts w:cstheme="minorHAnsi"/>
                <w:sz w:val="16"/>
                <w:szCs w:val="16"/>
              </w:rPr>
              <w:t xml:space="preserve"> One global workshop for 50 participants to share lessons learned and good practice at the global level, with a view to inform national implementation efforts and global policy processes, such as the Financing for Development process</w:t>
            </w:r>
          </w:p>
        </w:tc>
      </w:tr>
      <w:tr w:rsidR="009A00E9" w:rsidRPr="00FF495A" w14:paraId="069C3EBD" w14:textId="77777777" w:rsidTr="00CD69D4">
        <w:tc>
          <w:tcPr>
            <w:tcW w:w="9678" w:type="dxa"/>
          </w:tcPr>
          <w:p w14:paraId="2642A05B" w14:textId="77777777" w:rsidR="009A00E9" w:rsidRDefault="00FF495A" w:rsidP="003B672F">
            <w:pPr>
              <w:pStyle w:val="ListParagraph"/>
              <w:numPr>
                <w:ilvl w:val="0"/>
                <w:numId w:val="17"/>
              </w:numPr>
              <w:spacing w:after="120"/>
              <w:rPr>
                <w:rFonts w:cstheme="minorHAnsi"/>
                <w:sz w:val="16"/>
                <w:szCs w:val="16"/>
              </w:rPr>
            </w:pPr>
            <w:r w:rsidRPr="00FF495A">
              <w:rPr>
                <w:rFonts w:cstheme="minorHAnsi"/>
                <w:sz w:val="16"/>
                <w:szCs w:val="16"/>
              </w:rPr>
              <w:t xml:space="preserve">Global </w:t>
            </w:r>
            <w:r>
              <w:rPr>
                <w:rFonts w:cstheme="minorHAnsi"/>
                <w:sz w:val="16"/>
                <w:szCs w:val="16"/>
              </w:rPr>
              <w:t xml:space="preserve">workshop </w:t>
            </w:r>
            <w:r w:rsidR="00FA7046">
              <w:rPr>
                <w:rFonts w:cstheme="minorHAnsi"/>
                <w:sz w:val="16"/>
                <w:szCs w:val="16"/>
              </w:rPr>
              <w:t>held in April 2024, engaging 33 participants</w:t>
            </w:r>
          </w:p>
          <w:p w14:paraId="4869317C" w14:textId="4C293685" w:rsidR="001D7A7D" w:rsidRPr="00FF495A" w:rsidRDefault="00C26785" w:rsidP="003B672F">
            <w:pPr>
              <w:pStyle w:val="ListParagraph"/>
              <w:numPr>
                <w:ilvl w:val="0"/>
                <w:numId w:val="17"/>
              </w:numPr>
              <w:spacing w:after="120"/>
              <w:rPr>
                <w:rFonts w:cstheme="minorHAnsi"/>
                <w:sz w:val="16"/>
                <w:szCs w:val="16"/>
              </w:rPr>
            </w:pPr>
            <w:r>
              <w:rPr>
                <w:rFonts w:cstheme="minorHAnsi"/>
                <w:sz w:val="16"/>
                <w:szCs w:val="16"/>
              </w:rPr>
              <w:t xml:space="preserve">Experiences shared on </w:t>
            </w:r>
            <w:r w:rsidRPr="00784B7F">
              <w:rPr>
                <w:rFonts w:ascii="Calibri" w:hAnsi="Calibri" w:cs="Arial"/>
                <w:sz w:val="16"/>
                <w:szCs w:val="16"/>
              </w:rPr>
              <w:t>INFF implementation, highlighting successes and challenges</w:t>
            </w:r>
          </w:p>
        </w:tc>
      </w:tr>
      <w:tr w:rsidR="009A00E9" w:rsidRPr="002A1AF1" w14:paraId="39A8462E" w14:textId="77777777" w:rsidTr="00163D31">
        <w:tc>
          <w:tcPr>
            <w:tcW w:w="9678" w:type="dxa"/>
          </w:tcPr>
          <w:p w14:paraId="44603399" w14:textId="7A4EFFC2" w:rsidR="009A00E9" w:rsidRPr="009A00E9" w:rsidRDefault="009A00E9" w:rsidP="003C2458">
            <w:pPr>
              <w:spacing w:after="120"/>
              <w:rPr>
                <w:rFonts w:cstheme="minorHAnsi"/>
                <w:b/>
                <w:bCs/>
                <w:sz w:val="16"/>
                <w:szCs w:val="16"/>
              </w:rPr>
            </w:pPr>
            <w:r w:rsidRPr="009A00E9">
              <w:rPr>
                <w:rFonts w:cstheme="minorHAnsi"/>
                <w:b/>
                <w:bCs/>
                <w:sz w:val="16"/>
                <w:szCs w:val="16"/>
              </w:rPr>
              <w:t>OP 2.4</w:t>
            </w:r>
            <w:r w:rsidRPr="009A00E9">
              <w:rPr>
                <w:rFonts w:cstheme="minorHAnsi"/>
                <w:sz w:val="16"/>
                <w:szCs w:val="16"/>
              </w:rPr>
              <w:t xml:space="preserve"> Develop and publish compendium of experiences on INFF design and implementation with a focus on concrete and actionable policy recommendations for policy makers, building on lessons learned from national and regional experiences and global workshop</w:t>
            </w:r>
          </w:p>
        </w:tc>
      </w:tr>
      <w:tr w:rsidR="00E47528" w:rsidRPr="00410888" w14:paraId="4E72089A" w14:textId="77777777" w:rsidTr="0065772D">
        <w:tc>
          <w:tcPr>
            <w:tcW w:w="9678" w:type="dxa"/>
          </w:tcPr>
          <w:p w14:paraId="586D9FF1" w14:textId="77777777" w:rsidR="00E47528" w:rsidRDefault="00410888" w:rsidP="003B672F">
            <w:pPr>
              <w:pStyle w:val="ListParagraph"/>
              <w:numPr>
                <w:ilvl w:val="0"/>
                <w:numId w:val="17"/>
              </w:numPr>
              <w:spacing w:after="120"/>
              <w:rPr>
                <w:rFonts w:cstheme="minorHAnsi"/>
                <w:sz w:val="16"/>
                <w:szCs w:val="16"/>
              </w:rPr>
            </w:pPr>
            <w:r w:rsidRPr="00410888">
              <w:rPr>
                <w:rFonts w:cstheme="minorHAnsi"/>
                <w:sz w:val="16"/>
                <w:szCs w:val="16"/>
              </w:rPr>
              <w:t>Draf</w:t>
            </w:r>
            <w:r w:rsidR="00240F94">
              <w:rPr>
                <w:rFonts w:cstheme="minorHAnsi"/>
                <w:sz w:val="16"/>
                <w:szCs w:val="16"/>
              </w:rPr>
              <w:t>t Compendium completed (December 2024)</w:t>
            </w:r>
          </w:p>
          <w:p w14:paraId="226C44A2" w14:textId="38954D0E" w:rsidR="00240F94" w:rsidRDefault="00240F94" w:rsidP="003B672F">
            <w:pPr>
              <w:pStyle w:val="ListParagraph"/>
              <w:numPr>
                <w:ilvl w:val="0"/>
                <w:numId w:val="17"/>
              </w:numPr>
              <w:spacing w:after="60"/>
              <w:contextualSpacing w:val="0"/>
              <w:rPr>
                <w:rFonts w:cstheme="minorHAnsi"/>
                <w:sz w:val="16"/>
                <w:szCs w:val="16"/>
              </w:rPr>
            </w:pPr>
            <w:r>
              <w:rPr>
                <w:rFonts w:cstheme="minorHAnsi"/>
                <w:sz w:val="16"/>
                <w:szCs w:val="16"/>
              </w:rPr>
              <w:t>Related knowledge products include</w:t>
            </w:r>
            <w:r w:rsidR="009A00E9">
              <w:rPr>
                <w:rFonts w:cstheme="minorHAnsi"/>
                <w:sz w:val="16"/>
                <w:szCs w:val="16"/>
              </w:rPr>
              <w:t>, inter alia</w:t>
            </w:r>
            <w:r>
              <w:rPr>
                <w:rFonts w:cstheme="minorHAnsi"/>
                <w:sz w:val="16"/>
                <w:szCs w:val="16"/>
              </w:rPr>
              <w:t>:</w:t>
            </w:r>
          </w:p>
          <w:p w14:paraId="13B9800C" w14:textId="03CE4ED4" w:rsidR="00240F94" w:rsidRPr="00410888" w:rsidRDefault="00306AD3" w:rsidP="003B672F">
            <w:pPr>
              <w:pStyle w:val="ListParagraph"/>
              <w:numPr>
                <w:ilvl w:val="1"/>
                <w:numId w:val="17"/>
              </w:numPr>
              <w:spacing w:after="60"/>
              <w:ind w:left="1162" w:hanging="425"/>
              <w:contextualSpacing w:val="0"/>
              <w:rPr>
                <w:rFonts w:cstheme="minorHAnsi"/>
                <w:sz w:val="16"/>
                <w:szCs w:val="16"/>
              </w:rPr>
            </w:pPr>
            <w:r w:rsidRPr="00A637E9">
              <w:rPr>
                <w:rFonts w:ascii="Calibri" w:hAnsi="Calibri" w:cs="Arial"/>
                <w:sz w:val="16"/>
                <w:szCs w:val="16"/>
              </w:rPr>
              <w:t>Three SDG Transitional Pathways reports</w:t>
            </w:r>
            <w:r>
              <w:rPr>
                <w:rFonts w:ascii="Calibri" w:hAnsi="Calibri" w:cs="Arial"/>
                <w:sz w:val="16"/>
                <w:szCs w:val="16"/>
              </w:rPr>
              <w:t xml:space="preserve"> (UNESCWA)</w:t>
            </w:r>
            <w:r w:rsidR="00073A02">
              <w:rPr>
                <w:rFonts w:ascii="Calibri" w:hAnsi="Calibri" w:cs="Arial"/>
                <w:sz w:val="16"/>
                <w:szCs w:val="16"/>
              </w:rPr>
              <w:t xml:space="preserve"> </w:t>
            </w:r>
            <w:r w:rsidR="00073A02" w:rsidRPr="00A637E9">
              <w:rPr>
                <w:rFonts w:ascii="Calibri" w:hAnsi="Calibri" w:cs="Arial"/>
                <w:sz w:val="16"/>
                <w:szCs w:val="16"/>
              </w:rPr>
              <w:t>highlighting specific recommendations, actionable steps and investment paths to advance SDG implementation</w:t>
            </w:r>
            <w:r w:rsidR="00073A02">
              <w:rPr>
                <w:rFonts w:ascii="Calibri" w:hAnsi="Calibri" w:cs="Arial"/>
                <w:sz w:val="16"/>
                <w:szCs w:val="16"/>
              </w:rPr>
              <w:t xml:space="preserve"> in three countries (Egypt; Jordan; Oman)</w:t>
            </w:r>
          </w:p>
        </w:tc>
      </w:tr>
    </w:tbl>
    <w:p w14:paraId="259FA7FB" w14:textId="6B309965" w:rsidR="00156D11" w:rsidRPr="00B60ABD" w:rsidRDefault="00156D11" w:rsidP="00156D11">
      <w:pPr>
        <w:pStyle w:val="DocumentSource"/>
        <w:rPr>
          <w:sz w:val="18"/>
          <w:szCs w:val="18"/>
        </w:rPr>
      </w:pPr>
      <w:r w:rsidRPr="00B60ABD">
        <w:rPr>
          <w:sz w:val="18"/>
          <w:szCs w:val="18"/>
        </w:rPr>
        <w:t>Source: A</w:t>
      </w:r>
      <w:r w:rsidR="00B60ABD" w:rsidRPr="00B60ABD">
        <w:rPr>
          <w:sz w:val="18"/>
          <w:szCs w:val="18"/>
        </w:rPr>
        <w:t xml:space="preserve">bridged </w:t>
      </w:r>
      <w:r w:rsidRPr="00B60ABD">
        <w:rPr>
          <w:sz w:val="18"/>
          <w:szCs w:val="18"/>
        </w:rPr>
        <w:t>from Final Project</w:t>
      </w:r>
      <w:r w:rsidR="002C02B2" w:rsidRPr="00B60ABD">
        <w:rPr>
          <w:sz w:val="18"/>
          <w:szCs w:val="18"/>
        </w:rPr>
        <w:t xml:space="preserve"> </w:t>
      </w:r>
      <w:r w:rsidRPr="00B60ABD">
        <w:rPr>
          <w:sz w:val="18"/>
          <w:szCs w:val="18"/>
        </w:rPr>
        <w:t>report</w:t>
      </w:r>
      <w:r w:rsidR="002C02B2" w:rsidRPr="00B60ABD">
        <w:rPr>
          <w:sz w:val="18"/>
          <w:szCs w:val="18"/>
        </w:rPr>
        <w:t>, March 2025</w:t>
      </w:r>
    </w:p>
    <w:p w14:paraId="42E1F789" w14:textId="77777777" w:rsidR="00501743" w:rsidRDefault="00501743" w:rsidP="00FB6385"/>
    <w:p w14:paraId="1DD622DF" w14:textId="77777777" w:rsidR="0069694F" w:rsidRDefault="0069694F" w:rsidP="00FB6385"/>
    <w:p w14:paraId="39047D40" w14:textId="6695A12F" w:rsidR="0071618F" w:rsidRDefault="0071618F">
      <w:r>
        <w:br w:type="page"/>
      </w:r>
    </w:p>
    <w:p w14:paraId="3348B223" w14:textId="4A19F1FC" w:rsidR="00DC0F91" w:rsidRDefault="00DC0F91" w:rsidP="0071173F">
      <w:pPr>
        <w:pStyle w:val="Heading9"/>
      </w:pPr>
      <w:bookmarkStart w:id="59" w:name="_Toc210730355"/>
      <w:r w:rsidRPr="00CE2EF3">
        <w:lastRenderedPageBreak/>
        <w:t xml:space="preserve">Annex </w:t>
      </w:r>
      <w:r w:rsidR="00C51A89" w:rsidRPr="00CE2EF3">
        <w:t>3</w:t>
      </w:r>
      <w:r w:rsidRPr="00CE2EF3">
        <w:t xml:space="preserve"> </w:t>
      </w:r>
      <w:r w:rsidR="00806DF5" w:rsidRPr="00CE2EF3">
        <w:t xml:space="preserve">Target </w:t>
      </w:r>
      <w:r w:rsidRPr="00CE2EF3">
        <w:t xml:space="preserve">Project </w:t>
      </w:r>
      <w:r w:rsidR="00806DF5" w:rsidRPr="00CE2EF3">
        <w:t>Beneficiaries</w:t>
      </w:r>
      <w:bookmarkEnd w:id="59"/>
      <w:r>
        <w:t xml:space="preserve"> </w:t>
      </w:r>
    </w:p>
    <w:tbl>
      <w:tblPr>
        <w:tblStyle w:val="BlueTable"/>
        <w:tblW w:w="0" w:type="auto"/>
        <w:jc w:val="center"/>
        <w:tblLook w:val="06A0" w:firstRow="1" w:lastRow="0" w:firstColumn="1" w:lastColumn="0" w:noHBand="1" w:noVBand="1"/>
      </w:tblPr>
      <w:tblGrid>
        <w:gridCol w:w="523"/>
        <w:gridCol w:w="1454"/>
        <w:gridCol w:w="2410"/>
        <w:gridCol w:w="2551"/>
        <w:gridCol w:w="2731"/>
      </w:tblGrid>
      <w:tr w:rsidR="000D6736" w:rsidRPr="0071173F" w14:paraId="469ECA29" w14:textId="77777777" w:rsidTr="00B67C2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23" w:type="dxa"/>
            <w:vMerge w:val="restart"/>
            <w:tcBorders>
              <w:top w:val="nil"/>
              <w:left w:val="single" w:sz="6" w:space="0" w:color="FFFFFF" w:themeColor="background1"/>
              <w:bottom w:val="single" w:sz="6" w:space="0" w:color="FFFFFF" w:themeColor="background1"/>
              <w:right w:val="single" w:sz="6" w:space="0" w:color="FFFFFF" w:themeColor="background1"/>
            </w:tcBorders>
          </w:tcPr>
          <w:p w14:paraId="1F6805CB" w14:textId="77777777" w:rsidR="00350801" w:rsidRPr="000E5500" w:rsidRDefault="00350801" w:rsidP="0071173F"/>
        </w:tc>
        <w:tc>
          <w:tcPr>
            <w:tcW w:w="1454" w:type="dxa"/>
            <w:vMerge w:val="restart"/>
            <w:tcBorders>
              <w:top w:val="nil"/>
              <w:left w:val="single" w:sz="6" w:space="0" w:color="FFFFFF" w:themeColor="background1"/>
              <w:bottom w:val="single" w:sz="6" w:space="0" w:color="FFFFFF" w:themeColor="background1"/>
              <w:right w:val="single" w:sz="6" w:space="0" w:color="FFFFFF" w:themeColor="background1"/>
            </w:tcBorders>
            <w:vAlign w:val="center"/>
          </w:tcPr>
          <w:p w14:paraId="74B2F444" w14:textId="671660B5" w:rsidR="00350801" w:rsidRPr="000E5500" w:rsidRDefault="00350801" w:rsidP="0071173F">
            <w:pPr>
              <w:cnfStyle w:val="100000000000" w:firstRow="1" w:lastRow="0" w:firstColumn="0" w:lastColumn="0" w:oddVBand="0" w:evenVBand="0" w:oddHBand="0" w:evenHBand="0" w:firstRowFirstColumn="0" w:firstRowLastColumn="0" w:lastRowFirstColumn="0" w:lastRowLastColumn="0"/>
            </w:pPr>
            <w:r w:rsidRPr="000E5500">
              <w:t>Category of Beneficiary</w:t>
            </w:r>
          </w:p>
        </w:tc>
        <w:tc>
          <w:tcPr>
            <w:tcW w:w="2410" w:type="dxa"/>
            <w:vMerge w:val="restart"/>
            <w:tcBorders>
              <w:top w:val="nil"/>
              <w:left w:val="single" w:sz="6" w:space="0" w:color="FFFFFF" w:themeColor="background1"/>
              <w:bottom w:val="single" w:sz="6" w:space="0" w:color="FFFFFF" w:themeColor="background1"/>
              <w:right w:val="single" w:sz="6" w:space="0" w:color="FFFFFF" w:themeColor="background1"/>
            </w:tcBorders>
            <w:vAlign w:val="center"/>
          </w:tcPr>
          <w:p w14:paraId="1051C566" w14:textId="2DF909FE" w:rsidR="00350801" w:rsidRPr="000E5500" w:rsidRDefault="00350801" w:rsidP="00B70EA9">
            <w:pPr>
              <w:jc w:val="center"/>
              <w:cnfStyle w:val="100000000000" w:firstRow="1" w:lastRow="0" w:firstColumn="0" w:lastColumn="0" w:oddVBand="0" w:evenVBand="0" w:oddHBand="0" w:evenHBand="0" w:firstRowFirstColumn="0" w:firstRowLastColumn="0" w:lastRowFirstColumn="0" w:lastRowLastColumn="0"/>
            </w:pPr>
            <w:r w:rsidRPr="000E5500">
              <w:t>Role</w:t>
            </w:r>
            <w:r w:rsidR="00041C0B" w:rsidRPr="000E5500">
              <w:t xml:space="preserve"> in project</w:t>
            </w:r>
          </w:p>
        </w:tc>
        <w:tc>
          <w:tcPr>
            <w:tcW w:w="5282" w:type="dxa"/>
            <w:gridSpan w:val="2"/>
            <w:tcBorders>
              <w:top w:val="nil"/>
              <w:left w:val="single" w:sz="6" w:space="0" w:color="FFFFFF" w:themeColor="background1"/>
              <w:bottom w:val="single" w:sz="6" w:space="0" w:color="FFFFFF" w:themeColor="background1"/>
              <w:right w:val="single" w:sz="6" w:space="0" w:color="FFFFFF" w:themeColor="background1"/>
            </w:tcBorders>
          </w:tcPr>
          <w:p w14:paraId="466C5FAA" w14:textId="16BA5CCD" w:rsidR="00350801" w:rsidRPr="000E5500" w:rsidRDefault="00350801" w:rsidP="00B70EA9">
            <w:pPr>
              <w:jc w:val="center"/>
              <w:cnfStyle w:val="100000000000" w:firstRow="1" w:lastRow="0" w:firstColumn="0" w:lastColumn="0" w:oddVBand="0" w:evenVBand="0" w:oddHBand="0" w:evenHBand="0" w:firstRowFirstColumn="0" w:firstRowLastColumn="0" w:lastRowFirstColumn="0" w:lastRowLastColumn="0"/>
            </w:pPr>
            <w:r w:rsidRPr="000E5500">
              <w:t>Capacities</w:t>
            </w:r>
          </w:p>
        </w:tc>
      </w:tr>
      <w:tr w:rsidR="000D6736" w:rsidRPr="0071173F" w14:paraId="50E9392F"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vMerge/>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tcPr>
          <w:p w14:paraId="06E6C2DB" w14:textId="77777777" w:rsidR="00350801" w:rsidRPr="000E5500" w:rsidRDefault="00350801" w:rsidP="0071173F"/>
        </w:tc>
        <w:tc>
          <w:tcPr>
            <w:tcW w:w="1454" w:type="dxa"/>
            <w:vMerge/>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tcPr>
          <w:p w14:paraId="5DCE12BD" w14:textId="08595B76" w:rsidR="00350801" w:rsidRPr="000E5500" w:rsidRDefault="00350801" w:rsidP="0071173F">
            <w:pPr>
              <w:cnfStyle w:val="000000000000" w:firstRow="0" w:lastRow="0" w:firstColumn="0" w:lastColumn="0" w:oddVBand="0" w:evenVBand="0" w:oddHBand="0" w:evenHBand="0" w:firstRowFirstColumn="0" w:firstRowLastColumn="0" w:lastRowFirstColumn="0" w:lastRowLastColumn="0"/>
            </w:pPr>
          </w:p>
        </w:tc>
        <w:tc>
          <w:tcPr>
            <w:tcW w:w="2410" w:type="dxa"/>
            <w:vMerge/>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tcPr>
          <w:p w14:paraId="760DF5BA" w14:textId="0E96256A" w:rsidR="00350801" w:rsidRPr="000E5500" w:rsidRDefault="00350801" w:rsidP="0071173F">
            <w:pPr>
              <w:cnfStyle w:val="000000000000" w:firstRow="0" w:lastRow="0" w:firstColumn="0" w:lastColumn="0" w:oddVBand="0" w:evenVBand="0" w:oddHBand="0" w:evenHBand="0" w:firstRowFirstColumn="0" w:firstRowLastColumn="0" w:lastRowFirstColumn="0" w:lastRowLastColumn="0"/>
            </w:pPr>
          </w:p>
        </w:tc>
        <w:tc>
          <w:tcPr>
            <w:tcW w:w="2551" w:type="dxa"/>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shd w:val="clear" w:color="auto" w:fill="009EDB" w:themeFill="accent1"/>
          </w:tcPr>
          <w:p w14:paraId="675E9F6B" w14:textId="7D6FA0AA" w:rsidR="00350801" w:rsidRPr="000E5500" w:rsidRDefault="00350801" w:rsidP="00B70EA9">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0E5500">
              <w:rPr>
                <w:b/>
                <w:bCs/>
                <w:color w:val="FFFFFF" w:themeColor="background1"/>
              </w:rPr>
              <w:t>Assets</w:t>
            </w:r>
          </w:p>
        </w:tc>
        <w:tc>
          <w:tcPr>
            <w:tcW w:w="2731" w:type="dxa"/>
            <w:tcBorders>
              <w:top w:val="single" w:sz="6" w:space="0" w:color="FFFFFF" w:themeColor="background1"/>
              <w:left w:val="single" w:sz="6" w:space="0" w:color="FFFFFF" w:themeColor="background1"/>
              <w:bottom w:val="single" w:sz="8" w:space="0" w:color="C4EEFF" w:themeColor="accent1" w:themeTint="33"/>
              <w:right w:val="single" w:sz="6" w:space="0" w:color="FFFFFF" w:themeColor="background1"/>
            </w:tcBorders>
            <w:shd w:val="clear" w:color="auto" w:fill="009EDB" w:themeFill="accent1"/>
          </w:tcPr>
          <w:p w14:paraId="45B1CBEE" w14:textId="50BD47EA" w:rsidR="00350801" w:rsidRPr="000E5500" w:rsidRDefault="00350801" w:rsidP="00B70EA9">
            <w:pPr>
              <w:jc w:val="center"/>
              <w:cnfStyle w:val="000000000000" w:firstRow="0" w:lastRow="0" w:firstColumn="0" w:lastColumn="0" w:oddVBand="0" w:evenVBand="0" w:oddHBand="0" w:evenHBand="0" w:firstRowFirstColumn="0" w:firstRowLastColumn="0" w:lastRowFirstColumn="0" w:lastRowLastColumn="0"/>
              <w:rPr>
                <w:b/>
                <w:bCs/>
                <w:color w:val="FFFFFF" w:themeColor="background1"/>
              </w:rPr>
            </w:pPr>
            <w:r w:rsidRPr="000E5500">
              <w:rPr>
                <w:b/>
                <w:bCs/>
                <w:color w:val="FFFFFF" w:themeColor="background1"/>
              </w:rPr>
              <w:t>Gaps</w:t>
            </w:r>
            <w:r w:rsidR="00EB7F50" w:rsidRPr="000E5500">
              <w:rPr>
                <w:b/>
                <w:bCs/>
                <w:color w:val="FFFFFF" w:themeColor="background1"/>
              </w:rPr>
              <w:t>/ Challenges</w:t>
            </w:r>
          </w:p>
        </w:tc>
      </w:tr>
      <w:tr w:rsidR="000D6736" w:rsidRPr="0071173F" w14:paraId="5226A8BF"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Borders>
              <w:top w:val="single" w:sz="8" w:space="0" w:color="C4EEFF" w:themeColor="accent1" w:themeTint="33"/>
            </w:tcBorders>
          </w:tcPr>
          <w:p w14:paraId="1E43A41B" w14:textId="77777777" w:rsidR="00491660" w:rsidRPr="000E5500" w:rsidRDefault="00491660" w:rsidP="0071173F">
            <w:r w:rsidRPr="000E5500">
              <w:t>1.</w:t>
            </w:r>
          </w:p>
        </w:tc>
        <w:tc>
          <w:tcPr>
            <w:tcW w:w="1454" w:type="dxa"/>
            <w:tcBorders>
              <w:top w:val="single" w:sz="8" w:space="0" w:color="C4EEFF" w:themeColor="accent1" w:themeTint="33"/>
            </w:tcBorders>
          </w:tcPr>
          <w:p w14:paraId="23FB6618" w14:textId="4BD348F9" w:rsidR="00491660" w:rsidRPr="000E5500" w:rsidRDefault="00140F7C" w:rsidP="00853DAC">
            <w:pPr>
              <w:pStyle w:val="Default"/>
              <w:spacing w:before="0" w:after="12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500">
              <w:rPr>
                <w:rFonts w:asciiTheme="minorHAnsi" w:hAnsiTheme="minorHAnsi"/>
                <w:sz w:val="20"/>
                <w:szCs w:val="20"/>
              </w:rPr>
              <w:t xml:space="preserve">Ministries of Finance and Planning </w:t>
            </w:r>
          </w:p>
        </w:tc>
        <w:tc>
          <w:tcPr>
            <w:tcW w:w="2410" w:type="dxa"/>
            <w:tcBorders>
              <w:top w:val="single" w:sz="8" w:space="0" w:color="C4EEFF" w:themeColor="accent1" w:themeTint="33"/>
            </w:tcBorders>
          </w:tcPr>
          <w:p w14:paraId="3891B798" w14:textId="0AF5FB88" w:rsidR="00BC5F02" w:rsidRPr="000F7863" w:rsidRDefault="005C1237"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L</w:t>
            </w:r>
            <w:r w:rsidR="00327842" w:rsidRPr="000F7863">
              <w:rPr>
                <w:rFonts w:asciiTheme="minorHAnsi" w:hAnsiTheme="minorHAnsi"/>
                <w:sz w:val="20"/>
                <w:szCs w:val="20"/>
              </w:rPr>
              <w:t>ead the design and impl</w:t>
            </w:r>
            <w:r w:rsidRPr="000F7863">
              <w:rPr>
                <w:rFonts w:asciiTheme="minorHAnsi" w:hAnsiTheme="minorHAnsi"/>
                <w:sz w:val="20"/>
                <w:szCs w:val="20"/>
              </w:rPr>
              <w:t>em</w:t>
            </w:r>
            <w:r w:rsidR="00BC5F02" w:rsidRPr="000F7863">
              <w:rPr>
                <w:rFonts w:asciiTheme="minorHAnsi" w:hAnsiTheme="minorHAnsi"/>
                <w:sz w:val="20"/>
                <w:szCs w:val="20"/>
              </w:rPr>
              <w:t>en</w:t>
            </w:r>
            <w:r w:rsidR="00327842" w:rsidRPr="000F7863">
              <w:rPr>
                <w:rFonts w:asciiTheme="minorHAnsi" w:hAnsiTheme="minorHAnsi"/>
                <w:sz w:val="20"/>
                <w:szCs w:val="20"/>
              </w:rPr>
              <w:t>tation of INFF</w:t>
            </w:r>
            <w:r w:rsidR="00BC5F02" w:rsidRPr="000F7863">
              <w:rPr>
                <w:rFonts w:asciiTheme="minorHAnsi" w:hAnsiTheme="minorHAnsi"/>
                <w:sz w:val="20"/>
                <w:szCs w:val="20"/>
              </w:rPr>
              <w:t xml:space="preserve"> and related </w:t>
            </w:r>
            <w:r w:rsidR="003E0C86" w:rsidRPr="000F7863">
              <w:rPr>
                <w:rFonts w:asciiTheme="minorHAnsi" w:hAnsiTheme="minorHAnsi"/>
                <w:sz w:val="20"/>
                <w:szCs w:val="20"/>
              </w:rPr>
              <w:t>activities</w:t>
            </w:r>
          </w:p>
          <w:p w14:paraId="1769B14A" w14:textId="3C0C4723" w:rsidR="00491660" w:rsidRPr="000E5500" w:rsidRDefault="00BC5F02"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C</w:t>
            </w:r>
            <w:r w:rsidR="00327842" w:rsidRPr="000F7863">
              <w:rPr>
                <w:rFonts w:asciiTheme="minorHAnsi" w:hAnsiTheme="minorHAnsi"/>
                <w:sz w:val="20"/>
                <w:szCs w:val="20"/>
              </w:rPr>
              <w:t>oordinate INFF oversight mechanisms</w:t>
            </w:r>
          </w:p>
        </w:tc>
        <w:tc>
          <w:tcPr>
            <w:tcW w:w="2551" w:type="dxa"/>
            <w:tcBorders>
              <w:top w:val="single" w:sz="8" w:space="0" w:color="C4EEFF" w:themeColor="accent1" w:themeTint="33"/>
            </w:tcBorders>
          </w:tcPr>
          <w:p w14:paraId="2B70B8FC" w14:textId="0DB53187" w:rsidR="00A65DE3" w:rsidRPr="000F7863" w:rsidRDefault="00BA3973"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M</w:t>
            </w:r>
            <w:r w:rsidR="003E0C86" w:rsidRPr="000F7863">
              <w:rPr>
                <w:rFonts w:asciiTheme="minorHAnsi" w:hAnsiTheme="minorHAnsi"/>
                <w:sz w:val="20"/>
                <w:szCs w:val="20"/>
              </w:rPr>
              <w:t xml:space="preserve">anagement </w:t>
            </w:r>
            <w:r w:rsidRPr="000F7863">
              <w:rPr>
                <w:rFonts w:asciiTheme="minorHAnsi" w:hAnsiTheme="minorHAnsi"/>
                <w:sz w:val="20"/>
                <w:szCs w:val="20"/>
              </w:rPr>
              <w:t xml:space="preserve">of </w:t>
            </w:r>
            <w:r w:rsidR="00902133" w:rsidRPr="000F7863">
              <w:rPr>
                <w:rFonts w:asciiTheme="minorHAnsi" w:hAnsiTheme="minorHAnsi"/>
                <w:sz w:val="20"/>
                <w:szCs w:val="20"/>
              </w:rPr>
              <w:t>core components of SDG financing</w:t>
            </w:r>
            <w:r w:rsidR="00A65DE3" w:rsidRPr="000F7863">
              <w:rPr>
                <w:rFonts w:asciiTheme="minorHAnsi" w:hAnsiTheme="minorHAnsi"/>
                <w:sz w:val="20"/>
                <w:szCs w:val="20"/>
              </w:rPr>
              <w:t>, e.g.</w:t>
            </w:r>
            <w:r w:rsidR="00611BC3">
              <w:rPr>
                <w:rFonts w:asciiTheme="minorHAnsi" w:hAnsiTheme="minorHAnsi"/>
                <w:sz w:val="20"/>
                <w:szCs w:val="20"/>
              </w:rPr>
              <w:t>:</w:t>
            </w:r>
          </w:p>
          <w:p w14:paraId="5E1073E9" w14:textId="3CE08CA4" w:rsidR="00A65DE3" w:rsidRPr="000F7863" w:rsidRDefault="00A65DE3"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Public budgets</w:t>
            </w:r>
          </w:p>
          <w:p w14:paraId="0B4E7969" w14:textId="092FB036" w:rsidR="00A65DE3" w:rsidRPr="000F7863" w:rsidRDefault="00A65DE3"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Medium-term expenditure frameworks</w:t>
            </w:r>
          </w:p>
          <w:p w14:paraId="42D69CC1" w14:textId="6AD940B4" w:rsidR="00A65DE3" w:rsidRPr="000F7863" w:rsidRDefault="00A65DE3"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Public revenues</w:t>
            </w:r>
          </w:p>
          <w:p w14:paraId="4CF9403A" w14:textId="4B6F73AB" w:rsidR="00853DAC" w:rsidRPr="000F7863" w:rsidRDefault="002107EE"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Governance of other relevant financing areas</w:t>
            </w:r>
            <w:r w:rsidR="00F63832">
              <w:rPr>
                <w:rFonts w:asciiTheme="minorHAnsi" w:hAnsiTheme="minorHAnsi"/>
                <w:sz w:val="20"/>
                <w:szCs w:val="20"/>
              </w:rPr>
              <w:t xml:space="preserve"> </w:t>
            </w:r>
            <w:r w:rsidR="00853DAC" w:rsidRPr="000F7863">
              <w:rPr>
                <w:rFonts w:asciiTheme="minorHAnsi" w:hAnsiTheme="minorHAnsi"/>
                <w:sz w:val="20"/>
                <w:szCs w:val="20"/>
              </w:rPr>
              <w:t>e.g.</w:t>
            </w:r>
            <w:r w:rsidR="00611BC3">
              <w:rPr>
                <w:rFonts w:asciiTheme="minorHAnsi" w:hAnsiTheme="minorHAnsi"/>
                <w:sz w:val="20"/>
                <w:szCs w:val="20"/>
              </w:rPr>
              <w:t>:</w:t>
            </w:r>
          </w:p>
          <w:p w14:paraId="1121DC12" w14:textId="242CF84B" w:rsidR="00853DAC" w:rsidRPr="000F7863" w:rsidRDefault="0059739A"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Financial sector development</w:t>
            </w:r>
          </w:p>
          <w:p w14:paraId="5B0460B3" w14:textId="77777777" w:rsidR="00853DAC" w:rsidRPr="000F7863" w:rsidRDefault="00853DAC"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Medium-term expenditure frameworks</w:t>
            </w:r>
          </w:p>
          <w:p w14:paraId="51FE9BC7" w14:textId="77777777" w:rsidR="00853DAC" w:rsidRPr="000F7863" w:rsidRDefault="00853DAC"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F7863">
              <w:rPr>
                <w:rFonts w:asciiTheme="minorHAnsi" w:hAnsiTheme="minorHAnsi"/>
                <w:sz w:val="20"/>
                <w:szCs w:val="20"/>
              </w:rPr>
              <w:t>Public revenues</w:t>
            </w:r>
          </w:p>
          <w:p w14:paraId="5BB3867A" w14:textId="771EC342" w:rsidR="00A65DE3" w:rsidRPr="00565AD7" w:rsidRDefault="006444B5"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i/>
                <w:iCs/>
                <w:sz w:val="20"/>
                <w:szCs w:val="20"/>
              </w:rPr>
            </w:pPr>
            <w:r>
              <w:rPr>
                <w:rFonts w:asciiTheme="minorHAnsi" w:hAnsiTheme="minorHAnsi"/>
                <w:sz w:val="20"/>
                <w:szCs w:val="20"/>
              </w:rPr>
              <w:t xml:space="preserve">Custodians of sustainable </w:t>
            </w:r>
            <w:r w:rsidR="00565AD7">
              <w:rPr>
                <w:rFonts w:asciiTheme="minorHAnsi" w:hAnsiTheme="minorHAnsi"/>
                <w:sz w:val="20"/>
                <w:szCs w:val="20"/>
              </w:rPr>
              <w:t xml:space="preserve">development strategies and plans </w:t>
            </w:r>
          </w:p>
          <w:p w14:paraId="1C859F41" w14:textId="1632C6D6" w:rsidR="00491660" w:rsidRPr="00431DF3" w:rsidRDefault="00310C44"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Capacities in medium-term planning; scenario analysis</w:t>
            </w:r>
            <w:r w:rsidR="00431DF3">
              <w:rPr>
                <w:rFonts w:asciiTheme="minorHAnsi" w:hAnsiTheme="minorHAnsi"/>
                <w:sz w:val="20"/>
                <w:szCs w:val="20"/>
              </w:rPr>
              <w:t xml:space="preserve"> and related INFF functions </w:t>
            </w:r>
          </w:p>
        </w:tc>
        <w:tc>
          <w:tcPr>
            <w:tcW w:w="2731" w:type="dxa"/>
            <w:tcBorders>
              <w:top w:val="single" w:sz="8" w:space="0" w:color="C4EEFF" w:themeColor="accent1" w:themeTint="33"/>
            </w:tcBorders>
          </w:tcPr>
          <w:p w14:paraId="76688ECD" w14:textId="6C5A8463" w:rsidR="00061CFA" w:rsidRDefault="00DF7A66" w:rsidP="003B672F">
            <w:pPr>
              <w:pStyle w:val="Default"/>
              <w:numPr>
                <w:ilvl w:val="0"/>
                <w:numId w:val="88"/>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Variation in capacit</w:t>
            </w:r>
            <w:r w:rsidR="00A66D2E">
              <w:rPr>
                <w:rFonts w:asciiTheme="minorHAnsi" w:hAnsiTheme="minorHAnsi"/>
                <w:sz w:val="20"/>
                <w:szCs w:val="20"/>
              </w:rPr>
              <w:t>ies</w:t>
            </w:r>
            <w:r>
              <w:rPr>
                <w:rFonts w:asciiTheme="minorHAnsi" w:hAnsiTheme="minorHAnsi"/>
                <w:sz w:val="20"/>
                <w:szCs w:val="20"/>
              </w:rPr>
              <w:t xml:space="preserve"> of Ministries of Finance and Planning </w:t>
            </w:r>
            <w:r w:rsidR="00B67C2D">
              <w:rPr>
                <w:rFonts w:asciiTheme="minorHAnsi" w:hAnsiTheme="minorHAnsi"/>
                <w:sz w:val="20"/>
                <w:szCs w:val="20"/>
              </w:rPr>
              <w:t>to deliver on their core mandates</w:t>
            </w:r>
          </w:p>
          <w:p w14:paraId="7604219D" w14:textId="25649D31" w:rsidR="00A66D2E" w:rsidRDefault="00A66D2E" w:rsidP="003B672F">
            <w:pPr>
              <w:pStyle w:val="Default"/>
              <w:numPr>
                <w:ilvl w:val="0"/>
                <w:numId w:val="88"/>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Lack of</w:t>
            </w:r>
            <w:r w:rsidR="00D311F1">
              <w:rPr>
                <w:rFonts w:asciiTheme="minorHAnsi" w:hAnsiTheme="minorHAnsi"/>
                <w:sz w:val="20"/>
                <w:szCs w:val="20"/>
              </w:rPr>
              <w:t xml:space="preserve"> proper</w:t>
            </w:r>
            <w:r>
              <w:rPr>
                <w:rFonts w:asciiTheme="minorHAnsi" w:hAnsiTheme="minorHAnsi"/>
                <w:sz w:val="20"/>
                <w:szCs w:val="20"/>
              </w:rPr>
              <w:t xml:space="preserve"> integration of </w:t>
            </w:r>
            <w:r w:rsidR="00AF6B23">
              <w:rPr>
                <w:rFonts w:asciiTheme="minorHAnsi" w:hAnsiTheme="minorHAnsi"/>
                <w:sz w:val="20"/>
                <w:szCs w:val="20"/>
              </w:rPr>
              <w:t>p</w:t>
            </w:r>
            <w:r>
              <w:rPr>
                <w:rFonts w:asciiTheme="minorHAnsi" w:hAnsiTheme="minorHAnsi"/>
                <w:sz w:val="20"/>
                <w:szCs w:val="20"/>
              </w:rPr>
              <w:t>lanning</w:t>
            </w:r>
            <w:r w:rsidR="00AF6B23">
              <w:rPr>
                <w:rFonts w:asciiTheme="minorHAnsi" w:hAnsiTheme="minorHAnsi"/>
                <w:sz w:val="20"/>
                <w:szCs w:val="20"/>
              </w:rPr>
              <w:t xml:space="preserve"> and financing</w:t>
            </w:r>
            <w:r>
              <w:rPr>
                <w:rFonts w:asciiTheme="minorHAnsi" w:hAnsiTheme="minorHAnsi"/>
                <w:sz w:val="20"/>
                <w:szCs w:val="20"/>
              </w:rPr>
              <w:t xml:space="preserve"> processes </w:t>
            </w:r>
            <w:r w:rsidR="00AF6B23">
              <w:rPr>
                <w:rFonts w:asciiTheme="minorHAnsi" w:hAnsiTheme="minorHAnsi"/>
                <w:sz w:val="20"/>
                <w:szCs w:val="20"/>
              </w:rPr>
              <w:t xml:space="preserve">with </w:t>
            </w:r>
            <w:r w:rsidR="00C006F8">
              <w:rPr>
                <w:rFonts w:asciiTheme="minorHAnsi" w:hAnsiTheme="minorHAnsi"/>
                <w:sz w:val="20"/>
                <w:szCs w:val="20"/>
              </w:rPr>
              <w:t>financing policies</w:t>
            </w:r>
          </w:p>
          <w:p w14:paraId="59951913" w14:textId="4B18D45C" w:rsidR="00C006F8" w:rsidRPr="00DF7A66" w:rsidRDefault="006105F9" w:rsidP="003B672F">
            <w:pPr>
              <w:pStyle w:val="Default"/>
              <w:numPr>
                <w:ilvl w:val="0"/>
                <w:numId w:val="88"/>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Inadequate alignment with long-term sustainable development priorities</w:t>
            </w:r>
          </w:p>
          <w:p w14:paraId="7E8868BA" w14:textId="38E934FC" w:rsidR="00491660" w:rsidRPr="000E5500" w:rsidRDefault="00491660" w:rsidP="0092616F">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p>
        </w:tc>
      </w:tr>
      <w:tr w:rsidR="000D6736" w:rsidRPr="0071173F" w14:paraId="014EE126"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Pr>
          <w:p w14:paraId="302486EC" w14:textId="77777777" w:rsidR="00491660" w:rsidRPr="000E5500" w:rsidRDefault="00491660" w:rsidP="0071173F">
            <w:r w:rsidRPr="000E5500">
              <w:t>2.</w:t>
            </w:r>
          </w:p>
        </w:tc>
        <w:tc>
          <w:tcPr>
            <w:tcW w:w="1454" w:type="dxa"/>
          </w:tcPr>
          <w:p w14:paraId="0458D5EB" w14:textId="2E88A8E3" w:rsidR="00491660" w:rsidRPr="000E5500" w:rsidRDefault="002B2999" w:rsidP="002B2999">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500">
              <w:rPr>
                <w:rFonts w:asciiTheme="minorHAnsi" w:hAnsiTheme="minorHAnsi"/>
                <w:sz w:val="20"/>
                <w:szCs w:val="20"/>
              </w:rPr>
              <w:t xml:space="preserve">Line Ministries </w:t>
            </w:r>
          </w:p>
        </w:tc>
        <w:tc>
          <w:tcPr>
            <w:tcW w:w="2410" w:type="dxa"/>
          </w:tcPr>
          <w:p w14:paraId="3B515949" w14:textId="0998F158" w:rsidR="005A4E6E" w:rsidRPr="000D6736" w:rsidRDefault="005A4E6E"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D6736">
              <w:rPr>
                <w:rFonts w:asciiTheme="minorHAnsi" w:hAnsiTheme="minorHAnsi"/>
                <w:sz w:val="20"/>
                <w:szCs w:val="20"/>
              </w:rPr>
              <w:t>Contribution to</w:t>
            </w:r>
            <w:r w:rsidR="00611BC3" w:rsidRPr="000D6736">
              <w:rPr>
                <w:rFonts w:asciiTheme="minorHAnsi" w:hAnsiTheme="minorHAnsi"/>
                <w:sz w:val="20"/>
                <w:szCs w:val="20"/>
              </w:rPr>
              <w:t>:</w:t>
            </w:r>
          </w:p>
          <w:p w14:paraId="3ADB0A74" w14:textId="74047B55" w:rsidR="005A4E6E" w:rsidRPr="000D6736" w:rsidRDefault="00611BC3"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D6736">
              <w:rPr>
                <w:rFonts w:asciiTheme="minorHAnsi" w:hAnsiTheme="minorHAnsi"/>
                <w:sz w:val="20"/>
                <w:szCs w:val="20"/>
              </w:rPr>
              <w:t>Assessments of financing gaps</w:t>
            </w:r>
          </w:p>
          <w:p w14:paraId="002CE22E" w14:textId="18677EBF" w:rsidR="005A4E6E" w:rsidRPr="000D6736" w:rsidRDefault="007F42B9"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D6736">
              <w:rPr>
                <w:rFonts w:asciiTheme="minorHAnsi" w:hAnsiTheme="minorHAnsi"/>
                <w:sz w:val="20"/>
                <w:szCs w:val="20"/>
              </w:rPr>
              <w:t>Implementation of financing st</w:t>
            </w:r>
            <w:r w:rsidR="000D6736">
              <w:rPr>
                <w:rFonts w:asciiTheme="minorHAnsi" w:hAnsiTheme="minorHAnsi"/>
                <w:sz w:val="20"/>
                <w:szCs w:val="20"/>
              </w:rPr>
              <w:t>ra</w:t>
            </w:r>
            <w:r w:rsidRPr="000D6736">
              <w:rPr>
                <w:rFonts w:asciiTheme="minorHAnsi" w:hAnsiTheme="minorHAnsi"/>
                <w:sz w:val="20"/>
                <w:szCs w:val="20"/>
              </w:rPr>
              <w:t>tegies</w:t>
            </w:r>
          </w:p>
          <w:p w14:paraId="11262CBB" w14:textId="401FEB54" w:rsidR="00491660" w:rsidRPr="000D6736" w:rsidRDefault="007F42B9"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D6736">
              <w:rPr>
                <w:rFonts w:asciiTheme="minorHAnsi" w:hAnsiTheme="minorHAnsi"/>
                <w:sz w:val="20"/>
                <w:szCs w:val="20"/>
              </w:rPr>
              <w:t>Moni</w:t>
            </w:r>
            <w:r w:rsidR="000D6736" w:rsidRPr="000D6736">
              <w:rPr>
                <w:rFonts w:asciiTheme="minorHAnsi" w:hAnsiTheme="minorHAnsi"/>
                <w:sz w:val="20"/>
                <w:szCs w:val="20"/>
              </w:rPr>
              <w:t>toring of implementation</w:t>
            </w:r>
          </w:p>
        </w:tc>
        <w:tc>
          <w:tcPr>
            <w:tcW w:w="2551" w:type="dxa"/>
          </w:tcPr>
          <w:p w14:paraId="6F59A601" w14:textId="279EF542" w:rsidR="001F1861" w:rsidRPr="00EF3931" w:rsidRDefault="00D578E4"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F3931">
              <w:rPr>
                <w:rFonts w:asciiTheme="minorHAnsi" w:hAnsiTheme="minorHAnsi"/>
                <w:sz w:val="20"/>
                <w:szCs w:val="20"/>
              </w:rPr>
              <w:t>Sector expertise to assist in addressing key binding constraints to financing</w:t>
            </w:r>
            <w:r w:rsidR="00320DE1" w:rsidRPr="00EF3931">
              <w:rPr>
                <w:rFonts w:asciiTheme="minorHAnsi" w:hAnsiTheme="minorHAnsi"/>
                <w:sz w:val="20"/>
                <w:szCs w:val="20"/>
              </w:rPr>
              <w:t xml:space="preserve"> in:</w:t>
            </w:r>
          </w:p>
          <w:p w14:paraId="5D426AC0" w14:textId="143CDB09" w:rsidR="001F1861" w:rsidRPr="00EF3931" w:rsidRDefault="00320DE1"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F3931">
              <w:rPr>
                <w:rFonts w:asciiTheme="minorHAnsi" w:hAnsiTheme="minorHAnsi"/>
                <w:sz w:val="20"/>
                <w:szCs w:val="20"/>
              </w:rPr>
              <w:t>P</w:t>
            </w:r>
            <w:r w:rsidR="00D578E4" w:rsidRPr="00EF3931">
              <w:rPr>
                <w:rFonts w:asciiTheme="minorHAnsi" w:hAnsiTheme="minorHAnsi"/>
                <w:sz w:val="20"/>
                <w:szCs w:val="20"/>
              </w:rPr>
              <w:t xml:space="preserve">ublic financial management </w:t>
            </w:r>
          </w:p>
          <w:p w14:paraId="611393A4" w14:textId="583E1935" w:rsidR="00491660" w:rsidRPr="00EF3931" w:rsidRDefault="00320DE1" w:rsidP="003B672F">
            <w:pPr>
              <w:pStyle w:val="Default"/>
              <w:numPr>
                <w:ilvl w:val="1"/>
                <w:numId w:val="87"/>
              </w:numPr>
              <w:spacing w:before="0" w:after="60"/>
              <w:ind w:left="740" w:hanging="284"/>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EF3931">
              <w:rPr>
                <w:rFonts w:asciiTheme="minorHAnsi" w:hAnsiTheme="minorHAnsi"/>
                <w:sz w:val="20"/>
                <w:szCs w:val="20"/>
              </w:rPr>
              <w:t xml:space="preserve">Sector-specific challenges to private finance access </w:t>
            </w:r>
          </w:p>
        </w:tc>
        <w:tc>
          <w:tcPr>
            <w:tcW w:w="2731" w:type="dxa"/>
          </w:tcPr>
          <w:p w14:paraId="5F13451A" w14:textId="56F7039A" w:rsidR="00491660" w:rsidRPr="007F312B" w:rsidRDefault="00C0423A" w:rsidP="003B672F">
            <w:pPr>
              <w:pStyle w:val="Default"/>
              <w:numPr>
                <w:ilvl w:val="0"/>
                <w:numId w:val="87"/>
              </w:numPr>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Situations of in</w:t>
            </w:r>
            <w:r w:rsidR="0024567D" w:rsidRPr="007F312B">
              <w:rPr>
                <w:rFonts w:asciiTheme="minorHAnsi" w:hAnsiTheme="minorHAnsi"/>
                <w:sz w:val="20"/>
                <w:szCs w:val="20"/>
              </w:rPr>
              <w:t xml:space="preserve">sufficient expertise to understand the full range of </w:t>
            </w:r>
            <w:r>
              <w:rPr>
                <w:rFonts w:asciiTheme="minorHAnsi" w:hAnsiTheme="minorHAnsi"/>
                <w:sz w:val="20"/>
                <w:szCs w:val="20"/>
              </w:rPr>
              <w:t xml:space="preserve">available </w:t>
            </w:r>
            <w:r w:rsidR="0024567D" w:rsidRPr="007F312B">
              <w:rPr>
                <w:rFonts w:asciiTheme="minorHAnsi" w:hAnsiTheme="minorHAnsi"/>
                <w:sz w:val="20"/>
                <w:szCs w:val="20"/>
              </w:rPr>
              <w:t xml:space="preserve">financing options </w:t>
            </w:r>
            <w:r>
              <w:rPr>
                <w:rFonts w:asciiTheme="minorHAnsi" w:hAnsiTheme="minorHAnsi"/>
                <w:sz w:val="20"/>
                <w:szCs w:val="20"/>
              </w:rPr>
              <w:t>for</w:t>
            </w:r>
            <w:r w:rsidR="0024567D" w:rsidRPr="007F312B">
              <w:rPr>
                <w:rFonts w:asciiTheme="minorHAnsi" w:hAnsiTheme="minorHAnsi"/>
                <w:sz w:val="20"/>
                <w:szCs w:val="20"/>
              </w:rPr>
              <w:t xml:space="preserve"> address</w:t>
            </w:r>
            <w:r w:rsidR="00AF0BD4">
              <w:rPr>
                <w:rFonts w:asciiTheme="minorHAnsi" w:hAnsiTheme="minorHAnsi"/>
                <w:sz w:val="20"/>
                <w:szCs w:val="20"/>
              </w:rPr>
              <w:t>ing</w:t>
            </w:r>
            <w:r w:rsidR="0024567D" w:rsidRPr="007F312B">
              <w:rPr>
                <w:rFonts w:asciiTheme="minorHAnsi" w:hAnsiTheme="minorHAnsi"/>
                <w:sz w:val="20"/>
                <w:szCs w:val="20"/>
              </w:rPr>
              <w:t xml:space="preserve"> key priorities</w:t>
            </w:r>
          </w:p>
        </w:tc>
      </w:tr>
      <w:tr w:rsidR="000D6736" w:rsidRPr="0071173F" w14:paraId="422ECF88"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Pr>
          <w:p w14:paraId="4A201518" w14:textId="77777777" w:rsidR="00491660" w:rsidRPr="000E5500" w:rsidRDefault="00491660" w:rsidP="0071173F">
            <w:r w:rsidRPr="000E5500">
              <w:t>3.</w:t>
            </w:r>
          </w:p>
        </w:tc>
        <w:tc>
          <w:tcPr>
            <w:tcW w:w="1454" w:type="dxa"/>
          </w:tcPr>
          <w:p w14:paraId="4BD60C97" w14:textId="359827AD" w:rsidR="00491660" w:rsidRPr="000E5500" w:rsidRDefault="002B2999" w:rsidP="002B2999">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500">
              <w:rPr>
                <w:rFonts w:asciiTheme="minorHAnsi" w:hAnsiTheme="minorHAnsi"/>
                <w:sz w:val="20"/>
                <w:szCs w:val="20"/>
              </w:rPr>
              <w:t xml:space="preserve">Parliaments </w:t>
            </w:r>
          </w:p>
        </w:tc>
        <w:tc>
          <w:tcPr>
            <w:tcW w:w="2410" w:type="dxa"/>
          </w:tcPr>
          <w:p w14:paraId="7620FDA6" w14:textId="77777777" w:rsidR="00C724E1" w:rsidRDefault="00C724E1"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C724E1">
              <w:rPr>
                <w:rFonts w:asciiTheme="minorHAnsi" w:hAnsiTheme="minorHAnsi"/>
                <w:sz w:val="20"/>
                <w:szCs w:val="20"/>
              </w:rPr>
              <w:t>K</w:t>
            </w:r>
            <w:r w:rsidR="002E2741" w:rsidRPr="00C724E1">
              <w:rPr>
                <w:rFonts w:asciiTheme="minorHAnsi" w:hAnsiTheme="minorHAnsi"/>
                <w:sz w:val="20"/>
                <w:szCs w:val="20"/>
              </w:rPr>
              <w:t xml:space="preserve">ey role in the </w:t>
            </w:r>
            <w:r w:rsidR="00C54F75" w:rsidRPr="00C724E1">
              <w:rPr>
                <w:rFonts w:asciiTheme="minorHAnsi" w:hAnsiTheme="minorHAnsi"/>
                <w:sz w:val="20"/>
                <w:szCs w:val="20"/>
              </w:rPr>
              <w:t>budgeting process</w:t>
            </w:r>
            <w:r>
              <w:rPr>
                <w:rFonts w:asciiTheme="minorHAnsi" w:hAnsiTheme="minorHAnsi"/>
                <w:sz w:val="20"/>
                <w:szCs w:val="20"/>
              </w:rPr>
              <w:t xml:space="preserve"> (</w:t>
            </w:r>
            <w:r w:rsidR="00C54F75" w:rsidRPr="00C724E1">
              <w:rPr>
                <w:rFonts w:asciiTheme="minorHAnsi" w:hAnsiTheme="minorHAnsi"/>
                <w:sz w:val="20"/>
                <w:szCs w:val="20"/>
              </w:rPr>
              <w:t>the main economic and financial policy tool of government</w:t>
            </w:r>
            <w:r>
              <w:rPr>
                <w:rFonts w:asciiTheme="minorHAnsi" w:hAnsiTheme="minorHAnsi"/>
                <w:sz w:val="20"/>
                <w:szCs w:val="20"/>
              </w:rPr>
              <w:t>)</w:t>
            </w:r>
          </w:p>
          <w:p w14:paraId="045A6B88" w14:textId="4AA93640" w:rsidR="00C54F75" w:rsidRDefault="00C724E1"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 xml:space="preserve">Oversight of </w:t>
            </w:r>
            <w:r w:rsidR="004F3D6E">
              <w:rPr>
                <w:rFonts w:asciiTheme="minorHAnsi" w:hAnsiTheme="minorHAnsi"/>
                <w:sz w:val="20"/>
                <w:szCs w:val="20"/>
              </w:rPr>
              <w:t xml:space="preserve">the implementation of </w:t>
            </w:r>
            <w:r w:rsidRPr="00AF0BD4">
              <w:rPr>
                <w:rFonts w:asciiTheme="minorHAnsi" w:hAnsiTheme="minorHAnsi"/>
                <w:sz w:val="20"/>
                <w:szCs w:val="20"/>
              </w:rPr>
              <w:t xml:space="preserve">public policy </w:t>
            </w:r>
          </w:p>
          <w:p w14:paraId="533601E9" w14:textId="5B04C6FA" w:rsidR="00491660" w:rsidRPr="004F3D6E" w:rsidRDefault="004F3D6E" w:rsidP="003B672F">
            <w:pPr>
              <w:pStyle w:val="Default"/>
              <w:numPr>
                <w:ilvl w:val="0"/>
                <w:numId w:val="87"/>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Monitoring and review of </w:t>
            </w:r>
            <w:r w:rsidRPr="00AF0BD4">
              <w:rPr>
                <w:rFonts w:asciiTheme="minorHAnsi" w:hAnsiTheme="minorHAnsi"/>
                <w:sz w:val="20"/>
                <w:szCs w:val="20"/>
              </w:rPr>
              <w:t>INFF implementation</w:t>
            </w:r>
          </w:p>
        </w:tc>
        <w:tc>
          <w:tcPr>
            <w:tcW w:w="2551" w:type="dxa"/>
          </w:tcPr>
          <w:p w14:paraId="3988C6C3" w14:textId="3F8EB7E0" w:rsidR="00491660" w:rsidRPr="00FF25D8" w:rsidRDefault="00F77947" w:rsidP="003B672F">
            <w:pPr>
              <w:pStyle w:val="Default"/>
              <w:numPr>
                <w:ilvl w:val="0"/>
                <w:numId w:val="87"/>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 xml:space="preserve">Responsible for </w:t>
            </w:r>
            <w:r w:rsidR="00891EC8">
              <w:rPr>
                <w:rFonts w:asciiTheme="minorHAnsi" w:hAnsiTheme="minorHAnsi"/>
                <w:sz w:val="20"/>
                <w:szCs w:val="20"/>
              </w:rPr>
              <w:t xml:space="preserve">examining </w:t>
            </w:r>
            <w:r w:rsidR="004507AD" w:rsidRPr="00343D86">
              <w:rPr>
                <w:rFonts w:asciiTheme="minorHAnsi" w:hAnsiTheme="minorHAnsi"/>
                <w:sz w:val="20"/>
                <w:szCs w:val="20"/>
              </w:rPr>
              <w:t>national budgets and government policies to ensure alignment with national priorities</w:t>
            </w:r>
            <w:r w:rsidR="00891EC8">
              <w:rPr>
                <w:rFonts w:asciiTheme="minorHAnsi" w:hAnsiTheme="minorHAnsi"/>
                <w:sz w:val="20"/>
                <w:szCs w:val="20"/>
              </w:rPr>
              <w:t xml:space="preserve"> </w:t>
            </w:r>
            <w:r w:rsidR="00891EC8">
              <w:rPr>
                <w:rFonts w:asciiTheme="minorHAnsi" w:hAnsiTheme="minorHAnsi"/>
                <w:sz w:val="20"/>
                <w:szCs w:val="20"/>
              </w:rPr>
              <w:lastRenderedPageBreak/>
              <w:t xml:space="preserve">(based on </w:t>
            </w:r>
            <w:r w:rsidR="004507AD" w:rsidRPr="00343D86">
              <w:rPr>
                <w:rFonts w:asciiTheme="minorHAnsi" w:hAnsiTheme="minorHAnsi"/>
                <w:sz w:val="20"/>
                <w:szCs w:val="20"/>
              </w:rPr>
              <w:t>national strategies and plans</w:t>
            </w:r>
            <w:r w:rsidR="00891EC8">
              <w:rPr>
                <w:rFonts w:asciiTheme="minorHAnsi" w:hAnsiTheme="minorHAnsi"/>
                <w:sz w:val="20"/>
                <w:szCs w:val="20"/>
              </w:rPr>
              <w:t>)</w:t>
            </w:r>
            <w:r w:rsidR="004507AD" w:rsidRPr="00343D86">
              <w:rPr>
                <w:rFonts w:asciiTheme="minorHAnsi" w:hAnsiTheme="minorHAnsi"/>
                <w:sz w:val="20"/>
                <w:szCs w:val="20"/>
              </w:rPr>
              <w:t xml:space="preserve"> </w:t>
            </w:r>
          </w:p>
        </w:tc>
        <w:tc>
          <w:tcPr>
            <w:tcW w:w="2731" w:type="dxa"/>
          </w:tcPr>
          <w:p w14:paraId="6DADDE1C" w14:textId="2E5E5B9A" w:rsidR="00491660" w:rsidRPr="00396577" w:rsidRDefault="003F0F4F" w:rsidP="003B672F">
            <w:pPr>
              <w:pStyle w:val="Default"/>
              <w:numPr>
                <w:ilvl w:val="0"/>
                <w:numId w:val="89"/>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lastRenderedPageBreak/>
              <w:t xml:space="preserve">Limited </w:t>
            </w:r>
            <w:r w:rsidR="004C10AF" w:rsidRPr="007044DC">
              <w:rPr>
                <w:rFonts w:asciiTheme="minorHAnsi" w:hAnsiTheme="minorHAnsi"/>
                <w:sz w:val="20"/>
                <w:szCs w:val="20"/>
              </w:rPr>
              <w:t>ability to shape budgets and provide genuine oversight</w:t>
            </w:r>
            <w:r>
              <w:rPr>
                <w:rFonts w:asciiTheme="minorHAnsi" w:hAnsiTheme="minorHAnsi"/>
                <w:sz w:val="20"/>
                <w:szCs w:val="20"/>
              </w:rPr>
              <w:t xml:space="preserve"> because of process; political and capacity limitations</w:t>
            </w:r>
            <w:r w:rsidR="004C10AF" w:rsidRPr="007044DC">
              <w:rPr>
                <w:rFonts w:asciiTheme="minorHAnsi" w:hAnsiTheme="minorHAnsi"/>
                <w:sz w:val="20"/>
                <w:szCs w:val="20"/>
              </w:rPr>
              <w:t xml:space="preserve"> </w:t>
            </w:r>
          </w:p>
        </w:tc>
      </w:tr>
      <w:tr w:rsidR="000D6736" w:rsidRPr="0071173F" w14:paraId="32CA9FBC"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Pr>
          <w:p w14:paraId="18DC7BE3" w14:textId="77777777" w:rsidR="00491660" w:rsidRPr="000E5500" w:rsidRDefault="00491660" w:rsidP="0071173F">
            <w:r w:rsidRPr="000E5500">
              <w:t>4.</w:t>
            </w:r>
          </w:p>
        </w:tc>
        <w:tc>
          <w:tcPr>
            <w:tcW w:w="1454" w:type="dxa"/>
          </w:tcPr>
          <w:p w14:paraId="5D896105" w14:textId="08E7B758" w:rsidR="00491660" w:rsidRPr="000E5500" w:rsidRDefault="00654060" w:rsidP="00654060">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0E5500">
              <w:rPr>
                <w:rFonts w:asciiTheme="minorHAnsi" w:hAnsiTheme="minorHAnsi"/>
                <w:sz w:val="20"/>
                <w:szCs w:val="20"/>
              </w:rPr>
              <w:t xml:space="preserve">Private sector </w:t>
            </w:r>
          </w:p>
        </w:tc>
        <w:tc>
          <w:tcPr>
            <w:tcW w:w="2410" w:type="dxa"/>
          </w:tcPr>
          <w:p w14:paraId="5D8A54DD" w14:textId="208BDEB3" w:rsidR="00491660" w:rsidRPr="00C12907" w:rsidRDefault="00B2603E" w:rsidP="003B672F">
            <w:pPr>
              <w:pStyle w:val="Default"/>
              <w:numPr>
                <w:ilvl w:val="0"/>
                <w:numId w:val="89"/>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K</w:t>
            </w:r>
            <w:r w:rsidR="009D7FE6" w:rsidRPr="00535528">
              <w:rPr>
                <w:rFonts w:asciiTheme="minorHAnsi" w:hAnsiTheme="minorHAnsi"/>
                <w:sz w:val="20"/>
                <w:szCs w:val="20"/>
              </w:rPr>
              <w:t>ey driver of sustainable development outcomes</w:t>
            </w:r>
            <w:r>
              <w:rPr>
                <w:rFonts w:asciiTheme="minorHAnsi" w:hAnsiTheme="minorHAnsi"/>
                <w:sz w:val="20"/>
                <w:szCs w:val="20"/>
              </w:rPr>
              <w:t xml:space="preserve"> through private </w:t>
            </w:r>
            <w:r w:rsidRPr="00535528">
              <w:rPr>
                <w:rFonts w:asciiTheme="minorHAnsi" w:hAnsiTheme="minorHAnsi"/>
                <w:sz w:val="20"/>
                <w:szCs w:val="20"/>
              </w:rPr>
              <w:t>finance and investment</w:t>
            </w:r>
          </w:p>
        </w:tc>
        <w:tc>
          <w:tcPr>
            <w:tcW w:w="2551" w:type="dxa"/>
          </w:tcPr>
          <w:p w14:paraId="3AB8AAE3" w14:textId="734AB400" w:rsidR="00491660" w:rsidRPr="00535528" w:rsidRDefault="00204E3D" w:rsidP="003B672F">
            <w:pPr>
              <w:pStyle w:val="Default"/>
              <w:numPr>
                <w:ilvl w:val="0"/>
                <w:numId w:val="89"/>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F25D8">
              <w:rPr>
                <w:rFonts w:asciiTheme="minorHAnsi" w:hAnsiTheme="minorHAnsi"/>
                <w:sz w:val="20"/>
                <w:szCs w:val="20"/>
              </w:rPr>
              <w:t>Financial sector actors have important technical knowledge on financing instruments and key policy constraint</w:t>
            </w:r>
            <w:r w:rsidR="00E83BF1">
              <w:rPr>
                <w:rFonts w:asciiTheme="minorHAnsi" w:hAnsiTheme="minorHAnsi"/>
                <w:sz w:val="20"/>
                <w:szCs w:val="20"/>
              </w:rPr>
              <w:t>s to financial</w:t>
            </w:r>
            <w:r w:rsidRPr="00FF25D8">
              <w:rPr>
                <w:rFonts w:asciiTheme="minorHAnsi" w:hAnsiTheme="minorHAnsi"/>
                <w:sz w:val="20"/>
                <w:szCs w:val="20"/>
              </w:rPr>
              <w:t xml:space="preserve"> sector development </w:t>
            </w:r>
          </w:p>
        </w:tc>
        <w:tc>
          <w:tcPr>
            <w:tcW w:w="2731" w:type="dxa"/>
          </w:tcPr>
          <w:p w14:paraId="0D856975" w14:textId="77777777" w:rsidR="00111185" w:rsidRDefault="009C3F9C" w:rsidP="003B672F">
            <w:pPr>
              <w:pStyle w:val="Default"/>
              <w:numPr>
                <w:ilvl w:val="0"/>
                <w:numId w:val="89"/>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Un</w:t>
            </w:r>
            <w:r w:rsidRPr="00492BE7">
              <w:rPr>
                <w:rFonts w:asciiTheme="minorHAnsi" w:hAnsiTheme="minorHAnsi"/>
                <w:sz w:val="20"/>
                <w:szCs w:val="20"/>
              </w:rPr>
              <w:t xml:space="preserve">derdeveloped </w:t>
            </w:r>
            <w:r w:rsidR="009D7FE6" w:rsidRPr="00492BE7">
              <w:rPr>
                <w:rFonts w:asciiTheme="minorHAnsi" w:hAnsiTheme="minorHAnsi"/>
                <w:sz w:val="20"/>
                <w:szCs w:val="20"/>
              </w:rPr>
              <w:t>private and financial sector</w:t>
            </w:r>
            <w:r>
              <w:rPr>
                <w:rFonts w:asciiTheme="minorHAnsi" w:hAnsiTheme="minorHAnsi"/>
                <w:sz w:val="20"/>
                <w:szCs w:val="20"/>
              </w:rPr>
              <w:t>s in several target countries</w:t>
            </w:r>
            <w:r w:rsidR="009D7FE6" w:rsidRPr="00492BE7">
              <w:rPr>
                <w:rFonts w:asciiTheme="minorHAnsi" w:hAnsiTheme="minorHAnsi"/>
                <w:sz w:val="20"/>
                <w:szCs w:val="20"/>
              </w:rPr>
              <w:t xml:space="preserve"> </w:t>
            </w:r>
          </w:p>
          <w:p w14:paraId="7A5BE770" w14:textId="5717CCCA" w:rsidR="00491660" w:rsidRPr="00535528" w:rsidRDefault="00111185" w:rsidP="003B672F">
            <w:pPr>
              <w:pStyle w:val="Default"/>
              <w:numPr>
                <w:ilvl w:val="0"/>
                <w:numId w:val="89"/>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Inability of </w:t>
            </w:r>
            <w:r w:rsidR="00FF25D8">
              <w:rPr>
                <w:rFonts w:asciiTheme="minorHAnsi" w:hAnsiTheme="minorHAnsi"/>
                <w:sz w:val="20"/>
                <w:szCs w:val="20"/>
              </w:rPr>
              <w:t xml:space="preserve">private </w:t>
            </w:r>
            <w:r w:rsidR="009D7FE6" w:rsidRPr="00492BE7">
              <w:rPr>
                <w:rFonts w:asciiTheme="minorHAnsi" w:hAnsiTheme="minorHAnsi"/>
                <w:sz w:val="20"/>
                <w:szCs w:val="20"/>
              </w:rPr>
              <w:t>and</w:t>
            </w:r>
            <w:r w:rsidR="00FF25D8">
              <w:rPr>
                <w:rFonts w:asciiTheme="minorHAnsi" w:hAnsiTheme="minorHAnsi"/>
                <w:sz w:val="20"/>
                <w:szCs w:val="20"/>
              </w:rPr>
              <w:t>/ or financial sector t</w:t>
            </w:r>
            <w:r w:rsidR="009D7FE6" w:rsidRPr="00492BE7">
              <w:rPr>
                <w:rFonts w:asciiTheme="minorHAnsi" w:hAnsiTheme="minorHAnsi"/>
                <w:sz w:val="20"/>
                <w:szCs w:val="20"/>
              </w:rPr>
              <w:t xml:space="preserve">o provide long-term financing for productive investments in the SDGs </w:t>
            </w:r>
          </w:p>
        </w:tc>
      </w:tr>
      <w:tr w:rsidR="001A10E8" w:rsidRPr="00F408D3" w14:paraId="044839FD" w14:textId="77777777" w:rsidTr="00B67C2D">
        <w:trPr>
          <w:jc w:val="center"/>
        </w:trPr>
        <w:tc>
          <w:tcPr>
            <w:cnfStyle w:val="001000000000" w:firstRow="0" w:lastRow="0" w:firstColumn="1" w:lastColumn="0" w:oddVBand="0" w:evenVBand="0" w:oddHBand="0" w:evenHBand="0" w:firstRowFirstColumn="0" w:firstRowLastColumn="0" w:lastRowFirstColumn="0" w:lastRowLastColumn="0"/>
            <w:tcW w:w="523" w:type="dxa"/>
          </w:tcPr>
          <w:p w14:paraId="225EC671" w14:textId="77777777" w:rsidR="00491660" w:rsidRPr="00F408D3" w:rsidRDefault="00491660" w:rsidP="00F408D3">
            <w:pPr>
              <w:spacing w:before="0" w:after="60"/>
            </w:pPr>
            <w:r w:rsidRPr="00F408D3">
              <w:t>5.</w:t>
            </w:r>
          </w:p>
        </w:tc>
        <w:tc>
          <w:tcPr>
            <w:tcW w:w="1454" w:type="dxa"/>
          </w:tcPr>
          <w:p w14:paraId="28EF9A0B" w14:textId="49CE2402" w:rsidR="00491660" w:rsidRPr="00F408D3" w:rsidRDefault="00397EE2" w:rsidP="00F408D3">
            <w:pPr>
              <w:spacing w:before="0" w:after="60"/>
              <w:cnfStyle w:val="000000000000" w:firstRow="0" w:lastRow="0" w:firstColumn="0" w:lastColumn="0" w:oddVBand="0" w:evenVBand="0" w:oddHBand="0" w:evenHBand="0" w:firstRowFirstColumn="0" w:firstRowLastColumn="0" w:lastRowFirstColumn="0" w:lastRowLastColumn="0"/>
            </w:pPr>
            <w:r w:rsidRPr="00F408D3">
              <w:t>Development partners</w:t>
            </w:r>
          </w:p>
        </w:tc>
        <w:tc>
          <w:tcPr>
            <w:tcW w:w="2410" w:type="dxa"/>
          </w:tcPr>
          <w:p w14:paraId="6D3AC920" w14:textId="63553D60" w:rsidR="009B541A" w:rsidRDefault="001A10E8" w:rsidP="003B672F">
            <w:pPr>
              <w:pStyle w:val="Default"/>
              <w:numPr>
                <w:ilvl w:val="0"/>
                <w:numId w:val="89"/>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Contribution of t</w:t>
            </w:r>
            <w:r w:rsidR="00DB27B4" w:rsidRPr="00F408D3">
              <w:rPr>
                <w:rFonts w:asciiTheme="minorHAnsi" w:hAnsiTheme="minorHAnsi"/>
                <w:sz w:val="20"/>
                <w:szCs w:val="20"/>
              </w:rPr>
              <w:t>echnical expertise in many priority areas for the implementation of INFFs</w:t>
            </w:r>
            <w:r w:rsidR="009B541A" w:rsidRPr="00F408D3">
              <w:rPr>
                <w:rFonts w:asciiTheme="minorHAnsi" w:hAnsiTheme="minorHAnsi"/>
                <w:sz w:val="20"/>
                <w:szCs w:val="20"/>
              </w:rPr>
              <w:t xml:space="preserve"> </w:t>
            </w:r>
          </w:p>
          <w:p w14:paraId="37209E3F" w14:textId="7280C669" w:rsidR="00E80C4D" w:rsidRPr="00CE2EF3" w:rsidRDefault="001A10E8" w:rsidP="003B672F">
            <w:pPr>
              <w:pStyle w:val="Default"/>
              <w:numPr>
                <w:ilvl w:val="0"/>
                <w:numId w:val="89"/>
              </w:numPr>
              <w:spacing w:before="0" w:after="60"/>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 xml:space="preserve">Ability to share experience </w:t>
            </w:r>
            <w:r w:rsidR="00CE2EF3">
              <w:rPr>
                <w:rFonts w:asciiTheme="minorHAnsi" w:hAnsiTheme="minorHAnsi"/>
                <w:sz w:val="20"/>
                <w:szCs w:val="20"/>
              </w:rPr>
              <w:t>based on close engagement in INFF design in other countries</w:t>
            </w:r>
          </w:p>
        </w:tc>
        <w:tc>
          <w:tcPr>
            <w:tcW w:w="2551" w:type="dxa"/>
          </w:tcPr>
          <w:p w14:paraId="567F5471" w14:textId="082444B4" w:rsidR="00491660" w:rsidRPr="00F408D3" w:rsidRDefault="00F408D3" w:rsidP="003B672F">
            <w:pPr>
              <w:pStyle w:val="Default"/>
              <w:numPr>
                <w:ilvl w:val="0"/>
                <w:numId w:val="90"/>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Pr>
                <w:rFonts w:asciiTheme="minorHAnsi" w:hAnsiTheme="minorHAnsi"/>
                <w:sz w:val="20"/>
                <w:szCs w:val="20"/>
              </w:rPr>
              <w:t>T</w:t>
            </w:r>
            <w:r w:rsidR="00EB7F50" w:rsidRPr="00F408D3">
              <w:rPr>
                <w:rFonts w:asciiTheme="minorHAnsi" w:hAnsiTheme="minorHAnsi"/>
                <w:sz w:val="20"/>
                <w:szCs w:val="20"/>
              </w:rPr>
              <w:t>echnical expertise in many</w:t>
            </w:r>
            <w:r w:rsidR="00122542" w:rsidRPr="00F408D3">
              <w:rPr>
                <w:rFonts w:asciiTheme="minorHAnsi" w:hAnsiTheme="minorHAnsi"/>
                <w:sz w:val="20"/>
                <w:szCs w:val="20"/>
              </w:rPr>
              <w:t xml:space="preserve"> </w:t>
            </w:r>
            <w:r w:rsidRPr="00F408D3">
              <w:rPr>
                <w:rFonts w:asciiTheme="minorHAnsi" w:hAnsiTheme="minorHAnsi"/>
                <w:sz w:val="20"/>
                <w:szCs w:val="20"/>
              </w:rPr>
              <w:t xml:space="preserve">priority </w:t>
            </w:r>
            <w:r w:rsidR="00EB7F50" w:rsidRPr="00F408D3">
              <w:rPr>
                <w:rFonts w:asciiTheme="minorHAnsi" w:hAnsiTheme="minorHAnsi"/>
                <w:sz w:val="20"/>
                <w:szCs w:val="20"/>
              </w:rPr>
              <w:t xml:space="preserve">areas </w:t>
            </w:r>
            <w:r w:rsidRPr="00F408D3">
              <w:rPr>
                <w:rFonts w:asciiTheme="minorHAnsi" w:hAnsiTheme="minorHAnsi"/>
                <w:sz w:val="20"/>
                <w:szCs w:val="20"/>
              </w:rPr>
              <w:t>for</w:t>
            </w:r>
            <w:r w:rsidR="00EB7F50" w:rsidRPr="00F408D3">
              <w:rPr>
                <w:rFonts w:asciiTheme="minorHAnsi" w:hAnsiTheme="minorHAnsi"/>
                <w:sz w:val="20"/>
                <w:szCs w:val="20"/>
              </w:rPr>
              <w:t xml:space="preserve"> the implementation of INFF</w:t>
            </w:r>
            <w:r w:rsidRPr="00F408D3">
              <w:rPr>
                <w:rFonts w:asciiTheme="minorHAnsi" w:hAnsiTheme="minorHAnsi"/>
                <w:sz w:val="20"/>
                <w:szCs w:val="20"/>
              </w:rPr>
              <w:t>s</w:t>
            </w:r>
          </w:p>
        </w:tc>
        <w:tc>
          <w:tcPr>
            <w:tcW w:w="2731" w:type="dxa"/>
          </w:tcPr>
          <w:p w14:paraId="0AF56C4B" w14:textId="6EAE90F4" w:rsidR="00491660" w:rsidRPr="00F408D3" w:rsidRDefault="00C12907" w:rsidP="003B672F">
            <w:pPr>
              <w:pStyle w:val="Default"/>
              <w:numPr>
                <w:ilvl w:val="0"/>
                <w:numId w:val="89"/>
              </w:numPr>
              <w:spacing w:before="0" w:after="60"/>
              <w:ind w:left="357" w:hanging="357"/>
              <w:cnfStyle w:val="000000000000" w:firstRow="0" w:lastRow="0" w:firstColumn="0" w:lastColumn="0" w:oddVBand="0" w:evenVBand="0" w:oddHBand="0" w:evenHBand="0" w:firstRowFirstColumn="0" w:firstRowLastColumn="0" w:lastRowFirstColumn="0" w:lastRowLastColumn="0"/>
              <w:rPr>
                <w:rFonts w:asciiTheme="minorHAnsi" w:hAnsiTheme="minorHAnsi"/>
                <w:sz w:val="20"/>
                <w:szCs w:val="20"/>
              </w:rPr>
            </w:pPr>
            <w:r w:rsidRPr="00F408D3">
              <w:rPr>
                <w:rFonts w:asciiTheme="minorHAnsi" w:hAnsiTheme="minorHAnsi"/>
                <w:sz w:val="20"/>
                <w:szCs w:val="20"/>
              </w:rPr>
              <w:t>D</w:t>
            </w:r>
            <w:r w:rsidR="00D456C0" w:rsidRPr="00F408D3">
              <w:rPr>
                <w:rFonts w:asciiTheme="minorHAnsi" w:hAnsiTheme="minorHAnsi"/>
                <w:sz w:val="20"/>
                <w:szCs w:val="20"/>
              </w:rPr>
              <w:t xml:space="preserve">onor priorities </w:t>
            </w:r>
            <w:r w:rsidRPr="00F408D3">
              <w:rPr>
                <w:rFonts w:asciiTheme="minorHAnsi" w:hAnsiTheme="minorHAnsi"/>
                <w:sz w:val="20"/>
                <w:szCs w:val="20"/>
              </w:rPr>
              <w:t xml:space="preserve">often </w:t>
            </w:r>
            <w:r w:rsidR="00D456C0" w:rsidRPr="00F408D3">
              <w:rPr>
                <w:rFonts w:asciiTheme="minorHAnsi" w:hAnsiTheme="minorHAnsi"/>
                <w:sz w:val="20"/>
                <w:szCs w:val="20"/>
              </w:rPr>
              <w:t xml:space="preserve">shape INFF design and/or formulation </w:t>
            </w:r>
            <w:r w:rsidR="00454741" w:rsidRPr="00F408D3">
              <w:rPr>
                <w:rFonts w:asciiTheme="minorHAnsi" w:hAnsiTheme="minorHAnsi"/>
                <w:sz w:val="20"/>
                <w:szCs w:val="20"/>
              </w:rPr>
              <w:t>of</w:t>
            </w:r>
            <w:r w:rsidR="00D456C0" w:rsidRPr="00F408D3">
              <w:rPr>
                <w:rFonts w:asciiTheme="minorHAnsi" w:hAnsiTheme="minorHAnsi"/>
                <w:sz w:val="20"/>
                <w:szCs w:val="20"/>
              </w:rPr>
              <w:t xml:space="preserve"> financing strateg</w:t>
            </w:r>
            <w:r w:rsidR="00454741" w:rsidRPr="00F408D3">
              <w:rPr>
                <w:rFonts w:asciiTheme="minorHAnsi" w:hAnsiTheme="minorHAnsi"/>
                <w:sz w:val="20"/>
                <w:szCs w:val="20"/>
              </w:rPr>
              <w:t>ies</w:t>
            </w:r>
            <w:r w:rsidR="00D456C0" w:rsidRPr="00F408D3">
              <w:rPr>
                <w:rFonts w:asciiTheme="minorHAnsi" w:hAnsiTheme="minorHAnsi"/>
                <w:sz w:val="20"/>
                <w:szCs w:val="20"/>
              </w:rPr>
              <w:t xml:space="preserve"> and related technical assistance</w:t>
            </w:r>
            <w:r w:rsidR="00B74195" w:rsidRPr="00F408D3">
              <w:rPr>
                <w:rFonts w:asciiTheme="minorHAnsi" w:hAnsiTheme="minorHAnsi"/>
                <w:sz w:val="20"/>
                <w:szCs w:val="20"/>
              </w:rPr>
              <w:t xml:space="preserve"> </w:t>
            </w:r>
          </w:p>
        </w:tc>
      </w:tr>
    </w:tbl>
    <w:p w14:paraId="2AB1B2F9" w14:textId="2661C57E" w:rsidR="00DC0F91" w:rsidRDefault="00DC0F91" w:rsidP="002671AE">
      <w:pPr>
        <w:pStyle w:val="DocumentSource"/>
      </w:pPr>
      <w:r>
        <w:t xml:space="preserve">Source: Adapted from Project document, </w:t>
      </w:r>
      <w:r w:rsidR="00604F9F">
        <w:t xml:space="preserve">sub-Section 3.3, </w:t>
      </w:r>
      <w:r w:rsidR="005D2A18">
        <w:t>pp. 16</w:t>
      </w:r>
      <w:r>
        <w:t>-1</w:t>
      </w:r>
      <w:r w:rsidR="00604F9F">
        <w:t>9</w:t>
      </w:r>
      <w:r>
        <w:t>.</w:t>
      </w:r>
    </w:p>
    <w:p w14:paraId="28ABDA3E" w14:textId="6EDA55B9" w:rsidR="00CF47B5" w:rsidRPr="00DF0C97" w:rsidRDefault="00CF47B5" w:rsidP="00DF0C97">
      <w:pPr>
        <w:pStyle w:val="Heading9"/>
      </w:pPr>
      <w:bookmarkStart w:id="60" w:name="_Toc210730356"/>
      <w:bookmarkEnd w:id="58"/>
      <w:r w:rsidRPr="00AB163B">
        <w:lastRenderedPageBreak/>
        <w:t xml:space="preserve">Annex </w:t>
      </w:r>
      <w:r w:rsidR="00C51A89">
        <w:t>4</w:t>
      </w:r>
      <w:r w:rsidRPr="00AB163B">
        <w:t xml:space="preserve"> </w:t>
      </w:r>
      <w:r w:rsidR="00CF7AFB" w:rsidRPr="00AB163B">
        <w:t xml:space="preserve">Definition of </w:t>
      </w:r>
      <w:r w:rsidRPr="00AB163B">
        <w:t xml:space="preserve">Evaluation </w:t>
      </w:r>
      <w:r w:rsidR="003D3FBA" w:rsidRPr="00AB163B">
        <w:t>Criteria</w:t>
      </w:r>
      <w:bookmarkEnd w:id="60"/>
    </w:p>
    <w:tbl>
      <w:tblPr>
        <w:tblStyle w:val="BlueTable"/>
        <w:tblW w:w="4998" w:type="pct"/>
        <w:tblLook w:val="06A0" w:firstRow="1" w:lastRow="0" w:firstColumn="1" w:lastColumn="0" w:noHBand="1" w:noVBand="1"/>
      </w:tblPr>
      <w:tblGrid>
        <w:gridCol w:w="642"/>
        <w:gridCol w:w="2336"/>
        <w:gridCol w:w="6690"/>
      </w:tblGrid>
      <w:tr w:rsidR="003D3FBA" w:rsidRPr="00DF0C97" w14:paraId="28599F81" w14:textId="77777777" w:rsidTr="00DF0C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0" w:type="pct"/>
            <w:gridSpan w:val="2"/>
          </w:tcPr>
          <w:p w14:paraId="4A177FE1" w14:textId="77777777" w:rsidR="003D3FBA" w:rsidRPr="00DF0C97" w:rsidRDefault="003D3FBA" w:rsidP="00DF0C97">
            <w:r w:rsidRPr="00DF0C97">
              <w:t>Evaluation criteria</w:t>
            </w:r>
          </w:p>
        </w:tc>
        <w:tc>
          <w:tcPr>
            <w:tcW w:w="3460" w:type="pct"/>
          </w:tcPr>
          <w:p w14:paraId="0291A452" w14:textId="77777777" w:rsidR="003D3FBA" w:rsidRPr="00DF0C97" w:rsidRDefault="003D3FBA" w:rsidP="00DF0C97">
            <w:pPr>
              <w:cnfStyle w:val="100000000000" w:firstRow="1" w:lastRow="0" w:firstColumn="0" w:lastColumn="0" w:oddVBand="0" w:evenVBand="0" w:oddHBand="0" w:evenHBand="0" w:firstRowFirstColumn="0" w:firstRowLastColumn="0" w:lastRowFirstColumn="0" w:lastRowLastColumn="0"/>
            </w:pPr>
            <w:r w:rsidRPr="00DF0C97">
              <w:t>Definitions</w:t>
            </w:r>
          </w:p>
        </w:tc>
      </w:tr>
      <w:tr w:rsidR="003D3FBA" w:rsidRPr="00DF0C97" w14:paraId="6F3717C1"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1148D6CF" w14:textId="77777777" w:rsidR="003D3FBA" w:rsidRPr="00DF0C97" w:rsidRDefault="003D3FBA" w:rsidP="00ED6CA0">
            <w:pPr>
              <w:spacing w:after="120"/>
            </w:pPr>
            <w:r w:rsidRPr="00DF0C97">
              <w:t>1.</w:t>
            </w:r>
          </w:p>
        </w:tc>
        <w:tc>
          <w:tcPr>
            <w:tcW w:w="1208" w:type="pct"/>
          </w:tcPr>
          <w:p w14:paraId="32657D7F"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Relevance</w:t>
            </w:r>
          </w:p>
        </w:tc>
        <w:tc>
          <w:tcPr>
            <w:tcW w:w="3460" w:type="pct"/>
          </w:tcPr>
          <w:p w14:paraId="6F14188D" w14:textId="165AD0E2" w:rsidR="003D3FBA"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 intervention objectives and design respond to</w:t>
            </w:r>
            <w:r w:rsidR="005532C3" w:rsidRPr="005532C3">
              <w:rPr>
                <w:vertAlign w:val="superscript"/>
              </w:rPr>
              <w:t>*</w:t>
            </w:r>
            <w:r w:rsidRPr="00DF0C97">
              <w:t xml:space="preserve"> beneficiaries’, global, country, and partner/institution needs, policies, and priorities, and continue to do so if circumstances change</w:t>
            </w:r>
          </w:p>
          <w:p w14:paraId="7A8C30BF" w14:textId="5DC47B31" w:rsidR="00F613EB" w:rsidRPr="00DF0C97" w:rsidRDefault="001A549D" w:rsidP="00171A57">
            <w:pPr>
              <w:spacing w:after="120"/>
              <w:cnfStyle w:val="000000000000" w:firstRow="0" w:lastRow="0" w:firstColumn="0" w:lastColumn="0" w:oddVBand="0" w:evenVBand="0" w:oddHBand="0" w:evenHBand="0" w:firstRowFirstColumn="0" w:firstRowLastColumn="0" w:lastRowFirstColumn="0" w:lastRowLastColumn="0"/>
            </w:pPr>
            <w:r>
              <w:t xml:space="preserve">* i.e. are sensitive to </w:t>
            </w:r>
            <w:r w:rsidRPr="00F613EB">
              <w:rPr>
                <w:lang w:val="en-CA"/>
              </w:rPr>
              <w:t>the economic,</w:t>
            </w:r>
            <w:r>
              <w:rPr>
                <w:lang w:val="en-CA"/>
              </w:rPr>
              <w:t xml:space="preserve"> </w:t>
            </w:r>
            <w:r w:rsidRPr="00F613EB">
              <w:rPr>
                <w:lang w:val="en-CA"/>
              </w:rPr>
              <w:t>environmental, equity, social, political economy, and capacity</w:t>
            </w:r>
            <w:r>
              <w:rPr>
                <w:lang w:val="en-CA"/>
              </w:rPr>
              <w:t xml:space="preserve"> </w:t>
            </w:r>
            <w:r w:rsidRPr="00F613EB">
              <w:rPr>
                <w:lang w:val="en-CA"/>
              </w:rPr>
              <w:t xml:space="preserve">conditions in which </w:t>
            </w:r>
            <w:r>
              <w:rPr>
                <w:lang w:val="en-CA"/>
              </w:rPr>
              <w:t>the intervention</w:t>
            </w:r>
            <w:r w:rsidRPr="00F613EB">
              <w:rPr>
                <w:lang w:val="en-CA"/>
              </w:rPr>
              <w:t xml:space="preserve"> takes place</w:t>
            </w:r>
          </w:p>
        </w:tc>
      </w:tr>
      <w:tr w:rsidR="003D3FBA" w:rsidRPr="00DF0C97" w14:paraId="3AAFE716"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2F97376F" w14:textId="77777777" w:rsidR="003D3FBA" w:rsidRPr="00DF0C97" w:rsidRDefault="003D3FBA" w:rsidP="00ED6CA0">
            <w:pPr>
              <w:spacing w:after="120"/>
            </w:pPr>
            <w:r w:rsidRPr="00DF0C97">
              <w:t>2.</w:t>
            </w:r>
          </w:p>
        </w:tc>
        <w:tc>
          <w:tcPr>
            <w:tcW w:w="1208" w:type="pct"/>
          </w:tcPr>
          <w:p w14:paraId="57365B97"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Coherence</w:t>
            </w:r>
          </w:p>
        </w:tc>
        <w:tc>
          <w:tcPr>
            <w:tcW w:w="3460" w:type="pct"/>
          </w:tcPr>
          <w:p w14:paraId="5B648785"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compatibility of the intervention with other interventions in a country; sector or institution</w:t>
            </w:r>
          </w:p>
        </w:tc>
      </w:tr>
      <w:tr w:rsidR="003D3FBA" w:rsidRPr="00DF0C97" w14:paraId="63F49281"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094114CE" w14:textId="77777777" w:rsidR="003D3FBA" w:rsidRPr="00DF0C97" w:rsidRDefault="003D3FBA" w:rsidP="00ED6CA0">
            <w:pPr>
              <w:spacing w:after="120"/>
            </w:pPr>
            <w:r w:rsidRPr="00DF0C97">
              <w:t>3.</w:t>
            </w:r>
          </w:p>
        </w:tc>
        <w:tc>
          <w:tcPr>
            <w:tcW w:w="1208" w:type="pct"/>
          </w:tcPr>
          <w:p w14:paraId="20C7E633"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Effectiveness</w:t>
            </w:r>
          </w:p>
        </w:tc>
        <w:tc>
          <w:tcPr>
            <w:tcW w:w="3460" w:type="pct"/>
          </w:tcPr>
          <w:p w14:paraId="2FD6F152"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 intervention achieved, or is expected to achieve, its objectives, and its results, including any differential results across groups</w:t>
            </w:r>
          </w:p>
        </w:tc>
      </w:tr>
      <w:tr w:rsidR="003D3FBA" w:rsidRPr="00DF0C97" w14:paraId="423716CE"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38A55626" w14:textId="77777777" w:rsidR="003D3FBA" w:rsidRPr="00DF0C97" w:rsidRDefault="003D3FBA" w:rsidP="00ED6CA0">
            <w:pPr>
              <w:spacing w:after="120"/>
            </w:pPr>
            <w:r w:rsidRPr="00DF0C97">
              <w:t>4.</w:t>
            </w:r>
          </w:p>
        </w:tc>
        <w:tc>
          <w:tcPr>
            <w:tcW w:w="1208" w:type="pct"/>
          </w:tcPr>
          <w:p w14:paraId="39E6D03D"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Efficiency</w:t>
            </w:r>
          </w:p>
        </w:tc>
        <w:tc>
          <w:tcPr>
            <w:tcW w:w="3460" w:type="pct"/>
          </w:tcPr>
          <w:p w14:paraId="66CF853B"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 intervention delivers, or is likely to deliver, results in an economic and timely way</w:t>
            </w:r>
          </w:p>
        </w:tc>
      </w:tr>
      <w:tr w:rsidR="003D3FBA" w:rsidRPr="00DF0C97" w14:paraId="650DD6F3"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5672A5AA" w14:textId="77777777" w:rsidR="003D3FBA" w:rsidRPr="00DF0C97" w:rsidRDefault="003D3FBA" w:rsidP="00ED6CA0">
            <w:pPr>
              <w:spacing w:after="120"/>
            </w:pPr>
            <w:r w:rsidRPr="00DF0C97">
              <w:t>5.</w:t>
            </w:r>
          </w:p>
        </w:tc>
        <w:tc>
          <w:tcPr>
            <w:tcW w:w="1208" w:type="pct"/>
          </w:tcPr>
          <w:p w14:paraId="074A59E1"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Impact</w:t>
            </w:r>
          </w:p>
        </w:tc>
        <w:tc>
          <w:tcPr>
            <w:tcW w:w="3460" w:type="pct"/>
          </w:tcPr>
          <w:p w14:paraId="4A66CE86" w14:textId="0CF5CDFE" w:rsidR="00475E2C" w:rsidRPr="00DF0C97" w:rsidRDefault="003D3FBA" w:rsidP="00475E2C">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w:t>
            </w:r>
            <w:r w:rsidR="00A5580C">
              <w:t xml:space="preserve"> intervention has generated or is expected to generate significant positive or negative, intended or unintended, higher-level effects </w:t>
            </w:r>
            <w:r w:rsidR="004E1711">
              <w:t xml:space="preserve">i.e. </w:t>
            </w:r>
            <w:r w:rsidR="004E1711" w:rsidRPr="004E1711">
              <w:rPr>
                <w:lang w:val="en-CA"/>
              </w:rPr>
              <w:t>effects that are longer term or broader in scope than</w:t>
            </w:r>
            <w:r w:rsidR="00BF3521">
              <w:rPr>
                <w:lang w:val="en-CA"/>
              </w:rPr>
              <w:t xml:space="preserve"> </w:t>
            </w:r>
            <w:r w:rsidR="004E1711" w:rsidRPr="004E1711">
              <w:rPr>
                <w:lang w:val="en-CA"/>
              </w:rPr>
              <w:t>those already captured under the effectiveness criterion</w:t>
            </w:r>
          </w:p>
        </w:tc>
      </w:tr>
      <w:tr w:rsidR="00C30CE4" w:rsidRPr="00DF0C97" w14:paraId="5452370D" w14:textId="77777777" w:rsidTr="00C30CE4">
        <w:tc>
          <w:tcPr>
            <w:cnfStyle w:val="001000000000" w:firstRow="0" w:lastRow="0" w:firstColumn="1" w:lastColumn="0" w:oddVBand="0" w:evenVBand="0" w:oddHBand="0" w:evenHBand="0" w:firstRowFirstColumn="0" w:firstRowLastColumn="0" w:lastRowFirstColumn="0" w:lastRowLastColumn="0"/>
            <w:tcW w:w="332" w:type="pct"/>
          </w:tcPr>
          <w:p w14:paraId="5EFC142C" w14:textId="77777777" w:rsidR="00C30CE4" w:rsidRPr="00DF0C97" w:rsidRDefault="00C30CE4" w:rsidP="00ED6CA0">
            <w:pPr>
              <w:spacing w:after="120"/>
            </w:pPr>
            <w:r w:rsidRPr="00DF0C97">
              <w:t>6.</w:t>
            </w:r>
          </w:p>
        </w:tc>
        <w:tc>
          <w:tcPr>
            <w:tcW w:w="4668" w:type="pct"/>
            <w:gridSpan w:val="2"/>
          </w:tcPr>
          <w:p w14:paraId="71EE0C13" w14:textId="152D5D92" w:rsidR="00C30CE4" w:rsidRPr="00DF0C97" w:rsidRDefault="00C30CE4" w:rsidP="00ED6CA0">
            <w:pPr>
              <w:spacing w:after="120"/>
              <w:cnfStyle w:val="000000000000" w:firstRow="0" w:lastRow="0" w:firstColumn="0" w:lastColumn="0" w:oddVBand="0" w:evenVBand="0" w:oddHBand="0" w:evenHBand="0" w:firstRowFirstColumn="0" w:firstRowLastColumn="0" w:lastRowFirstColumn="0" w:lastRowLastColumn="0"/>
            </w:pPr>
            <w:r w:rsidRPr="00DF0C97">
              <w:t>Cross-cutting</w:t>
            </w:r>
            <w:r w:rsidR="00054C9D">
              <w:t xml:space="preserve"> </w:t>
            </w:r>
            <w:r w:rsidR="00D2269F">
              <w:t>issues</w:t>
            </w:r>
            <w:r w:rsidRPr="00DF0C97">
              <w:t>:</w:t>
            </w:r>
          </w:p>
        </w:tc>
      </w:tr>
      <w:tr w:rsidR="003D3FBA" w:rsidRPr="00DF0C97" w14:paraId="7351B689"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7116DB31" w14:textId="77777777" w:rsidR="003D3FBA" w:rsidRPr="00DF0C97" w:rsidRDefault="003D3FBA" w:rsidP="00ED6CA0">
            <w:pPr>
              <w:spacing w:after="120"/>
            </w:pPr>
            <w:r w:rsidRPr="00DF0C97">
              <w:t>6.1.</w:t>
            </w:r>
          </w:p>
        </w:tc>
        <w:tc>
          <w:tcPr>
            <w:tcW w:w="1208" w:type="pct"/>
          </w:tcPr>
          <w:p w14:paraId="14E3CF1B"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Gender (equality)</w:t>
            </w:r>
          </w:p>
        </w:tc>
        <w:tc>
          <w:tcPr>
            <w:tcW w:w="3460" w:type="pct"/>
          </w:tcPr>
          <w:p w14:paraId="028CEC4B"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equal rights, responsibilities and opportunities of women and men, and girls and boys as a central component for the realisation of all human rights</w:t>
            </w:r>
          </w:p>
        </w:tc>
      </w:tr>
      <w:tr w:rsidR="003D3FBA" w:rsidRPr="00DF0C97" w14:paraId="10DFF282"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20D495F1" w14:textId="77777777" w:rsidR="003D3FBA" w:rsidRPr="00DF0C97" w:rsidRDefault="003D3FBA" w:rsidP="00ED6CA0">
            <w:pPr>
              <w:spacing w:after="120"/>
            </w:pPr>
            <w:r w:rsidRPr="00DF0C97">
              <w:t>6.2</w:t>
            </w:r>
          </w:p>
        </w:tc>
        <w:tc>
          <w:tcPr>
            <w:tcW w:w="1208" w:type="pct"/>
          </w:tcPr>
          <w:p w14:paraId="168905CF"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Human rights</w:t>
            </w:r>
          </w:p>
        </w:tc>
        <w:tc>
          <w:tcPr>
            <w:tcW w:w="3460" w:type="pct"/>
          </w:tcPr>
          <w:p w14:paraId="21B0A613"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Rights inherent to all human beings, irrespective of nationality; place of residence; sex; national or ethnic origin; colour; religion; language; or any other status</w:t>
            </w:r>
          </w:p>
        </w:tc>
      </w:tr>
      <w:tr w:rsidR="003D3FBA" w:rsidRPr="00DF0C97" w14:paraId="62E46393"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7A672344" w14:textId="77777777" w:rsidR="003D3FBA" w:rsidRPr="00DF0C97" w:rsidRDefault="003D3FBA" w:rsidP="00ED6CA0">
            <w:pPr>
              <w:spacing w:after="120"/>
            </w:pPr>
            <w:r w:rsidRPr="00DF0C97">
              <w:t>6.3</w:t>
            </w:r>
          </w:p>
        </w:tc>
        <w:tc>
          <w:tcPr>
            <w:tcW w:w="1208" w:type="pct"/>
          </w:tcPr>
          <w:p w14:paraId="61C0D0D3"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Disability (inclusion)</w:t>
            </w:r>
          </w:p>
        </w:tc>
        <w:tc>
          <w:tcPr>
            <w:tcW w:w="3460" w:type="pct"/>
          </w:tcPr>
          <w:p w14:paraId="3D1828DC"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 xml:space="preserve">The meaningful participation of persons with disabilities in all their diversity, the promotion and mainstreaming of their rights into the work of the Organization, the development of disability-specific programmes and the consideration of disability-related perspectives, in compliance with the Convention on the Rights of Persons with Disabilities </w:t>
            </w:r>
          </w:p>
        </w:tc>
      </w:tr>
      <w:tr w:rsidR="003D3FBA" w:rsidRPr="00DF0C97" w14:paraId="030D413D"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6ECCEE91" w14:textId="77777777" w:rsidR="003D3FBA" w:rsidRPr="00DF0C97" w:rsidRDefault="003D3FBA" w:rsidP="00ED6CA0">
            <w:pPr>
              <w:spacing w:after="120"/>
            </w:pPr>
            <w:r w:rsidRPr="00DF0C97">
              <w:t>7.</w:t>
            </w:r>
          </w:p>
        </w:tc>
        <w:tc>
          <w:tcPr>
            <w:tcW w:w="1208" w:type="pct"/>
          </w:tcPr>
          <w:p w14:paraId="46E92DA8"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Sustainability</w:t>
            </w:r>
          </w:p>
        </w:tc>
        <w:tc>
          <w:tcPr>
            <w:tcW w:w="3460" w:type="pct"/>
          </w:tcPr>
          <w:p w14:paraId="7A895EF8"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The extent to which the net benefits of the intervention continue, or are likely to continue</w:t>
            </w:r>
          </w:p>
        </w:tc>
      </w:tr>
      <w:tr w:rsidR="003D3FBA" w:rsidRPr="00DF0C97" w14:paraId="1EC37048"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2E8C7F6D" w14:textId="77777777" w:rsidR="003D3FBA" w:rsidRPr="00DF0C97" w:rsidRDefault="003D3FBA" w:rsidP="00ED6CA0">
            <w:pPr>
              <w:spacing w:after="120"/>
            </w:pPr>
            <w:r w:rsidRPr="00DF0C97">
              <w:t>8.</w:t>
            </w:r>
          </w:p>
        </w:tc>
        <w:tc>
          <w:tcPr>
            <w:tcW w:w="1208" w:type="pct"/>
          </w:tcPr>
          <w:p w14:paraId="5F015044"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 xml:space="preserve">Lessons learned </w:t>
            </w:r>
          </w:p>
        </w:tc>
        <w:tc>
          <w:tcPr>
            <w:tcW w:w="3460" w:type="pct"/>
          </w:tcPr>
          <w:p w14:paraId="50711F1D"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Generalisation or extrapolation of findings and translation of analysis into relevant knowledge that supports decision-making, improves performance and promotes the achievement of better results in other settings (beyond the intervention being evaluated)</w:t>
            </w:r>
          </w:p>
        </w:tc>
      </w:tr>
      <w:tr w:rsidR="003D3FBA" w:rsidRPr="00DF0C97" w14:paraId="7B678CFA" w14:textId="77777777" w:rsidTr="00DF0C97">
        <w:tc>
          <w:tcPr>
            <w:cnfStyle w:val="001000000000" w:firstRow="0" w:lastRow="0" w:firstColumn="1" w:lastColumn="0" w:oddVBand="0" w:evenVBand="0" w:oddHBand="0" w:evenHBand="0" w:firstRowFirstColumn="0" w:firstRowLastColumn="0" w:lastRowFirstColumn="0" w:lastRowLastColumn="0"/>
            <w:tcW w:w="332" w:type="pct"/>
          </w:tcPr>
          <w:p w14:paraId="4AB73E57" w14:textId="77777777" w:rsidR="003D3FBA" w:rsidRPr="00DF0C97" w:rsidRDefault="003D3FBA" w:rsidP="00ED6CA0">
            <w:pPr>
              <w:spacing w:after="120"/>
            </w:pPr>
            <w:r w:rsidRPr="00DF0C97">
              <w:t>9.</w:t>
            </w:r>
          </w:p>
        </w:tc>
        <w:tc>
          <w:tcPr>
            <w:tcW w:w="1208" w:type="pct"/>
          </w:tcPr>
          <w:p w14:paraId="72DF74AE"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Recommendations</w:t>
            </w:r>
          </w:p>
        </w:tc>
        <w:tc>
          <w:tcPr>
            <w:tcW w:w="3460" w:type="pct"/>
          </w:tcPr>
          <w:p w14:paraId="018C38B1" w14:textId="77777777" w:rsidR="003D3FBA" w:rsidRPr="00DF0C97" w:rsidRDefault="003D3FBA" w:rsidP="00ED6CA0">
            <w:pPr>
              <w:spacing w:after="120"/>
              <w:cnfStyle w:val="000000000000" w:firstRow="0" w:lastRow="0" w:firstColumn="0" w:lastColumn="0" w:oddVBand="0" w:evenVBand="0" w:oddHBand="0" w:evenHBand="0" w:firstRowFirstColumn="0" w:firstRowLastColumn="0" w:lastRowFirstColumn="0" w:lastRowLastColumn="0"/>
            </w:pPr>
            <w:r w:rsidRPr="00DF0C97">
              <w:t>Proposals aimed at enhancing the relevance, coherence, effectiveness, efficiency, impact or sustainability of the intervention; at redesigning the objectives; or reallocating resources</w:t>
            </w:r>
          </w:p>
        </w:tc>
      </w:tr>
    </w:tbl>
    <w:p w14:paraId="4E98593E" w14:textId="77777777" w:rsidR="003D3FBA" w:rsidRPr="00041EA7" w:rsidRDefault="003D3FBA" w:rsidP="00DF0C97">
      <w:pPr>
        <w:pStyle w:val="BodyText"/>
      </w:pPr>
      <w:r w:rsidRPr="00041EA7">
        <w:t xml:space="preserve">Source: </w:t>
      </w:r>
    </w:p>
    <w:p w14:paraId="4F0096EE" w14:textId="2219325E" w:rsidR="00236A5F" w:rsidRDefault="00236A5F" w:rsidP="00236A5F">
      <w:pPr>
        <w:pStyle w:val="ListBullet"/>
      </w:pPr>
      <w:r w:rsidRPr="00041EA7">
        <w:t>OECD</w:t>
      </w:r>
      <w:r>
        <w:t>-</w:t>
      </w:r>
      <w:r w:rsidRPr="00041EA7">
        <w:t>DAC</w:t>
      </w:r>
      <w:r>
        <w:t>,</w:t>
      </w:r>
      <w:r w:rsidRPr="00041EA7">
        <w:t xml:space="preserve"> </w:t>
      </w:r>
      <w:r>
        <w:t xml:space="preserve">2023. </w:t>
      </w:r>
      <w:r w:rsidRPr="00041EA7">
        <w:t>Glossary of Key Terms in Evaluation and Results-based Management</w:t>
      </w:r>
      <w:r>
        <w:t xml:space="preserve"> for Sustainable Development, </w:t>
      </w:r>
      <w:r w:rsidRPr="00273808">
        <w:t>#1 - #</w:t>
      </w:r>
      <w:r>
        <w:t>5</w:t>
      </w:r>
      <w:r w:rsidRPr="00273808">
        <w:t>; #</w:t>
      </w:r>
      <w:r>
        <w:t>7</w:t>
      </w:r>
      <w:r w:rsidRPr="00041EA7">
        <w:t xml:space="preserve"> - #</w:t>
      </w:r>
      <w:r>
        <w:t>9</w:t>
      </w:r>
    </w:p>
    <w:p w14:paraId="52C22B98" w14:textId="77777777" w:rsidR="003D3FBA" w:rsidRDefault="003D3FBA" w:rsidP="00DF0C97">
      <w:pPr>
        <w:pStyle w:val="ListBullet"/>
      </w:pPr>
      <w:r>
        <w:lastRenderedPageBreak/>
        <w:t>UNEG, 2014. Integrating Human Rights and Gender Equality in Evaluation: Towards UNEG Guidance</w:t>
      </w:r>
      <w:r w:rsidRPr="00273808">
        <w:t>, #</w:t>
      </w:r>
      <w:r>
        <w:t>6.1 - #6.2</w:t>
      </w:r>
    </w:p>
    <w:p w14:paraId="3FDE62BD" w14:textId="3D71761E" w:rsidR="003D3FBA" w:rsidRDefault="003D3FBA" w:rsidP="008D6D2E">
      <w:pPr>
        <w:pStyle w:val="ListBullet"/>
      </w:pPr>
      <w:r>
        <w:t>UNEG, 2022. Guidance on Integrating Disability Inclusion in Evaluations and Reporting on the UNDIS Entity Accountability Framework Evaluation Indicator</w:t>
      </w:r>
      <w:r w:rsidRPr="00273808">
        <w:t>, #</w:t>
      </w:r>
      <w:r>
        <w:t>6.3</w:t>
      </w:r>
      <w:r w:rsidR="00236A5F">
        <w:t xml:space="preserve"> </w:t>
      </w:r>
    </w:p>
    <w:p w14:paraId="0D9FE4C1" w14:textId="77777777" w:rsidR="003D3FBA" w:rsidRDefault="003D3FBA" w:rsidP="003D3FBA">
      <w:pPr>
        <w:sectPr w:rsidR="003D3FBA" w:rsidSect="00F666A1">
          <w:type w:val="continuous"/>
          <w:pgSz w:w="12240" w:h="15840" w:code="1"/>
          <w:pgMar w:top="1276" w:right="1276" w:bottom="1588" w:left="1276" w:header="720" w:footer="720" w:gutter="0"/>
          <w:cols w:space="720"/>
          <w:docGrid w:linePitch="360"/>
        </w:sectPr>
      </w:pPr>
    </w:p>
    <w:p w14:paraId="74237E6C" w14:textId="27AB756A" w:rsidR="003D3FBA" w:rsidRPr="00F26972" w:rsidRDefault="003D3FBA" w:rsidP="00DF0C97">
      <w:pPr>
        <w:pStyle w:val="Heading9"/>
      </w:pPr>
      <w:bookmarkStart w:id="61" w:name="_Toc210730357"/>
      <w:r w:rsidRPr="00A766D5">
        <w:lastRenderedPageBreak/>
        <w:t xml:space="preserve">Annex </w:t>
      </w:r>
      <w:r w:rsidR="00C51A89">
        <w:t>5</w:t>
      </w:r>
      <w:r w:rsidRPr="00A766D5">
        <w:t xml:space="preserve"> Evaluation Matrix</w:t>
      </w:r>
      <w:bookmarkEnd w:id="61"/>
    </w:p>
    <w:tbl>
      <w:tblPr>
        <w:tblStyle w:val="BlueTable"/>
        <w:tblW w:w="4965" w:type="pct"/>
        <w:tblInd w:w="-3" w:type="dxa"/>
        <w:tblLayout w:type="fixed"/>
        <w:tblLook w:val="06A0" w:firstRow="1" w:lastRow="0" w:firstColumn="1" w:lastColumn="0" w:noHBand="1" w:noVBand="1"/>
      </w:tblPr>
      <w:tblGrid>
        <w:gridCol w:w="967"/>
        <w:gridCol w:w="2208"/>
        <w:gridCol w:w="2208"/>
        <w:gridCol w:w="2693"/>
        <w:gridCol w:w="3260"/>
        <w:gridCol w:w="1843"/>
      </w:tblGrid>
      <w:tr w:rsidR="00DB2F3F" w:rsidRPr="00DB2F3F" w14:paraId="6208AC6C" w14:textId="77777777" w:rsidTr="00E6403A">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966" w:type="dxa"/>
            <w:vAlign w:val="center"/>
          </w:tcPr>
          <w:p w14:paraId="0AB08E7D" w14:textId="77777777" w:rsidR="00CF47B5" w:rsidRPr="00DB2F3F" w:rsidRDefault="00CF47B5" w:rsidP="00230B0E">
            <w:pPr>
              <w:jc w:val="center"/>
              <w:rPr>
                <w:sz w:val="18"/>
              </w:rPr>
            </w:pPr>
            <w:r w:rsidRPr="00DB2F3F">
              <w:rPr>
                <w:sz w:val="18"/>
              </w:rPr>
              <w:t>Criterion</w:t>
            </w:r>
          </w:p>
        </w:tc>
        <w:tc>
          <w:tcPr>
            <w:tcW w:w="2208" w:type="dxa"/>
            <w:vAlign w:val="center"/>
          </w:tcPr>
          <w:p w14:paraId="3256FFDE"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Key Evaluation Questions</w:t>
            </w:r>
          </w:p>
        </w:tc>
        <w:tc>
          <w:tcPr>
            <w:tcW w:w="2208" w:type="dxa"/>
            <w:vAlign w:val="center"/>
          </w:tcPr>
          <w:p w14:paraId="4EA2B2CD"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Sub-questions</w:t>
            </w:r>
          </w:p>
        </w:tc>
        <w:tc>
          <w:tcPr>
            <w:tcW w:w="2693" w:type="dxa"/>
            <w:vAlign w:val="center"/>
          </w:tcPr>
          <w:p w14:paraId="52B2436E"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Indicators</w:t>
            </w:r>
          </w:p>
        </w:tc>
        <w:tc>
          <w:tcPr>
            <w:tcW w:w="3260" w:type="dxa"/>
            <w:vAlign w:val="center"/>
          </w:tcPr>
          <w:p w14:paraId="1BD1AE73"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Sources of Data</w:t>
            </w:r>
          </w:p>
        </w:tc>
        <w:tc>
          <w:tcPr>
            <w:tcW w:w="1843" w:type="dxa"/>
            <w:vAlign w:val="center"/>
          </w:tcPr>
          <w:p w14:paraId="561E434C" w14:textId="77777777" w:rsidR="00CF47B5" w:rsidRPr="00DB2F3F" w:rsidRDefault="00CF47B5" w:rsidP="00DB2F3F">
            <w:pPr>
              <w:jc w:val="center"/>
              <w:cnfStyle w:val="100000000000" w:firstRow="1" w:lastRow="0" w:firstColumn="0" w:lastColumn="0" w:oddVBand="0" w:evenVBand="0" w:oddHBand="0" w:evenHBand="0" w:firstRowFirstColumn="0" w:firstRowLastColumn="0" w:lastRowFirstColumn="0" w:lastRowLastColumn="0"/>
              <w:rPr>
                <w:sz w:val="18"/>
              </w:rPr>
            </w:pPr>
            <w:r w:rsidRPr="00DB2F3F">
              <w:rPr>
                <w:sz w:val="18"/>
              </w:rPr>
              <w:t>Data Collection Tools</w:t>
            </w:r>
          </w:p>
        </w:tc>
      </w:tr>
    </w:tbl>
    <w:tbl>
      <w:tblPr>
        <w:tblW w:w="13193" w:type="dxa"/>
        <w:jc w:val="center"/>
        <w:tblBorders>
          <w:top w:val="single" w:sz="4" w:space="0" w:color="C4EEFF" w:themeColor="accent1" w:themeTint="33"/>
          <w:left w:val="single" w:sz="4" w:space="0" w:color="C4EEFF" w:themeColor="accent1" w:themeTint="33"/>
          <w:bottom w:val="single" w:sz="4" w:space="0" w:color="C4EEFF" w:themeColor="accent1" w:themeTint="33"/>
          <w:right w:val="single" w:sz="4" w:space="0" w:color="C4EEFF" w:themeColor="accent1" w:themeTint="33"/>
          <w:insideH w:val="single" w:sz="4" w:space="0" w:color="C4EEFF" w:themeColor="accent1" w:themeTint="33"/>
          <w:insideV w:val="single" w:sz="4" w:space="0" w:color="C4EEFF" w:themeColor="accent1" w:themeTint="33"/>
        </w:tblBorders>
        <w:tblLayout w:type="fixed"/>
        <w:tblCellMar>
          <w:left w:w="0" w:type="dxa"/>
          <w:right w:w="0" w:type="dxa"/>
        </w:tblCellMar>
        <w:tblLook w:val="01E0" w:firstRow="1" w:lastRow="1" w:firstColumn="1" w:lastColumn="1" w:noHBand="0" w:noVBand="0"/>
      </w:tblPr>
      <w:tblGrid>
        <w:gridCol w:w="993"/>
        <w:gridCol w:w="2136"/>
        <w:gridCol w:w="2268"/>
        <w:gridCol w:w="2693"/>
        <w:gridCol w:w="3260"/>
        <w:gridCol w:w="1843"/>
      </w:tblGrid>
      <w:tr w:rsidR="00E6403A" w:rsidRPr="002B0F7E" w14:paraId="055804C4" w14:textId="77777777" w:rsidTr="00BC0D59">
        <w:trPr>
          <w:cantSplit/>
          <w:trHeight w:val="1134"/>
          <w:jc w:val="center"/>
        </w:trPr>
        <w:tc>
          <w:tcPr>
            <w:tcW w:w="993" w:type="dxa"/>
            <w:shd w:val="clear" w:color="auto" w:fill="FFFFFF" w:themeFill="background1"/>
            <w:textDirection w:val="btLr"/>
            <w:vAlign w:val="center"/>
          </w:tcPr>
          <w:p w14:paraId="20E533DA" w14:textId="45F5474F" w:rsidR="00047387" w:rsidRPr="00917210" w:rsidRDefault="00047387" w:rsidP="00230B0E">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Relevance</w:t>
            </w:r>
          </w:p>
        </w:tc>
        <w:tc>
          <w:tcPr>
            <w:tcW w:w="2136" w:type="dxa"/>
            <w:shd w:val="clear" w:color="auto" w:fill="FFFFFF" w:themeFill="background1"/>
          </w:tcPr>
          <w:p w14:paraId="1402FEDA" w14:textId="77777777" w:rsidR="00047387" w:rsidRPr="00917210" w:rsidRDefault="00047387" w:rsidP="006878DD">
            <w:pPr>
              <w:pStyle w:val="TableParagraph"/>
              <w:spacing w:before="35" w:line="235" w:lineRule="auto"/>
              <w:ind w:left="79" w:right="123"/>
              <w:rPr>
                <w:rFonts w:asciiTheme="minorHAnsi" w:hAnsiTheme="minorHAnsi" w:cstheme="minorBidi"/>
                <w:sz w:val="18"/>
                <w:szCs w:val="18"/>
              </w:rPr>
            </w:pPr>
            <w:r w:rsidRPr="00917210">
              <w:rPr>
                <w:rFonts w:asciiTheme="minorHAnsi" w:hAnsiTheme="minorHAnsi" w:cstheme="minorBidi"/>
                <w:sz w:val="18"/>
                <w:szCs w:val="18"/>
              </w:rPr>
              <w:t>1.1 To what extent did the project meet the needs of the target countries?</w:t>
            </w:r>
          </w:p>
        </w:tc>
        <w:tc>
          <w:tcPr>
            <w:tcW w:w="2268" w:type="dxa"/>
            <w:shd w:val="clear" w:color="auto" w:fill="FFFFFF" w:themeFill="background1"/>
          </w:tcPr>
          <w:p w14:paraId="51F79DB4" w14:textId="77777777" w:rsidR="00047387" w:rsidRPr="00917210" w:rsidRDefault="00047387" w:rsidP="006878DD">
            <w:pPr>
              <w:pStyle w:val="TableParagraph"/>
              <w:spacing w:before="35" w:line="235" w:lineRule="auto"/>
              <w:ind w:left="79" w:right="125"/>
              <w:rPr>
                <w:rFonts w:asciiTheme="minorHAnsi" w:hAnsiTheme="minorHAnsi" w:cstheme="minorHAnsi"/>
                <w:sz w:val="18"/>
                <w:szCs w:val="18"/>
              </w:rPr>
            </w:pPr>
            <w:r w:rsidRPr="00917210">
              <w:rPr>
                <w:rFonts w:asciiTheme="minorHAnsi" w:hAnsiTheme="minorHAnsi" w:cstheme="minorHAnsi"/>
                <w:sz w:val="18"/>
                <w:szCs w:val="18"/>
              </w:rPr>
              <w:t xml:space="preserve">1.1.1 How, if at all, did the project respond to the specific capacity needs and challenges of the target countries? </w:t>
            </w:r>
          </w:p>
          <w:p w14:paraId="2369D830" w14:textId="77777777" w:rsidR="00047387" w:rsidRPr="00917210" w:rsidRDefault="00047387" w:rsidP="006878DD">
            <w:pPr>
              <w:pStyle w:val="TableParagraph"/>
              <w:spacing w:before="35" w:line="235" w:lineRule="auto"/>
              <w:ind w:left="79" w:right="125"/>
              <w:rPr>
                <w:rFonts w:asciiTheme="minorHAnsi" w:hAnsiTheme="minorHAnsi" w:cstheme="minorHAnsi"/>
                <w:sz w:val="18"/>
                <w:szCs w:val="18"/>
              </w:rPr>
            </w:pPr>
          </w:p>
          <w:p w14:paraId="2E975C17" w14:textId="77777777" w:rsidR="00047387" w:rsidRPr="00917210" w:rsidRDefault="00047387" w:rsidP="006878DD">
            <w:pPr>
              <w:pStyle w:val="TableParagraph"/>
              <w:spacing w:before="35" w:line="235" w:lineRule="auto"/>
              <w:ind w:left="79" w:right="125"/>
              <w:rPr>
                <w:rFonts w:asciiTheme="minorHAnsi" w:hAnsiTheme="minorHAnsi" w:cstheme="minorHAnsi"/>
                <w:sz w:val="18"/>
                <w:szCs w:val="18"/>
              </w:rPr>
            </w:pPr>
          </w:p>
        </w:tc>
        <w:tc>
          <w:tcPr>
            <w:tcW w:w="2693" w:type="dxa"/>
            <w:shd w:val="clear" w:color="auto" w:fill="FFFFFF" w:themeFill="background1"/>
          </w:tcPr>
          <w:p w14:paraId="7FB4B019" w14:textId="77777777" w:rsidR="00047387" w:rsidRPr="00917210" w:rsidRDefault="00047387" w:rsidP="003B672F">
            <w:pPr>
              <w:pStyle w:val="TableParagraph"/>
              <w:numPr>
                <w:ilvl w:val="0"/>
                <w:numId w:val="64"/>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 alignment between:</w:t>
            </w:r>
          </w:p>
          <w:p w14:paraId="51D4B5C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2"/>
              <w:contextualSpacing w:val="0"/>
              <w:jc w:val="both"/>
              <w:rPr>
                <w:rFonts w:cstheme="minorHAnsi"/>
                <w:sz w:val="18"/>
                <w:szCs w:val="18"/>
              </w:rPr>
            </w:pPr>
            <w:r w:rsidRPr="00917210">
              <w:rPr>
                <w:rFonts w:cstheme="minorHAnsi"/>
                <w:sz w:val="18"/>
                <w:szCs w:val="18"/>
              </w:rPr>
              <w:t>project objectives and the expressed/ identified capacity needs and challenges of the target countries</w:t>
            </w:r>
          </w:p>
          <w:p w14:paraId="684F6A16"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2"/>
              <w:contextualSpacing w:val="0"/>
              <w:jc w:val="both"/>
              <w:rPr>
                <w:rFonts w:cstheme="minorHAnsi"/>
                <w:sz w:val="18"/>
                <w:szCs w:val="18"/>
              </w:rPr>
            </w:pPr>
            <w:r w:rsidRPr="00917210">
              <w:rPr>
                <w:rFonts w:cstheme="minorHAnsi"/>
                <w:sz w:val="18"/>
                <w:szCs w:val="18"/>
              </w:rPr>
              <w:t xml:space="preserve">project activities and the expressed/ identified capacity needs and challenges of the target countries </w:t>
            </w:r>
          </w:p>
          <w:p w14:paraId="49A5CE6B" w14:textId="77777777" w:rsidR="00047387" w:rsidRPr="00917210" w:rsidRDefault="00047387" w:rsidP="003B672F">
            <w:pPr>
              <w:pStyle w:val="TableParagraph"/>
              <w:numPr>
                <w:ilvl w:val="0"/>
                <w:numId w:val="64"/>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alignment between the project and the specific capacity needs and challenges of the target countries</w:t>
            </w:r>
          </w:p>
        </w:tc>
        <w:tc>
          <w:tcPr>
            <w:tcW w:w="3260" w:type="dxa"/>
            <w:shd w:val="clear" w:color="auto" w:fill="FFFFFF" w:themeFill="background1"/>
          </w:tcPr>
          <w:p w14:paraId="78ECC57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2E5F99C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249C433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9CA49A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00775A0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7DC50B9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0B5A8C4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2BC45EE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2778A47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5A4A7B6A"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766D79F4"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60EC8DC9" w14:textId="441D9093"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E083381" w14:textId="77777777" w:rsidR="00047387" w:rsidRPr="00917210" w:rsidRDefault="00047387" w:rsidP="003B672F">
            <w:pPr>
              <w:pStyle w:val="ListParagraph"/>
              <w:widowControl w:val="0"/>
              <w:numPr>
                <w:ilvl w:val="0"/>
                <w:numId w:val="42"/>
              </w:numPr>
              <w:autoSpaceDE w:val="0"/>
              <w:autoSpaceDN w:val="0"/>
              <w:spacing w:after="60" w:line="240" w:lineRule="auto"/>
              <w:ind w:hanging="221"/>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BACD3C0" w14:textId="77777777" w:rsidR="00047387" w:rsidRPr="002B0F7E"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Document review</w:t>
            </w:r>
          </w:p>
          <w:p w14:paraId="40443834" w14:textId="77777777" w:rsidR="00047387"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42CF95C" w14:textId="77777777" w:rsidR="00047387" w:rsidRDefault="00047387" w:rsidP="006878DD">
            <w:pPr>
              <w:pStyle w:val="TableParagraph"/>
              <w:spacing w:after="60"/>
              <w:ind w:right="222"/>
              <w:rPr>
                <w:rFonts w:asciiTheme="minorHAnsi" w:hAnsiTheme="minorHAnsi" w:cstheme="minorHAnsi"/>
                <w:sz w:val="18"/>
                <w:szCs w:val="18"/>
              </w:rPr>
            </w:pPr>
          </w:p>
          <w:p w14:paraId="1C67096D" w14:textId="77777777" w:rsidR="00047387" w:rsidRDefault="00047387" w:rsidP="006878DD">
            <w:pPr>
              <w:pStyle w:val="TableParagraph"/>
              <w:spacing w:after="60"/>
              <w:ind w:right="222"/>
              <w:rPr>
                <w:rFonts w:asciiTheme="minorHAnsi" w:hAnsiTheme="minorHAnsi" w:cstheme="minorHAnsi"/>
                <w:sz w:val="18"/>
                <w:szCs w:val="18"/>
              </w:rPr>
            </w:pPr>
          </w:p>
          <w:p w14:paraId="37E16D9E" w14:textId="77777777" w:rsidR="00047387" w:rsidRDefault="00047387" w:rsidP="006878DD">
            <w:pPr>
              <w:pStyle w:val="TableParagraph"/>
              <w:spacing w:after="60"/>
              <w:ind w:right="222"/>
              <w:rPr>
                <w:rFonts w:asciiTheme="minorHAnsi" w:hAnsiTheme="minorHAnsi" w:cstheme="minorHAnsi"/>
                <w:sz w:val="18"/>
                <w:szCs w:val="18"/>
              </w:rPr>
            </w:pPr>
          </w:p>
          <w:p w14:paraId="5E372A20" w14:textId="77777777" w:rsidR="00047387" w:rsidRPr="002B0F7E" w:rsidRDefault="00047387" w:rsidP="006878DD">
            <w:pPr>
              <w:pStyle w:val="TableParagraph"/>
              <w:spacing w:before="120" w:line="235" w:lineRule="auto"/>
              <w:ind w:right="222" w:hanging="227"/>
              <w:rPr>
                <w:rFonts w:asciiTheme="minorHAnsi" w:hAnsiTheme="minorHAnsi" w:cstheme="minorHAnsi"/>
                <w:sz w:val="18"/>
                <w:szCs w:val="18"/>
              </w:rPr>
            </w:pPr>
          </w:p>
        </w:tc>
      </w:tr>
      <w:tr w:rsidR="00E6403A" w:rsidRPr="002B0F7E" w14:paraId="1E2EDE18" w14:textId="77777777" w:rsidTr="00BC0D59">
        <w:trPr>
          <w:cantSplit/>
          <w:trHeight w:val="1134"/>
          <w:jc w:val="center"/>
        </w:trPr>
        <w:tc>
          <w:tcPr>
            <w:tcW w:w="993" w:type="dxa"/>
            <w:shd w:val="clear" w:color="auto" w:fill="FFFFFF" w:themeFill="background1"/>
            <w:textDirection w:val="btLr"/>
            <w:vAlign w:val="center"/>
          </w:tcPr>
          <w:p w14:paraId="1CBB7F57" w14:textId="0F5028A7" w:rsidR="00047387" w:rsidRPr="00917210" w:rsidRDefault="00E5217F"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Relevance</w:t>
            </w:r>
          </w:p>
        </w:tc>
        <w:tc>
          <w:tcPr>
            <w:tcW w:w="2136" w:type="dxa"/>
            <w:shd w:val="clear" w:color="auto" w:fill="FFFFFF" w:themeFill="background1"/>
          </w:tcPr>
          <w:p w14:paraId="6010DF8E"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Bidi"/>
                <w:sz w:val="18"/>
                <w:szCs w:val="18"/>
              </w:rPr>
              <w:t>1.2 To what extent was the project relevant to the strategic priorities of the collaborating entities?</w:t>
            </w:r>
          </w:p>
        </w:tc>
        <w:tc>
          <w:tcPr>
            <w:tcW w:w="2268" w:type="dxa"/>
            <w:shd w:val="clear" w:color="auto" w:fill="FFFFFF" w:themeFill="background1"/>
          </w:tcPr>
          <w:p w14:paraId="025D3836" w14:textId="494F21D5"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 xml:space="preserve">1.2.1 What was the alignment, if any, between the project and the strategic priorities of </w:t>
            </w:r>
            <w:r w:rsidR="000B36F9">
              <w:rPr>
                <w:rFonts w:asciiTheme="minorHAnsi" w:hAnsiTheme="minorHAnsi" w:cstheme="minorHAnsi"/>
                <w:sz w:val="18"/>
                <w:szCs w:val="18"/>
              </w:rPr>
              <w:t>UNDESA-FSDO</w:t>
            </w:r>
            <w:r w:rsidRPr="00917210">
              <w:rPr>
                <w:rFonts w:asciiTheme="minorHAnsi" w:hAnsiTheme="minorHAnsi" w:cstheme="minorHAnsi"/>
                <w:sz w:val="18"/>
                <w:szCs w:val="18"/>
              </w:rPr>
              <w:t>?</w:t>
            </w:r>
          </w:p>
        </w:tc>
        <w:tc>
          <w:tcPr>
            <w:tcW w:w="2693" w:type="dxa"/>
            <w:shd w:val="clear" w:color="auto" w:fill="FFFFFF" w:themeFill="background1"/>
          </w:tcPr>
          <w:p w14:paraId="4D421921" w14:textId="6B849A05"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Evidence of alignment between the project and the strategic priorities of UNDESA</w:t>
            </w:r>
            <w:r w:rsidR="001F41F2">
              <w:rPr>
                <w:rFonts w:asciiTheme="minorHAnsi" w:hAnsiTheme="minorHAnsi" w:cstheme="minorHAnsi"/>
                <w:sz w:val="18"/>
                <w:szCs w:val="18"/>
              </w:rPr>
              <w:t>-</w:t>
            </w:r>
            <w:r w:rsidRPr="00917210">
              <w:rPr>
                <w:rFonts w:asciiTheme="minorHAnsi" w:hAnsiTheme="minorHAnsi" w:cstheme="minorHAnsi"/>
                <w:sz w:val="18"/>
                <w:szCs w:val="18"/>
              </w:rPr>
              <w:t xml:space="preserve">FSDO </w:t>
            </w:r>
          </w:p>
          <w:p w14:paraId="7BCAD297" w14:textId="3C33CC10"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project alignment with the strategic priorities of </w:t>
            </w:r>
            <w:r w:rsidR="000B36F9">
              <w:rPr>
                <w:rFonts w:asciiTheme="minorHAnsi" w:hAnsiTheme="minorHAnsi" w:cstheme="minorHAnsi"/>
                <w:sz w:val="18"/>
                <w:szCs w:val="18"/>
              </w:rPr>
              <w:t>UNDESA-FSDO</w:t>
            </w:r>
          </w:p>
        </w:tc>
        <w:tc>
          <w:tcPr>
            <w:tcW w:w="3260" w:type="dxa"/>
            <w:shd w:val="clear" w:color="auto" w:fill="FFFFFF" w:themeFill="background1"/>
          </w:tcPr>
          <w:p w14:paraId="2EFDE64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D77787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4B55958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D55E7C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53AAB78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574FB33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279C65BC"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tc>
        <w:tc>
          <w:tcPr>
            <w:tcW w:w="1843" w:type="dxa"/>
            <w:shd w:val="clear" w:color="auto" w:fill="FFFFFF" w:themeFill="background1"/>
          </w:tcPr>
          <w:p w14:paraId="35F79BB7" w14:textId="77777777" w:rsidR="00047387" w:rsidRPr="002B0F7E"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Document review</w:t>
            </w:r>
          </w:p>
          <w:p w14:paraId="771D7AB8" w14:textId="77777777" w:rsidR="00047387"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0F9CA5F" w14:textId="77777777" w:rsidR="00047387" w:rsidRDefault="00047387" w:rsidP="006878DD">
            <w:pPr>
              <w:pStyle w:val="TableParagraph"/>
              <w:spacing w:after="60"/>
              <w:ind w:right="222"/>
              <w:rPr>
                <w:rFonts w:asciiTheme="minorHAnsi" w:hAnsiTheme="minorHAnsi" w:cstheme="minorHAnsi"/>
                <w:sz w:val="18"/>
                <w:szCs w:val="18"/>
              </w:rPr>
            </w:pPr>
          </w:p>
          <w:p w14:paraId="49D57D25" w14:textId="77777777" w:rsidR="00047387" w:rsidRPr="002B0F7E" w:rsidRDefault="00047387" w:rsidP="006878DD">
            <w:pPr>
              <w:pStyle w:val="TableParagraph"/>
              <w:spacing w:after="60"/>
              <w:ind w:right="222"/>
              <w:rPr>
                <w:rFonts w:asciiTheme="minorHAnsi" w:hAnsiTheme="minorHAnsi" w:cstheme="minorHAnsi"/>
                <w:sz w:val="18"/>
                <w:szCs w:val="18"/>
              </w:rPr>
            </w:pPr>
          </w:p>
        </w:tc>
      </w:tr>
      <w:tr w:rsidR="00E6403A" w:rsidRPr="002B0F7E" w14:paraId="090ABC74" w14:textId="77777777" w:rsidTr="00BC0D59">
        <w:trPr>
          <w:cantSplit/>
          <w:trHeight w:val="1134"/>
          <w:jc w:val="center"/>
        </w:trPr>
        <w:tc>
          <w:tcPr>
            <w:tcW w:w="993" w:type="dxa"/>
            <w:shd w:val="clear" w:color="auto" w:fill="FFFFFF" w:themeFill="background1"/>
            <w:textDirection w:val="btLr"/>
            <w:vAlign w:val="center"/>
          </w:tcPr>
          <w:p w14:paraId="070AF68B" w14:textId="4AB85E2D" w:rsidR="00047387" w:rsidRPr="00917210" w:rsidRDefault="000C06BB"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lastRenderedPageBreak/>
              <w:t>Relevance</w:t>
            </w:r>
          </w:p>
        </w:tc>
        <w:tc>
          <w:tcPr>
            <w:tcW w:w="2136" w:type="dxa"/>
            <w:shd w:val="clear" w:color="auto" w:fill="FFFFFF" w:themeFill="background1"/>
          </w:tcPr>
          <w:p w14:paraId="4AA0F256" w14:textId="77777777" w:rsidR="00047387" w:rsidRPr="00917210" w:rsidRDefault="00047387" w:rsidP="006878DD">
            <w:pPr>
              <w:pStyle w:val="TableParagraph"/>
              <w:spacing w:before="35" w:line="235" w:lineRule="auto"/>
              <w:ind w:left="79"/>
              <w:rPr>
                <w:rFonts w:asciiTheme="minorHAnsi" w:hAnsiTheme="minorHAnsi" w:cstheme="minorBidi"/>
                <w:sz w:val="18"/>
                <w:szCs w:val="18"/>
              </w:rPr>
            </w:pPr>
          </w:p>
        </w:tc>
        <w:tc>
          <w:tcPr>
            <w:tcW w:w="2268" w:type="dxa"/>
            <w:shd w:val="clear" w:color="auto" w:fill="FFFFFF" w:themeFill="background1"/>
          </w:tcPr>
          <w:p w14:paraId="1B7D9DCB" w14:textId="63F2BA94"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 xml:space="preserve">1.2.2 How, if at all, did the project align with the strategic priorities of the </w:t>
            </w:r>
            <w:r w:rsidR="00DE21FA">
              <w:rPr>
                <w:rFonts w:asciiTheme="minorHAnsi" w:hAnsiTheme="minorHAnsi" w:cstheme="minorHAnsi"/>
                <w:sz w:val="18"/>
                <w:szCs w:val="18"/>
              </w:rPr>
              <w:t>executing entities</w:t>
            </w:r>
            <w:r w:rsidRPr="00917210">
              <w:rPr>
                <w:rFonts w:asciiTheme="minorHAnsi" w:hAnsiTheme="minorHAnsi" w:cstheme="minorHAnsi"/>
                <w:sz w:val="18"/>
                <w:szCs w:val="18"/>
              </w:rPr>
              <w:t>?</w:t>
            </w:r>
          </w:p>
        </w:tc>
        <w:tc>
          <w:tcPr>
            <w:tcW w:w="2693" w:type="dxa"/>
            <w:shd w:val="clear" w:color="auto" w:fill="FFFFFF" w:themeFill="background1"/>
          </w:tcPr>
          <w:p w14:paraId="3D1B3256" w14:textId="21B008BA"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 xml:space="preserve">Evidence of alignment between the project and the strategic priorities of the </w:t>
            </w:r>
            <w:r w:rsidR="00DE21FA">
              <w:rPr>
                <w:rFonts w:asciiTheme="minorHAnsi" w:hAnsiTheme="minorHAnsi" w:cstheme="minorHAnsi"/>
                <w:sz w:val="18"/>
                <w:szCs w:val="18"/>
              </w:rPr>
              <w:t>executing entities</w:t>
            </w:r>
            <w:r w:rsidRPr="00917210">
              <w:rPr>
                <w:rFonts w:asciiTheme="minorHAnsi" w:hAnsiTheme="minorHAnsi" w:cstheme="minorHAnsi"/>
                <w:sz w:val="18"/>
                <w:szCs w:val="18"/>
              </w:rPr>
              <w:t xml:space="preserve"> </w:t>
            </w:r>
          </w:p>
          <w:p w14:paraId="5766F2EB" w14:textId="613D7BB3"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project alignment with the strategic priorities of the </w:t>
            </w:r>
            <w:r w:rsidR="00DE21FA">
              <w:rPr>
                <w:rFonts w:asciiTheme="minorHAnsi" w:hAnsiTheme="minorHAnsi" w:cstheme="minorHAnsi"/>
                <w:sz w:val="18"/>
                <w:szCs w:val="18"/>
              </w:rPr>
              <w:t>executing entities</w:t>
            </w:r>
          </w:p>
        </w:tc>
        <w:tc>
          <w:tcPr>
            <w:tcW w:w="3260" w:type="dxa"/>
            <w:shd w:val="clear" w:color="auto" w:fill="FFFFFF" w:themeFill="background1"/>
          </w:tcPr>
          <w:p w14:paraId="23820DD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4F5AD81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6B20A70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EB5562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6DB69AB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115B219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7023C0DE" w14:textId="619DFE01"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tc>
        <w:tc>
          <w:tcPr>
            <w:tcW w:w="1843" w:type="dxa"/>
            <w:shd w:val="clear" w:color="auto" w:fill="FFFFFF" w:themeFill="background1"/>
          </w:tcPr>
          <w:p w14:paraId="26AAF4E5" w14:textId="77777777" w:rsidR="00047387" w:rsidRPr="002B0F7E"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Document review</w:t>
            </w:r>
          </w:p>
          <w:p w14:paraId="0781AC91" w14:textId="77777777" w:rsidR="00047387"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4C5F312" w14:textId="77777777" w:rsidR="00047387" w:rsidRPr="002B0F7E" w:rsidRDefault="00047387" w:rsidP="006878DD">
            <w:pPr>
              <w:pStyle w:val="TableParagraph"/>
              <w:spacing w:after="60"/>
              <w:ind w:right="222"/>
              <w:rPr>
                <w:rFonts w:asciiTheme="minorHAnsi" w:hAnsiTheme="minorHAnsi" w:cstheme="minorHAnsi"/>
                <w:sz w:val="18"/>
                <w:szCs w:val="18"/>
              </w:rPr>
            </w:pPr>
          </w:p>
        </w:tc>
      </w:tr>
      <w:tr w:rsidR="00E6403A" w:rsidRPr="002B0F7E" w14:paraId="4B09C817" w14:textId="77777777" w:rsidTr="00BC0D59">
        <w:trPr>
          <w:cantSplit/>
          <w:trHeight w:val="1134"/>
          <w:jc w:val="center"/>
        </w:trPr>
        <w:tc>
          <w:tcPr>
            <w:tcW w:w="993" w:type="dxa"/>
            <w:shd w:val="clear" w:color="auto" w:fill="FFFFFF" w:themeFill="background1"/>
            <w:textDirection w:val="btLr"/>
            <w:vAlign w:val="center"/>
          </w:tcPr>
          <w:p w14:paraId="7BEC697B" w14:textId="15966F4C" w:rsidR="00047387" w:rsidRPr="00917210" w:rsidRDefault="000C06BB"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Relevance</w:t>
            </w:r>
          </w:p>
        </w:tc>
        <w:tc>
          <w:tcPr>
            <w:tcW w:w="2136" w:type="dxa"/>
            <w:shd w:val="clear" w:color="auto" w:fill="FFFFFF" w:themeFill="background1"/>
          </w:tcPr>
          <w:p w14:paraId="37978E7E" w14:textId="77777777" w:rsidR="00047387" w:rsidRPr="00917210" w:rsidRDefault="00047387" w:rsidP="006878DD">
            <w:pPr>
              <w:pStyle w:val="TableParagraph"/>
              <w:spacing w:before="35" w:line="235" w:lineRule="auto"/>
              <w:ind w:left="79"/>
              <w:rPr>
                <w:rFonts w:asciiTheme="minorHAnsi" w:hAnsiTheme="minorHAnsi" w:cstheme="minorBidi"/>
                <w:sz w:val="18"/>
                <w:szCs w:val="18"/>
              </w:rPr>
            </w:pPr>
          </w:p>
        </w:tc>
        <w:tc>
          <w:tcPr>
            <w:tcW w:w="2268" w:type="dxa"/>
            <w:shd w:val="clear" w:color="auto" w:fill="FFFFFF" w:themeFill="background1"/>
          </w:tcPr>
          <w:p w14:paraId="4C424686"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1.2.3 What evidence is there of the alignment between the project and the strategic priorities of the co-operating UN entities?</w:t>
            </w:r>
          </w:p>
        </w:tc>
        <w:tc>
          <w:tcPr>
            <w:tcW w:w="2693" w:type="dxa"/>
            <w:shd w:val="clear" w:color="auto" w:fill="FFFFFF" w:themeFill="background1"/>
          </w:tcPr>
          <w:p w14:paraId="259858D9" w14:textId="77777777" w:rsidR="00047387" w:rsidRPr="00917210" w:rsidRDefault="00047387" w:rsidP="003B672F">
            <w:pPr>
              <w:pStyle w:val="TableParagraph"/>
              <w:numPr>
                <w:ilvl w:val="0"/>
                <w:numId w:val="63"/>
              </w:numPr>
              <w:spacing w:before="35" w:line="235" w:lineRule="auto"/>
              <w:ind w:right="53" w:hanging="233"/>
              <w:rPr>
                <w:rFonts w:asciiTheme="minorHAnsi" w:hAnsiTheme="minorHAnsi" w:cstheme="minorHAnsi"/>
                <w:sz w:val="18"/>
                <w:szCs w:val="18"/>
              </w:rPr>
            </w:pPr>
            <w:r w:rsidRPr="00917210">
              <w:rPr>
                <w:rFonts w:asciiTheme="minorHAnsi" w:hAnsiTheme="minorHAnsi" w:cstheme="minorHAnsi"/>
                <w:sz w:val="18"/>
                <w:szCs w:val="18"/>
              </w:rPr>
              <w:t xml:space="preserve">Evidence of alignment between the project and the strategic priorities of the co-operating UN entities </w:t>
            </w:r>
          </w:p>
          <w:p w14:paraId="60955253" w14:textId="77777777" w:rsidR="00047387" w:rsidRPr="00917210" w:rsidRDefault="00047387" w:rsidP="003B672F">
            <w:pPr>
              <w:pStyle w:val="TableParagraph"/>
              <w:numPr>
                <w:ilvl w:val="0"/>
                <w:numId w:val="63"/>
              </w:numPr>
              <w:spacing w:before="35" w:line="235" w:lineRule="auto"/>
              <w:ind w:right="53"/>
              <w:rPr>
                <w:rFonts w:asciiTheme="minorHAnsi" w:hAnsiTheme="minorHAnsi" w:cstheme="minorHAnsi"/>
                <w:sz w:val="18"/>
                <w:szCs w:val="18"/>
              </w:rPr>
            </w:pPr>
            <w:r w:rsidRPr="00917210">
              <w:rPr>
                <w:rFonts w:asciiTheme="minorHAnsi" w:hAnsiTheme="minorHAnsi" w:cstheme="minorHAnsi"/>
                <w:sz w:val="18"/>
                <w:szCs w:val="18"/>
              </w:rPr>
              <w:t>Key informant perceptions of project alignment with the strategic priorities of the co-operating UN entities</w:t>
            </w:r>
          </w:p>
        </w:tc>
        <w:tc>
          <w:tcPr>
            <w:tcW w:w="3260" w:type="dxa"/>
            <w:shd w:val="clear" w:color="auto" w:fill="FFFFFF" w:themeFill="background1"/>
          </w:tcPr>
          <w:p w14:paraId="5B841DA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7672984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2548213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B2E79D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2106196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020989D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42FAD06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Co-operating UN entities</w:t>
            </w:r>
          </w:p>
        </w:tc>
        <w:tc>
          <w:tcPr>
            <w:tcW w:w="1843" w:type="dxa"/>
            <w:shd w:val="clear" w:color="auto" w:fill="FFFFFF" w:themeFill="background1"/>
          </w:tcPr>
          <w:p w14:paraId="2B190510" w14:textId="77777777" w:rsidR="00047387" w:rsidRPr="002B0F7E"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Document review</w:t>
            </w:r>
          </w:p>
          <w:p w14:paraId="79E40FE6" w14:textId="77777777" w:rsidR="00047387" w:rsidRDefault="00047387" w:rsidP="003B672F">
            <w:pPr>
              <w:pStyle w:val="TableParagraph"/>
              <w:numPr>
                <w:ilvl w:val="0"/>
                <w:numId w:val="42"/>
              </w:numPr>
              <w:spacing w:after="60"/>
              <w:ind w:left="413" w:right="222" w:hanging="284"/>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3D42E9A2" w14:textId="77777777" w:rsidR="00047387" w:rsidRPr="002B0F7E" w:rsidRDefault="00047387" w:rsidP="006878DD">
            <w:pPr>
              <w:pStyle w:val="TableParagraph"/>
              <w:spacing w:after="60"/>
              <w:ind w:right="222"/>
              <w:rPr>
                <w:rFonts w:asciiTheme="minorHAnsi" w:hAnsiTheme="minorHAnsi" w:cstheme="minorHAnsi"/>
                <w:sz w:val="18"/>
                <w:szCs w:val="18"/>
              </w:rPr>
            </w:pPr>
          </w:p>
        </w:tc>
      </w:tr>
      <w:tr w:rsidR="00E6403A" w:rsidRPr="002B0F7E" w14:paraId="762AE57B" w14:textId="77777777" w:rsidTr="00BC0D59">
        <w:trPr>
          <w:trHeight w:val="558"/>
          <w:jc w:val="center"/>
        </w:trPr>
        <w:tc>
          <w:tcPr>
            <w:tcW w:w="993" w:type="dxa"/>
            <w:shd w:val="clear" w:color="auto" w:fill="FFFFFF" w:themeFill="background1"/>
            <w:textDirection w:val="btLr"/>
            <w:vAlign w:val="center"/>
          </w:tcPr>
          <w:p w14:paraId="514DE4D5" w14:textId="70CAC892" w:rsidR="00047387" w:rsidRPr="00917210" w:rsidRDefault="00047387" w:rsidP="00230B0E">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Coherence</w:t>
            </w:r>
          </w:p>
        </w:tc>
        <w:tc>
          <w:tcPr>
            <w:tcW w:w="2136" w:type="dxa"/>
            <w:vMerge w:val="restart"/>
            <w:shd w:val="clear" w:color="auto" w:fill="FFFFFF" w:themeFill="background1"/>
          </w:tcPr>
          <w:p w14:paraId="3450AE59"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 xml:space="preserve">2.1 To what extent was there complementarity between the project and other initiatives and/ or country needs within the same context? </w:t>
            </w:r>
          </w:p>
        </w:tc>
        <w:tc>
          <w:tcPr>
            <w:tcW w:w="2268" w:type="dxa"/>
            <w:shd w:val="clear" w:color="auto" w:fill="FFFFFF" w:themeFill="background1"/>
          </w:tcPr>
          <w:p w14:paraId="163D668C"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2.1.1 What evidence is there to show that the project complemented other UNDESA/ FSDO initiatives in the target countries and/ or region?</w:t>
            </w:r>
          </w:p>
        </w:tc>
        <w:tc>
          <w:tcPr>
            <w:tcW w:w="2693" w:type="dxa"/>
            <w:shd w:val="clear" w:color="auto" w:fill="FFFFFF" w:themeFill="background1"/>
          </w:tcPr>
          <w:p w14:paraId="4C93D702" w14:textId="77777777" w:rsidR="00047387" w:rsidRPr="00917210" w:rsidRDefault="00047387" w:rsidP="003B672F">
            <w:pPr>
              <w:pStyle w:val="TableParagraph"/>
              <w:numPr>
                <w:ilvl w:val="0"/>
                <w:numId w:val="63"/>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5EAC52DF" w14:textId="77777777" w:rsidR="00047387" w:rsidRPr="00917210" w:rsidRDefault="00047387" w:rsidP="003B672F">
            <w:pPr>
              <w:pStyle w:val="TableParagraph"/>
              <w:numPr>
                <w:ilvl w:val="1"/>
                <w:numId w:val="63"/>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synergies/ complementarity between the project and other UNDESA/ FSDO initiatives at the country and/ or regional level</w:t>
            </w:r>
          </w:p>
          <w:p w14:paraId="13F42B7A" w14:textId="77777777" w:rsidR="00047387" w:rsidRPr="00917210" w:rsidRDefault="00047387" w:rsidP="003B672F">
            <w:pPr>
              <w:pStyle w:val="TableParagraph"/>
              <w:numPr>
                <w:ilvl w:val="1"/>
                <w:numId w:val="63"/>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project duplication of other UNDESA/ FSDO initiatives at the country and/ or regional level</w:t>
            </w:r>
          </w:p>
          <w:p w14:paraId="1934A178" w14:textId="77777777" w:rsidR="00047387" w:rsidRPr="00917210" w:rsidRDefault="00047387" w:rsidP="003B672F">
            <w:pPr>
              <w:pStyle w:val="TableParagraph"/>
              <w:numPr>
                <w:ilvl w:val="0"/>
                <w:numId w:val="63"/>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project synergies/ complementarity/ duplication</w:t>
            </w:r>
          </w:p>
          <w:p w14:paraId="13232A46" w14:textId="77777777" w:rsidR="00047387" w:rsidRPr="00917210" w:rsidRDefault="00047387" w:rsidP="006878DD">
            <w:pPr>
              <w:pStyle w:val="TableParagraph"/>
              <w:spacing w:before="35" w:line="235" w:lineRule="auto"/>
              <w:ind w:right="53" w:hanging="222"/>
              <w:rPr>
                <w:rFonts w:asciiTheme="minorHAnsi" w:hAnsiTheme="minorHAnsi" w:cstheme="minorHAnsi"/>
                <w:sz w:val="18"/>
                <w:szCs w:val="18"/>
              </w:rPr>
            </w:pPr>
          </w:p>
        </w:tc>
        <w:tc>
          <w:tcPr>
            <w:tcW w:w="3260" w:type="dxa"/>
            <w:shd w:val="clear" w:color="auto" w:fill="FFFFFF" w:themeFill="background1"/>
          </w:tcPr>
          <w:p w14:paraId="4719835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38CF83A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BF9A31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02F2568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25EEB3E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5178F24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7F439B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5F5798E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3E915A7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9494A52"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3BB50E9F"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2BFEB3A4" w14:textId="2A48B494"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53E7829"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Co-operating entities</w:t>
            </w:r>
          </w:p>
        </w:tc>
        <w:tc>
          <w:tcPr>
            <w:tcW w:w="1843" w:type="dxa"/>
            <w:shd w:val="clear" w:color="auto" w:fill="FFFFFF" w:themeFill="background1"/>
          </w:tcPr>
          <w:p w14:paraId="2894B814"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p>
          <w:p w14:paraId="6C66A26B"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3871C3D4" w14:textId="77777777" w:rsidR="00047387" w:rsidRDefault="00047387" w:rsidP="006878DD">
            <w:pPr>
              <w:pStyle w:val="TableParagraph"/>
              <w:spacing w:after="60"/>
              <w:ind w:right="222"/>
              <w:rPr>
                <w:rFonts w:asciiTheme="minorHAnsi" w:hAnsiTheme="minorHAnsi" w:cstheme="minorHAnsi"/>
                <w:sz w:val="18"/>
                <w:szCs w:val="18"/>
              </w:rPr>
            </w:pPr>
          </w:p>
          <w:p w14:paraId="7F7277A6" w14:textId="77777777" w:rsidR="00047387" w:rsidRDefault="00047387" w:rsidP="006878DD">
            <w:pPr>
              <w:pStyle w:val="TableParagraph"/>
              <w:spacing w:after="60"/>
              <w:ind w:right="222"/>
              <w:rPr>
                <w:rFonts w:asciiTheme="minorHAnsi" w:hAnsiTheme="minorHAnsi" w:cstheme="minorHAnsi"/>
                <w:sz w:val="18"/>
                <w:szCs w:val="18"/>
              </w:rPr>
            </w:pPr>
          </w:p>
          <w:p w14:paraId="65652120" w14:textId="77777777" w:rsidR="00047387" w:rsidRDefault="00047387" w:rsidP="006878DD">
            <w:pPr>
              <w:pStyle w:val="TableParagraph"/>
              <w:spacing w:after="60"/>
              <w:ind w:right="222"/>
              <w:rPr>
                <w:rFonts w:asciiTheme="minorHAnsi" w:hAnsiTheme="minorHAnsi" w:cstheme="minorHAnsi"/>
                <w:sz w:val="18"/>
                <w:szCs w:val="18"/>
              </w:rPr>
            </w:pPr>
          </w:p>
          <w:p w14:paraId="73B4B259" w14:textId="77777777" w:rsidR="00047387" w:rsidRPr="002B0F7E" w:rsidRDefault="00047387" w:rsidP="006878DD">
            <w:pPr>
              <w:pStyle w:val="TableParagraph"/>
              <w:spacing w:line="235" w:lineRule="auto"/>
              <w:ind w:right="222" w:hanging="227"/>
              <w:rPr>
                <w:rFonts w:asciiTheme="minorHAnsi" w:hAnsiTheme="minorHAnsi" w:cstheme="minorHAnsi"/>
                <w:sz w:val="18"/>
                <w:szCs w:val="18"/>
              </w:rPr>
            </w:pPr>
          </w:p>
        </w:tc>
      </w:tr>
      <w:tr w:rsidR="00E6403A" w:rsidRPr="002B0F7E" w14:paraId="509F8BBD" w14:textId="77777777" w:rsidTr="00BC0D59">
        <w:trPr>
          <w:trHeight w:val="1017"/>
          <w:jc w:val="center"/>
        </w:trPr>
        <w:tc>
          <w:tcPr>
            <w:tcW w:w="993" w:type="dxa"/>
            <w:shd w:val="clear" w:color="auto" w:fill="FFFFFF" w:themeFill="background1"/>
            <w:textDirection w:val="btLr"/>
            <w:vAlign w:val="center"/>
          </w:tcPr>
          <w:p w14:paraId="66B2A847" w14:textId="58C3351A" w:rsidR="00047387" w:rsidRPr="00917210" w:rsidRDefault="00FD24F2" w:rsidP="00230B0E">
            <w:pPr>
              <w:ind w:left="113" w:right="113"/>
              <w:jc w:val="center"/>
              <w:rPr>
                <w:rFonts w:cstheme="minorHAnsi"/>
                <w:sz w:val="18"/>
                <w:szCs w:val="18"/>
              </w:rPr>
            </w:pPr>
            <w:r w:rsidRPr="00917210">
              <w:rPr>
                <w:rFonts w:cstheme="minorHAnsi"/>
                <w:b/>
                <w:bCs/>
                <w:spacing w:val="-2"/>
                <w:sz w:val="18"/>
                <w:szCs w:val="18"/>
              </w:rPr>
              <w:t>Coherence</w:t>
            </w:r>
          </w:p>
        </w:tc>
        <w:tc>
          <w:tcPr>
            <w:tcW w:w="2136" w:type="dxa"/>
            <w:vMerge/>
            <w:shd w:val="clear" w:color="auto" w:fill="FFFFFF" w:themeFill="background1"/>
          </w:tcPr>
          <w:p w14:paraId="6EEE8AB9" w14:textId="77777777" w:rsidR="00047387" w:rsidRPr="00917210" w:rsidRDefault="00047387" w:rsidP="006878DD">
            <w:pPr>
              <w:rPr>
                <w:rFonts w:cstheme="minorHAnsi"/>
                <w:sz w:val="18"/>
                <w:szCs w:val="18"/>
              </w:rPr>
            </w:pPr>
          </w:p>
        </w:tc>
        <w:tc>
          <w:tcPr>
            <w:tcW w:w="2268" w:type="dxa"/>
            <w:shd w:val="clear" w:color="auto" w:fill="FFFFFF" w:themeFill="background1"/>
          </w:tcPr>
          <w:p w14:paraId="504CE0BB" w14:textId="77777777" w:rsidR="00047387" w:rsidRPr="00917210" w:rsidRDefault="00047387" w:rsidP="006878DD">
            <w:pPr>
              <w:pStyle w:val="Default"/>
              <w:ind w:left="130"/>
              <w:rPr>
                <w:rFonts w:asciiTheme="minorHAnsi" w:hAnsiTheme="minorHAnsi" w:cstheme="minorHAnsi"/>
                <w:color w:val="auto"/>
                <w:sz w:val="18"/>
                <w:szCs w:val="18"/>
              </w:rPr>
            </w:pPr>
            <w:r w:rsidRPr="00917210">
              <w:rPr>
                <w:rFonts w:asciiTheme="minorHAnsi" w:hAnsiTheme="minorHAnsi" w:cstheme="minorHAnsi"/>
                <w:color w:val="auto"/>
                <w:sz w:val="18"/>
                <w:szCs w:val="18"/>
              </w:rPr>
              <w:t xml:space="preserve">2.1.2 </w:t>
            </w:r>
            <w:r w:rsidRPr="00917210">
              <w:rPr>
                <w:rFonts w:asciiTheme="minorHAnsi" w:hAnsiTheme="minorHAnsi" w:cstheme="minorHAnsi"/>
                <w:sz w:val="18"/>
                <w:szCs w:val="18"/>
              </w:rPr>
              <w:t>What evidence is there to indicate whether the project responded to the identified/ expressed needs of non-project countries within the target regions?</w:t>
            </w:r>
          </w:p>
          <w:p w14:paraId="305633C9" w14:textId="77777777" w:rsidR="00047387" w:rsidRPr="00917210" w:rsidRDefault="00047387" w:rsidP="006878DD">
            <w:pPr>
              <w:pStyle w:val="Default"/>
              <w:rPr>
                <w:rFonts w:asciiTheme="minorHAnsi" w:hAnsiTheme="minorHAnsi" w:cstheme="minorHAnsi"/>
                <w:sz w:val="18"/>
                <w:szCs w:val="18"/>
              </w:rPr>
            </w:pPr>
          </w:p>
        </w:tc>
        <w:tc>
          <w:tcPr>
            <w:tcW w:w="2693" w:type="dxa"/>
            <w:shd w:val="clear" w:color="auto" w:fill="FFFFFF" w:themeFill="background1"/>
          </w:tcPr>
          <w:p w14:paraId="760D754A" w14:textId="77777777" w:rsidR="00047387" w:rsidRPr="00917210" w:rsidRDefault="00047387" w:rsidP="003B672F">
            <w:pPr>
              <w:pStyle w:val="TableParagraph"/>
              <w:numPr>
                <w:ilvl w:val="0"/>
                <w:numId w:val="63"/>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 project responsiveness to the identified/ expressed needs of non-project countries within the target regions</w:t>
            </w:r>
          </w:p>
          <w:p w14:paraId="7D599ED3" w14:textId="77777777" w:rsidR="00047387" w:rsidRPr="00917210" w:rsidRDefault="00047387" w:rsidP="003B672F">
            <w:pPr>
              <w:pStyle w:val="TableParagraph"/>
              <w:numPr>
                <w:ilvl w:val="0"/>
                <w:numId w:val="63"/>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project responsiveness to the identified/ expressed needs of non-project countries within the target regions </w:t>
            </w:r>
          </w:p>
          <w:p w14:paraId="722F0A19" w14:textId="77777777" w:rsidR="00047387" w:rsidRPr="00917210" w:rsidRDefault="00047387" w:rsidP="006878DD">
            <w:pPr>
              <w:pStyle w:val="Default"/>
              <w:ind w:hanging="222"/>
              <w:rPr>
                <w:rFonts w:asciiTheme="minorHAnsi" w:hAnsiTheme="minorHAnsi" w:cstheme="minorHAnsi"/>
                <w:sz w:val="18"/>
                <w:szCs w:val="18"/>
              </w:rPr>
            </w:pPr>
          </w:p>
        </w:tc>
        <w:tc>
          <w:tcPr>
            <w:tcW w:w="3260" w:type="dxa"/>
            <w:shd w:val="clear" w:color="auto" w:fill="FFFFFF" w:themeFill="background1"/>
          </w:tcPr>
          <w:p w14:paraId="11A34E4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40FDE01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668BA3D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619006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5831BAC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6D716B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048F740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0E63DD1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2825379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6D3325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5F3FF9B1"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345AE853" w14:textId="544E7D16"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1E8F76A5" w14:textId="77777777" w:rsidR="00047387" w:rsidRPr="00917210" w:rsidRDefault="00047387" w:rsidP="003B672F">
            <w:pPr>
              <w:pStyle w:val="ListParagraph"/>
              <w:widowControl w:val="0"/>
              <w:numPr>
                <w:ilvl w:val="0"/>
                <w:numId w:val="42"/>
              </w:numPr>
              <w:autoSpaceDE w:val="0"/>
              <w:autoSpaceDN w:val="0"/>
              <w:spacing w:after="60" w:line="240" w:lineRule="auto"/>
              <w:ind w:hanging="221"/>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00C75E27"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7B73B935"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21952B8E" w14:textId="77777777" w:rsidR="00047387" w:rsidRDefault="00047387" w:rsidP="006878DD">
            <w:pPr>
              <w:pStyle w:val="TableParagraph"/>
              <w:spacing w:after="60"/>
              <w:ind w:right="222"/>
              <w:rPr>
                <w:rFonts w:asciiTheme="minorHAnsi" w:hAnsiTheme="minorHAnsi" w:cstheme="minorHAnsi"/>
                <w:sz w:val="18"/>
                <w:szCs w:val="18"/>
              </w:rPr>
            </w:pPr>
          </w:p>
          <w:p w14:paraId="72B4AAFE" w14:textId="77777777" w:rsidR="00047387" w:rsidRDefault="00047387" w:rsidP="006878DD">
            <w:pPr>
              <w:pStyle w:val="TableParagraph"/>
              <w:spacing w:after="60"/>
              <w:ind w:right="222"/>
              <w:rPr>
                <w:rFonts w:asciiTheme="minorHAnsi" w:hAnsiTheme="minorHAnsi" w:cstheme="minorHAnsi"/>
                <w:sz w:val="18"/>
                <w:szCs w:val="18"/>
              </w:rPr>
            </w:pPr>
          </w:p>
          <w:p w14:paraId="1810CC42" w14:textId="77777777" w:rsidR="00047387" w:rsidRDefault="00047387" w:rsidP="006878DD">
            <w:pPr>
              <w:pStyle w:val="TableParagraph"/>
              <w:spacing w:after="60"/>
              <w:ind w:right="222"/>
              <w:rPr>
                <w:rFonts w:asciiTheme="minorHAnsi" w:hAnsiTheme="minorHAnsi" w:cstheme="minorHAnsi"/>
                <w:sz w:val="18"/>
                <w:szCs w:val="18"/>
              </w:rPr>
            </w:pPr>
          </w:p>
          <w:p w14:paraId="5778CEBA" w14:textId="77777777" w:rsidR="00047387" w:rsidRPr="002B0F7E" w:rsidRDefault="00047387" w:rsidP="006878DD">
            <w:pPr>
              <w:pStyle w:val="TableParagraph"/>
              <w:spacing w:line="235" w:lineRule="auto"/>
              <w:ind w:right="222" w:hanging="227"/>
              <w:rPr>
                <w:rFonts w:asciiTheme="minorHAnsi" w:hAnsiTheme="minorHAnsi" w:cstheme="minorHAnsi"/>
                <w:sz w:val="18"/>
                <w:szCs w:val="18"/>
              </w:rPr>
            </w:pPr>
          </w:p>
        </w:tc>
      </w:tr>
      <w:tr w:rsidR="00E6403A" w:rsidRPr="002B0F7E" w14:paraId="6783239F" w14:textId="77777777" w:rsidTr="00BC0D59">
        <w:trPr>
          <w:trHeight w:val="1043"/>
          <w:jc w:val="center"/>
        </w:trPr>
        <w:tc>
          <w:tcPr>
            <w:tcW w:w="993" w:type="dxa"/>
            <w:shd w:val="clear" w:color="auto" w:fill="FFFFFF" w:themeFill="background1"/>
            <w:textDirection w:val="btLr"/>
            <w:vAlign w:val="center"/>
          </w:tcPr>
          <w:p w14:paraId="13C0A728" w14:textId="2D9BE048" w:rsidR="00047387" w:rsidRPr="00917210" w:rsidRDefault="00047387" w:rsidP="00230B0E">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Effectiveness</w:t>
            </w:r>
          </w:p>
        </w:tc>
        <w:tc>
          <w:tcPr>
            <w:tcW w:w="2136" w:type="dxa"/>
            <w:vMerge w:val="restart"/>
            <w:shd w:val="clear" w:color="auto" w:fill="FFFFFF" w:themeFill="background1"/>
          </w:tcPr>
          <w:p w14:paraId="60D966AC"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 xml:space="preserve">3.1 To what extent did the project achieve its target results? </w:t>
            </w:r>
          </w:p>
          <w:p w14:paraId="0F44B6B8" w14:textId="77777777" w:rsidR="00047387" w:rsidRPr="00917210" w:rsidRDefault="00047387" w:rsidP="006878DD">
            <w:pPr>
              <w:pStyle w:val="TableParagraph"/>
              <w:spacing w:before="35" w:line="235" w:lineRule="auto"/>
              <w:rPr>
                <w:rFonts w:asciiTheme="minorHAnsi" w:hAnsiTheme="minorHAnsi" w:cstheme="minorHAnsi"/>
                <w:sz w:val="18"/>
                <w:szCs w:val="18"/>
              </w:rPr>
            </w:pPr>
          </w:p>
        </w:tc>
        <w:tc>
          <w:tcPr>
            <w:tcW w:w="2268" w:type="dxa"/>
            <w:shd w:val="clear" w:color="auto" w:fill="FFFFFF" w:themeFill="background1"/>
          </w:tcPr>
          <w:p w14:paraId="5A226957" w14:textId="77777777" w:rsidR="00047387" w:rsidRPr="00917210" w:rsidRDefault="00047387" w:rsidP="006878DD">
            <w:pPr>
              <w:pStyle w:val="TableParagraph"/>
              <w:spacing w:before="2" w:line="235" w:lineRule="auto"/>
              <w:ind w:left="79" w:right="74"/>
              <w:rPr>
                <w:rFonts w:asciiTheme="minorHAnsi" w:hAnsiTheme="minorHAnsi" w:cstheme="minorHAnsi"/>
                <w:sz w:val="18"/>
                <w:szCs w:val="18"/>
              </w:rPr>
            </w:pPr>
            <w:r w:rsidRPr="00917210">
              <w:rPr>
                <w:rFonts w:asciiTheme="minorHAnsi" w:hAnsiTheme="minorHAnsi" w:cstheme="minorHAnsi"/>
                <w:sz w:val="18"/>
                <w:szCs w:val="18"/>
              </w:rPr>
              <w:t>3.1.1 What evidence is there of the contribution of the project to the strengthened national capacity of target countries in development financing strategies that align with their national development plans and mitigate the impact of COVID-19? (</w:t>
            </w:r>
            <w:r w:rsidRPr="00917210">
              <w:rPr>
                <w:rFonts w:asciiTheme="minorHAnsi" w:hAnsiTheme="minorHAnsi" w:cstheme="minorHAnsi"/>
                <w:b/>
                <w:bCs/>
                <w:sz w:val="18"/>
                <w:szCs w:val="18"/>
              </w:rPr>
              <w:t>Outcome 1</w:t>
            </w:r>
            <w:r w:rsidRPr="00917210">
              <w:rPr>
                <w:rFonts w:asciiTheme="minorHAnsi" w:hAnsiTheme="minorHAnsi" w:cstheme="minorHAnsi"/>
                <w:sz w:val="18"/>
                <w:szCs w:val="18"/>
              </w:rPr>
              <w:t>)</w:t>
            </w:r>
          </w:p>
          <w:p w14:paraId="753006CB" w14:textId="77777777" w:rsidR="00047387" w:rsidRPr="00917210" w:rsidRDefault="00047387" w:rsidP="006878DD">
            <w:pPr>
              <w:pStyle w:val="TableParagraph"/>
              <w:spacing w:before="2" w:line="235" w:lineRule="auto"/>
              <w:ind w:left="79" w:right="74"/>
              <w:rPr>
                <w:rFonts w:asciiTheme="minorHAnsi" w:hAnsiTheme="minorHAnsi" w:cstheme="minorHAnsi"/>
                <w:sz w:val="18"/>
                <w:szCs w:val="18"/>
              </w:rPr>
            </w:pPr>
          </w:p>
        </w:tc>
        <w:tc>
          <w:tcPr>
            <w:tcW w:w="2693" w:type="dxa"/>
            <w:shd w:val="clear" w:color="auto" w:fill="FFFFFF" w:themeFill="background1"/>
          </w:tcPr>
          <w:p w14:paraId="4E8191EE" w14:textId="77777777" w:rsidR="00047387" w:rsidRPr="00917210" w:rsidRDefault="00047387" w:rsidP="003B672F">
            <w:pPr>
              <w:pStyle w:val="Default"/>
              <w:numPr>
                <w:ilvl w:val="0"/>
                <w:numId w:val="59"/>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Targeted global guidance material was developed and applied in target countries and regions</w:t>
            </w:r>
          </w:p>
          <w:p w14:paraId="5BC83EC9" w14:textId="77777777" w:rsidR="00047387" w:rsidRPr="00917210" w:rsidRDefault="00047387" w:rsidP="003B672F">
            <w:pPr>
              <w:pStyle w:val="Default"/>
              <w:numPr>
                <w:ilvl w:val="0"/>
                <w:numId w:val="59"/>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80% of participants in national training share a sound understanding of the value of INFF in their country context</w:t>
            </w:r>
          </w:p>
          <w:p w14:paraId="2C1D915E" w14:textId="77777777" w:rsidR="00047387" w:rsidRPr="00917210" w:rsidRDefault="00047387" w:rsidP="003B672F">
            <w:pPr>
              <w:pStyle w:val="Default"/>
              <w:numPr>
                <w:ilvl w:val="0"/>
                <w:numId w:val="59"/>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10 target countries developed and commenced implementation of INFF methodology for their country </w:t>
            </w:r>
          </w:p>
          <w:p w14:paraId="055E8FA7" w14:textId="77777777" w:rsidR="00047387" w:rsidRPr="00917210" w:rsidRDefault="00047387" w:rsidP="003B672F">
            <w:pPr>
              <w:pStyle w:val="Default"/>
              <w:numPr>
                <w:ilvl w:val="0"/>
                <w:numId w:val="59"/>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the strengthened national capacity of target countries in </w:t>
            </w:r>
            <w:r w:rsidRPr="00917210">
              <w:rPr>
                <w:rFonts w:asciiTheme="minorHAnsi" w:hAnsiTheme="minorHAnsi" w:cstheme="minorHAnsi"/>
                <w:sz w:val="18"/>
                <w:szCs w:val="18"/>
              </w:rPr>
              <w:lastRenderedPageBreak/>
              <w:t>development financing strategies that align with their national development plans and mitigate the impact of COVID-19</w:t>
            </w:r>
          </w:p>
        </w:tc>
        <w:tc>
          <w:tcPr>
            <w:tcW w:w="3260" w:type="dxa"/>
            <w:shd w:val="clear" w:color="auto" w:fill="FFFFFF" w:themeFill="background1"/>
          </w:tcPr>
          <w:p w14:paraId="17B9BE9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4BD1F7F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5123307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4E06849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6B1891E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28A1517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4FBEE4E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69610F6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4B98717A"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24642B7"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4C7A47D0"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Executing entity</w:t>
            </w:r>
          </w:p>
          <w:p w14:paraId="0A21CE88" w14:textId="3C99913E"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DFCF453"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7C35E17A"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r>
              <w:rPr>
                <w:rFonts w:asciiTheme="minorHAnsi" w:hAnsiTheme="minorHAnsi" w:cstheme="minorHAnsi"/>
                <w:sz w:val="18"/>
                <w:szCs w:val="18"/>
              </w:rPr>
              <w:t>, including FfD study report</w:t>
            </w:r>
          </w:p>
          <w:p w14:paraId="3A17F08B"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373DBA3" w14:textId="77777777" w:rsidR="00047387" w:rsidRDefault="00047387" w:rsidP="006878DD">
            <w:pPr>
              <w:pStyle w:val="TableParagraph"/>
              <w:spacing w:after="60"/>
              <w:ind w:right="222"/>
              <w:rPr>
                <w:rFonts w:asciiTheme="minorHAnsi" w:hAnsiTheme="minorHAnsi" w:cstheme="minorHAnsi"/>
                <w:sz w:val="18"/>
                <w:szCs w:val="18"/>
              </w:rPr>
            </w:pPr>
          </w:p>
          <w:p w14:paraId="4EBDDF92" w14:textId="77777777" w:rsidR="00047387" w:rsidRDefault="00047387" w:rsidP="006878DD">
            <w:pPr>
              <w:pStyle w:val="TableParagraph"/>
              <w:spacing w:after="60"/>
              <w:ind w:right="222"/>
              <w:rPr>
                <w:rFonts w:asciiTheme="minorHAnsi" w:hAnsiTheme="minorHAnsi" w:cstheme="minorHAnsi"/>
                <w:sz w:val="18"/>
                <w:szCs w:val="18"/>
              </w:rPr>
            </w:pPr>
          </w:p>
          <w:p w14:paraId="6536B855" w14:textId="77777777" w:rsidR="00047387" w:rsidRDefault="00047387" w:rsidP="006878DD">
            <w:pPr>
              <w:pStyle w:val="TableParagraph"/>
              <w:spacing w:after="60"/>
              <w:ind w:right="222"/>
              <w:rPr>
                <w:rFonts w:asciiTheme="minorHAnsi" w:hAnsiTheme="minorHAnsi" w:cstheme="minorHAnsi"/>
                <w:sz w:val="18"/>
                <w:szCs w:val="18"/>
              </w:rPr>
            </w:pPr>
          </w:p>
          <w:p w14:paraId="7F4A7BFA" w14:textId="77777777" w:rsidR="00047387" w:rsidRPr="002B0F7E" w:rsidRDefault="00047387" w:rsidP="006878DD">
            <w:pPr>
              <w:pStyle w:val="TableParagraph"/>
              <w:spacing w:line="235" w:lineRule="auto"/>
              <w:ind w:right="195" w:hanging="227"/>
              <w:rPr>
                <w:rFonts w:asciiTheme="minorHAnsi" w:hAnsiTheme="minorHAnsi" w:cstheme="minorHAnsi"/>
                <w:sz w:val="18"/>
                <w:szCs w:val="18"/>
              </w:rPr>
            </w:pPr>
          </w:p>
        </w:tc>
      </w:tr>
      <w:tr w:rsidR="00E6403A" w:rsidRPr="002B0F7E" w14:paraId="6702CEA1" w14:textId="77777777" w:rsidTr="00BC0D59">
        <w:trPr>
          <w:trHeight w:val="633"/>
          <w:jc w:val="center"/>
        </w:trPr>
        <w:tc>
          <w:tcPr>
            <w:tcW w:w="993" w:type="dxa"/>
            <w:shd w:val="clear" w:color="auto" w:fill="FFFFFF" w:themeFill="background1"/>
            <w:textDirection w:val="btLr"/>
            <w:vAlign w:val="center"/>
          </w:tcPr>
          <w:p w14:paraId="2CFA8A11" w14:textId="71214109" w:rsidR="00047387" w:rsidRPr="00917210" w:rsidRDefault="00344529" w:rsidP="00230B0E">
            <w:pPr>
              <w:ind w:left="113" w:right="113"/>
              <w:jc w:val="center"/>
              <w:rPr>
                <w:rFonts w:cstheme="minorHAnsi"/>
                <w:sz w:val="18"/>
                <w:szCs w:val="18"/>
              </w:rPr>
            </w:pPr>
            <w:r w:rsidRPr="00917210">
              <w:rPr>
                <w:rFonts w:cstheme="minorHAnsi"/>
                <w:b/>
                <w:bCs/>
                <w:spacing w:val="-2"/>
                <w:sz w:val="18"/>
                <w:szCs w:val="18"/>
              </w:rPr>
              <w:t>Effectiveness</w:t>
            </w:r>
          </w:p>
        </w:tc>
        <w:tc>
          <w:tcPr>
            <w:tcW w:w="2136" w:type="dxa"/>
            <w:vMerge/>
            <w:shd w:val="clear" w:color="auto" w:fill="FFFFFF" w:themeFill="background1"/>
          </w:tcPr>
          <w:p w14:paraId="228F78F5"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75200D1E" w14:textId="2764CAA4" w:rsidR="00047387" w:rsidRPr="00917210" w:rsidRDefault="00047387" w:rsidP="006878DD">
            <w:pPr>
              <w:ind w:left="130" w:right="208"/>
              <w:rPr>
                <w:rFonts w:cstheme="minorHAnsi"/>
                <w:sz w:val="18"/>
                <w:szCs w:val="18"/>
              </w:rPr>
            </w:pPr>
            <w:r w:rsidRPr="00917210">
              <w:rPr>
                <w:rFonts w:cstheme="minorHAnsi"/>
                <w:sz w:val="18"/>
                <w:szCs w:val="18"/>
              </w:rPr>
              <w:t xml:space="preserve">3.1.2 What evidence is there to show that the project increased </w:t>
            </w:r>
            <w:r w:rsidR="006321A6">
              <w:rPr>
                <w:rFonts w:cstheme="minorHAnsi"/>
                <w:sz w:val="18"/>
                <w:szCs w:val="18"/>
              </w:rPr>
              <w:t>knowledge-exchange</w:t>
            </w:r>
            <w:r w:rsidRPr="00917210">
              <w:rPr>
                <w:rFonts w:cstheme="minorHAnsi"/>
                <w:sz w:val="18"/>
                <w:szCs w:val="18"/>
              </w:rPr>
              <w:t xml:space="preserve"> and </w:t>
            </w:r>
            <w:r w:rsidR="006321A6">
              <w:rPr>
                <w:rFonts w:cstheme="minorHAnsi"/>
                <w:sz w:val="18"/>
                <w:szCs w:val="18"/>
              </w:rPr>
              <w:t>peer-learning</w:t>
            </w:r>
            <w:r w:rsidRPr="00917210">
              <w:rPr>
                <w:rFonts w:cstheme="minorHAnsi"/>
                <w:sz w:val="18"/>
                <w:szCs w:val="18"/>
              </w:rPr>
              <w:t xml:space="preserve"> on applying INFF concepts among target countries and informed wider implementation efforts of INFFs in other countries and UN support to this effect? (</w:t>
            </w:r>
            <w:r w:rsidRPr="00917210">
              <w:rPr>
                <w:rFonts w:cstheme="minorHAnsi"/>
                <w:b/>
                <w:bCs/>
                <w:sz w:val="18"/>
                <w:szCs w:val="18"/>
              </w:rPr>
              <w:t>Outcome 2</w:t>
            </w:r>
            <w:r w:rsidRPr="00917210">
              <w:rPr>
                <w:rFonts w:cstheme="minorHAnsi"/>
                <w:sz w:val="18"/>
                <w:szCs w:val="18"/>
              </w:rPr>
              <w:t>)</w:t>
            </w:r>
          </w:p>
        </w:tc>
        <w:tc>
          <w:tcPr>
            <w:tcW w:w="2693" w:type="dxa"/>
            <w:shd w:val="clear" w:color="auto" w:fill="FFFFFF" w:themeFill="background1"/>
          </w:tcPr>
          <w:p w14:paraId="69A427FD" w14:textId="7777777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75% of participants submitted positive end-of-workshop surveys from the exchange with peer countries</w:t>
            </w:r>
          </w:p>
          <w:p w14:paraId="599F0AEC" w14:textId="7777777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Target countries advanced INFF implementation in at least one building block, based on lessons learned at the regional workshop</w:t>
            </w:r>
          </w:p>
          <w:p w14:paraId="4572DCCC" w14:textId="3A6729B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75% of participants, including target country representatives and other stakeholders benefitted from the global </w:t>
            </w:r>
            <w:r w:rsidR="006321A6">
              <w:rPr>
                <w:rFonts w:asciiTheme="minorHAnsi" w:hAnsiTheme="minorHAnsi" w:cstheme="minorHAnsi"/>
                <w:sz w:val="18"/>
                <w:szCs w:val="18"/>
              </w:rPr>
              <w:t>knowledge-exchange</w:t>
            </w:r>
          </w:p>
          <w:p w14:paraId="628D4883" w14:textId="7777777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Increase in the number of countries that initiate design and implementation of an INFF, over and above the baseline of 10 target countries and additional countries that receive support from the Joint SDG Fund </w:t>
            </w:r>
          </w:p>
          <w:p w14:paraId="6123B197" w14:textId="77777777" w:rsidR="00047387" w:rsidRPr="00917210" w:rsidRDefault="00047387" w:rsidP="003B672F">
            <w:pPr>
              <w:pStyle w:val="Default"/>
              <w:numPr>
                <w:ilvl w:val="0"/>
                <w:numId w:val="60"/>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Key informant perceptions of project contribution to:</w:t>
            </w:r>
          </w:p>
          <w:p w14:paraId="3160CC31" w14:textId="12397848" w:rsidR="00047387" w:rsidRPr="00917210" w:rsidRDefault="00047387" w:rsidP="003B672F">
            <w:pPr>
              <w:pStyle w:val="Default"/>
              <w:numPr>
                <w:ilvl w:val="1"/>
                <w:numId w:val="60"/>
              </w:numPr>
              <w:spacing w:after="120"/>
              <w:ind w:left="694" w:hanging="283"/>
              <w:rPr>
                <w:rFonts w:asciiTheme="minorHAnsi" w:hAnsiTheme="minorHAnsi" w:cstheme="minorHAnsi"/>
                <w:sz w:val="18"/>
                <w:szCs w:val="18"/>
              </w:rPr>
            </w:pPr>
            <w:r w:rsidRPr="00917210">
              <w:rPr>
                <w:rFonts w:cstheme="minorHAnsi"/>
                <w:sz w:val="18"/>
                <w:szCs w:val="18"/>
              </w:rPr>
              <w:t xml:space="preserve">(a) increased </w:t>
            </w:r>
            <w:r w:rsidR="006321A6">
              <w:rPr>
                <w:rFonts w:cstheme="minorHAnsi"/>
                <w:sz w:val="18"/>
                <w:szCs w:val="18"/>
              </w:rPr>
              <w:t>knowledge-exchange</w:t>
            </w:r>
            <w:r w:rsidRPr="00917210">
              <w:rPr>
                <w:rFonts w:cstheme="minorHAnsi"/>
                <w:sz w:val="18"/>
                <w:szCs w:val="18"/>
              </w:rPr>
              <w:t xml:space="preserve"> and </w:t>
            </w:r>
            <w:r w:rsidR="006321A6">
              <w:rPr>
                <w:rFonts w:cstheme="minorHAnsi"/>
                <w:sz w:val="18"/>
                <w:szCs w:val="18"/>
              </w:rPr>
              <w:t>peer-learning</w:t>
            </w:r>
            <w:r w:rsidRPr="00917210">
              <w:rPr>
                <w:rFonts w:cstheme="minorHAnsi"/>
                <w:sz w:val="18"/>
                <w:szCs w:val="18"/>
              </w:rPr>
              <w:t xml:space="preserve"> on applying INFF concepts among target countries </w:t>
            </w:r>
          </w:p>
          <w:p w14:paraId="69864193" w14:textId="77777777" w:rsidR="00047387" w:rsidRPr="00917210" w:rsidRDefault="00047387" w:rsidP="003B672F">
            <w:pPr>
              <w:pStyle w:val="Default"/>
              <w:numPr>
                <w:ilvl w:val="1"/>
                <w:numId w:val="60"/>
              </w:numPr>
              <w:spacing w:after="120"/>
              <w:ind w:left="694" w:hanging="283"/>
              <w:rPr>
                <w:rFonts w:asciiTheme="minorHAnsi" w:hAnsiTheme="minorHAnsi" w:cstheme="minorHAnsi"/>
                <w:sz w:val="18"/>
                <w:szCs w:val="18"/>
              </w:rPr>
            </w:pPr>
            <w:r w:rsidRPr="00917210">
              <w:rPr>
                <w:rFonts w:cstheme="minorHAnsi"/>
                <w:sz w:val="18"/>
                <w:szCs w:val="18"/>
              </w:rPr>
              <w:lastRenderedPageBreak/>
              <w:t>(b) wider implementation efforts of INFFs in other countries and</w:t>
            </w:r>
          </w:p>
          <w:p w14:paraId="5E8E9312" w14:textId="77777777" w:rsidR="00047387" w:rsidRPr="00917210" w:rsidRDefault="00047387" w:rsidP="003B672F">
            <w:pPr>
              <w:pStyle w:val="Default"/>
              <w:numPr>
                <w:ilvl w:val="1"/>
                <w:numId w:val="60"/>
              </w:numPr>
              <w:spacing w:after="120"/>
              <w:ind w:left="694" w:hanging="283"/>
              <w:rPr>
                <w:rFonts w:asciiTheme="minorHAnsi" w:hAnsiTheme="minorHAnsi" w:cstheme="minorHAnsi"/>
                <w:sz w:val="18"/>
                <w:szCs w:val="18"/>
              </w:rPr>
            </w:pPr>
            <w:r w:rsidRPr="00917210">
              <w:rPr>
                <w:rFonts w:cstheme="minorHAnsi"/>
                <w:sz w:val="18"/>
                <w:szCs w:val="18"/>
              </w:rPr>
              <w:t>UN support for (a) and (b)</w:t>
            </w:r>
          </w:p>
        </w:tc>
        <w:tc>
          <w:tcPr>
            <w:tcW w:w="3260" w:type="dxa"/>
            <w:shd w:val="clear" w:color="auto" w:fill="FFFFFF" w:themeFill="background1"/>
          </w:tcPr>
          <w:p w14:paraId="1EACFE3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6DA26F2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B8F3B2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0DE320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3732C42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319B3B0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B34138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07DDB3F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5F4D5AE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5A61449"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3F64F45C"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1EFF3DF9" w14:textId="5C26D099"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0F9370C"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33C1AD0A"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28181EC4"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0611FA4" w14:textId="77777777" w:rsidR="00047387" w:rsidRDefault="00047387" w:rsidP="006878DD">
            <w:pPr>
              <w:pStyle w:val="TableParagraph"/>
              <w:spacing w:after="60"/>
              <w:ind w:right="222"/>
              <w:rPr>
                <w:rFonts w:asciiTheme="minorHAnsi" w:hAnsiTheme="minorHAnsi" w:cstheme="minorHAnsi"/>
                <w:sz w:val="18"/>
                <w:szCs w:val="18"/>
              </w:rPr>
            </w:pPr>
          </w:p>
          <w:p w14:paraId="6907B9A2" w14:textId="77777777" w:rsidR="00047387" w:rsidRDefault="00047387" w:rsidP="006878DD">
            <w:pPr>
              <w:pStyle w:val="TableParagraph"/>
              <w:spacing w:after="60"/>
              <w:ind w:right="222"/>
              <w:rPr>
                <w:rFonts w:asciiTheme="minorHAnsi" w:hAnsiTheme="minorHAnsi" w:cstheme="minorHAnsi"/>
                <w:sz w:val="18"/>
                <w:szCs w:val="18"/>
              </w:rPr>
            </w:pPr>
          </w:p>
          <w:p w14:paraId="68695AA2" w14:textId="77777777" w:rsidR="00047387" w:rsidRDefault="00047387" w:rsidP="006878DD">
            <w:pPr>
              <w:pStyle w:val="TableParagraph"/>
              <w:spacing w:after="60"/>
              <w:ind w:right="222"/>
              <w:rPr>
                <w:rFonts w:asciiTheme="minorHAnsi" w:hAnsiTheme="minorHAnsi" w:cstheme="minorHAnsi"/>
                <w:sz w:val="18"/>
                <w:szCs w:val="18"/>
              </w:rPr>
            </w:pPr>
          </w:p>
          <w:p w14:paraId="2CC6F070" w14:textId="77777777" w:rsidR="00047387" w:rsidRPr="002B0F7E" w:rsidRDefault="00047387" w:rsidP="006878DD">
            <w:pPr>
              <w:pStyle w:val="TableParagraph"/>
              <w:spacing w:before="32"/>
              <w:ind w:hanging="227"/>
              <w:rPr>
                <w:rFonts w:asciiTheme="minorHAnsi" w:hAnsiTheme="minorHAnsi" w:cstheme="minorHAnsi"/>
                <w:sz w:val="18"/>
                <w:szCs w:val="18"/>
              </w:rPr>
            </w:pPr>
          </w:p>
        </w:tc>
      </w:tr>
      <w:tr w:rsidR="00E6403A" w:rsidRPr="002B0F7E" w14:paraId="5F23A3D9" w14:textId="77777777" w:rsidTr="00BC0D59">
        <w:trPr>
          <w:cantSplit/>
          <w:trHeight w:val="1813"/>
          <w:jc w:val="center"/>
        </w:trPr>
        <w:tc>
          <w:tcPr>
            <w:tcW w:w="993" w:type="dxa"/>
            <w:shd w:val="clear" w:color="auto" w:fill="FFFFFF" w:themeFill="background1"/>
            <w:textDirection w:val="btLr"/>
            <w:vAlign w:val="center"/>
          </w:tcPr>
          <w:p w14:paraId="71BDDD70" w14:textId="057F6E33" w:rsidR="00047387" w:rsidRPr="00917210" w:rsidRDefault="00344529" w:rsidP="00230B0E">
            <w:pPr>
              <w:ind w:left="113" w:right="113"/>
              <w:jc w:val="center"/>
              <w:rPr>
                <w:rFonts w:cstheme="minorHAnsi"/>
                <w:sz w:val="18"/>
                <w:szCs w:val="18"/>
              </w:rPr>
            </w:pPr>
            <w:r w:rsidRPr="00917210">
              <w:rPr>
                <w:rFonts w:cstheme="minorHAnsi"/>
                <w:b/>
                <w:bCs/>
                <w:spacing w:val="-2"/>
                <w:sz w:val="18"/>
                <w:szCs w:val="18"/>
              </w:rPr>
              <w:t>Effectiveness</w:t>
            </w:r>
          </w:p>
        </w:tc>
        <w:tc>
          <w:tcPr>
            <w:tcW w:w="2136" w:type="dxa"/>
            <w:vMerge w:val="restart"/>
            <w:shd w:val="clear" w:color="auto" w:fill="FFFFFF" w:themeFill="background1"/>
          </w:tcPr>
          <w:p w14:paraId="1BE5018F" w14:textId="77777777" w:rsidR="00047387" w:rsidRPr="00917210" w:rsidRDefault="00047387" w:rsidP="006878DD">
            <w:pPr>
              <w:rPr>
                <w:rFonts w:cstheme="minorHAnsi"/>
                <w:sz w:val="18"/>
                <w:szCs w:val="18"/>
              </w:rPr>
            </w:pPr>
            <w:r w:rsidRPr="00917210">
              <w:rPr>
                <w:rFonts w:cstheme="minorHAnsi"/>
                <w:sz w:val="18"/>
                <w:szCs w:val="18"/>
              </w:rPr>
              <w:t>3.2 To what extent did the project generate unexpected results?</w:t>
            </w:r>
          </w:p>
        </w:tc>
        <w:tc>
          <w:tcPr>
            <w:tcW w:w="2268" w:type="dxa"/>
            <w:shd w:val="clear" w:color="auto" w:fill="FFFFFF" w:themeFill="background1"/>
          </w:tcPr>
          <w:p w14:paraId="3B7985C5" w14:textId="77777777" w:rsidR="00047387" w:rsidRPr="00917210" w:rsidRDefault="00047387" w:rsidP="006878DD">
            <w:pPr>
              <w:pStyle w:val="TableParagraph"/>
              <w:spacing w:before="35" w:line="235" w:lineRule="auto"/>
              <w:ind w:left="79" w:right="264"/>
              <w:rPr>
                <w:rFonts w:asciiTheme="minorHAnsi" w:hAnsiTheme="minorHAnsi" w:cstheme="minorHAnsi"/>
                <w:sz w:val="18"/>
                <w:szCs w:val="18"/>
              </w:rPr>
            </w:pPr>
            <w:r w:rsidRPr="00917210">
              <w:rPr>
                <w:rFonts w:asciiTheme="minorHAnsi" w:hAnsiTheme="minorHAnsi" w:cstheme="minorHAnsi"/>
                <w:sz w:val="18"/>
                <w:szCs w:val="18"/>
              </w:rPr>
              <w:t>3.2.1 What, if any, were the unintended results of the project, whether positive or negative?</w:t>
            </w:r>
          </w:p>
        </w:tc>
        <w:tc>
          <w:tcPr>
            <w:tcW w:w="2693" w:type="dxa"/>
            <w:shd w:val="clear" w:color="auto" w:fill="FFFFFF" w:themeFill="background1"/>
          </w:tcPr>
          <w:p w14:paraId="400DA099" w14:textId="77777777" w:rsidR="00047387" w:rsidRPr="00917210" w:rsidRDefault="00047387" w:rsidP="003B672F">
            <w:pPr>
              <w:pStyle w:val="TableParagraph"/>
              <w:numPr>
                <w:ilvl w:val="0"/>
                <w:numId w:val="61"/>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Evidence of unintended project results (positive)</w:t>
            </w:r>
          </w:p>
          <w:p w14:paraId="65D6D2BD" w14:textId="77777777" w:rsidR="00047387" w:rsidRPr="00917210" w:rsidRDefault="00047387" w:rsidP="003B672F">
            <w:pPr>
              <w:pStyle w:val="TableParagraph"/>
              <w:numPr>
                <w:ilvl w:val="0"/>
                <w:numId w:val="61"/>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Evidence of unintended project results (negative)</w:t>
            </w:r>
          </w:p>
          <w:p w14:paraId="7D5F8F99" w14:textId="77777777" w:rsidR="00047387" w:rsidRPr="00917210" w:rsidRDefault="00047387" w:rsidP="003B672F">
            <w:pPr>
              <w:pStyle w:val="TableParagraph"/>
              <w:numPr>
                <w:ilvl w:val="0"/>
                <w:numId w:val="61"/>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Key informant perceptions of unintended project results (positive/ negative)</w:t>
            </w:r>
          </w:p>
        </w:tc>
        <w:tc>
          <w:tcPr>
            <w:tcW w:w="3260" w:type="dxa"/>
            <w:shd w:val="clear" w:color="auto" w:fill="FFFFFF" w:themeFill="background1"/>
          </w:tcPr>
          <w:p w14:paraId="5614D2D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77E9A8D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59FE5FE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0EB1CBB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55E0875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21B5E5D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A3FF20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6235C15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4347715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26D4C432"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4B77699C" w14:textId="7AAF44E2"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3F1B6F6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1A8D5AD9"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3BE2F28D"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0C7FDC26" w14:textId="77777777" w:rsidR="00047387" w:rsidRDefault="00047387" w:rsidP="006878DD">
            <w:pPr>
              <w:pStyle w:val="TableParagraph"/>
              <w:spacing w:after="60"/>
              <w:ind w:right="222"/>
              <w:rPr>
                <w:rFonts w:asciiTheme="minorHAnsi" w:hAnsiTheme="minorHAnsi" w:cstheme="minorHAnsi"/>
                <w:sz w:val="18"/>
                <w:szCs w:val="18"/>
              </w:rPr>
            </w:pPr>
          </w:p>
          <w:p w14:paraId="202D57E0" w14:textId="77777777" w:rsidR="00047387" w:rsidRDefault="00047387" w:rsidP="006878DD">
            <w:pPr>
              <w:pStyle w:val="TableParagraph"/>
              <w:spacing w:after="60"/>
              <w:ind w:right="222"/>
              <w:rPr>
                <w:rFonts w:asciiTheme="minorHAnsi" w:hAnsiTheme="minorHAnsi" w:cstheme="minorHAnsi"/>
                <w:sz w:val="18"/>
                <w:szCs w:val="18"/>
              </w:rPr>
            </w:pPr>
          </w:p>
          <w:p w14:paraId="0690FD74" w14:textId="77777777" w:rsidR="00047387" w:rsidRDefault="00047387" w:rsidP="006878DD">
            <w:pPr>
              <w:pStyle w:val="TableParagraph"/>
              <w:spacing w:after="60"/>
              <w:ind w:right="222"/>
              <w:rPr>
                <w:rFonts w:asciiTheme="minorHAnsi" w:hAnsiTheme="minorHAnsi" w:cstheme="minorHAnsi"/>
                <w:sz w:val="18"/>
                <w:szCs w:val="18"/>
              </w:rPr>
            </w:pPr>
          </w:p>
          <w:p w14:paraId="0357ECCA" w14:textId="77777777" w:rsidR="00047387" w:rsidRPr="002B0F7E" w:rsidRDefault="00047387" w:rsidP="006878DD">
            <w:pPr>
              <w:pStyle w:val="TableParagraph"/>
              <w:spacing w:line="235" w:lineRule="auto"/>
              <w:ind w:right="51" w:hanging="227"/>
              <w:rPr>
                <w:rFonts w:asciiTheme="minorHAnsi" w:hAnsiTheme="minorHAnsi" w:cstheme="minorHAnsi"/>
                <w:sz w:val="18"/>
                <w:szCs w:val="18"/>
              </w:rPr>
            </w:pPr>
          </w:p>
        </w:tc>
      </w:tr>
      <w:tr w:rsidR="00E6403A" w:rsidRPr="002B0F7E" w14:paraId="3CE5F479" w14:textId="77777777" w:rsidTr="00BC0D59">
        <w:trPr>
          <w:cantSplit/>
          <w:trHeight w:val="1978"/>
          <w:jc w:val="center"/>
        </w:trPr>
        <w:tc>
          <w:tcPr>
            <w:tcW w:w="993" w:type="dxa"/>
            <w:shd w:val="clear" w:color="auto" w:fill="FFFFFF" w:themeFill="background1"/>
            <w:textDirection w:val="btLr"/>
            <w:vAlign w:val="center"/>
          </w:tcPr>
          <w:p w14:paraId="7551AAF3" w14:textId="680E72FC" w:rsidR="00047387" w:rsidRPr="00917210" w:rsidRDefault="00344529" w:rsidP="00230B0E">
            <w:pPr>
              <w:ind w:left="113" w:right="113"/>
              <w:jc w:val="center"/>
              <w:rPr>
                <w:rFonts w:cstheme="minorHAnsi"/>
                <w:sz w:val="18"/>
                <w:szCs w:val="18"/>
              </w:rPr>
            </w:pPr>
            <w:r w:rsidRPr="00917210">
              <w:rPr>
                <w:rFonts w:cstheme="minorHAnsi"/>
                <w:b/>
                <w:bCs/>
                <w:spacing w:val="-2"/>
                <w:sz w:val="18"/>
                <w:szCs w:val="18"/>
              </w:rPr>
              <w:lastRenderedPageBreak/>
              <w:t>Effectiveness</w:t>
            </w:r>
          </w:p>
        </w:tc>
        <w:tc>
          <w:tcPr>
            <w:tcW w:w="2136" w:type="dxa"/>
            <w:vMerge/>
            <w:shd w:val="clear" w:color="auto" w:fill="FFFFFF" w:themeFill="background1"/>
          </w:tcPr>
          <w:p w14:paraId="5918146D" w14:textId="77777777" w:rsidR="00047387" w:rsidRPr="00917210" w:rsidRDefault="00047387" w:rsidP="006878DD">
            <w:pPr>
              <w:ind w:left="35" w:firstLine="35"/>
              <w:rPr>
                <w:rFonts w:cstheme="minorHAnsi"/>
                <w:sz w:val="18"/>
                <w:szCs w:val="18"/>
              </w:rPr>
            </w:pPr>
          </w:p>
        </w:tc>
        <w:tc>
          <w:tcPr>
            <w:tcW w:w="2268" w:type="dxa"/>
            <w:shd w:val="clear" w:color="auto" w:fill="FFFFFF" w:themeFill="background1"/>
          </w:tcPr>
          <w:p w14:paraId="0BD48606" w14:textId="77777777" w:rsidR="00047387" w:rsidRPr="00917210" w:rsidRDefault="00047387" w:rsidP="006878DD">
            <w:pPr>
              <w:pStyle w:val="TableParagraph"/>
              <w:spacing w:before="35" w:line="235" w:lineRule="auto"/>
              <w:ind w:left="79" w:right="264"/>
              <w:rPr>
                <w:rFonts w:asciiTheme="minorHAnsi" w:hAnsiTheme="minorHAnsi" w:cstheme="minorHAnsi"/>
                <w:sz w:val="18"/>
                <w:szCs w:val="18"/>
              </w:rPr>
            </w:pPr>
            <w:r w:rsidRPr="00917210">
              <w:rPr>
                <w:rFonts w:asciiTheme="minorHAnsi" w:hAnsiTheme="minorHAnsi" w:cstheme="minorHAnsi"/>
                <w:sz w:val="18"/>
                <w:szCs w:val="18"/>
              </w:rPr>
              <w:t>3.2.2 In what way, if at all, was the project challenged by unintended results and how were they addressed?</w:t>
            </w:r>
          </w:p>
        </w:tc>
        <w:tc>
          <w:tcPr>
            <w:tcW w:w="2693" w:type="dxa"/>
            <w:shd w:val="clear" w:color="auto" w:fill="FFFFFF" w:themeFill="background1"/>
          </w:tcPr>
          <w:p w14:paraId="73264149"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Challenges to project by unintended results</w:t>
            </w:r>
          </w:p>
          <w:p w14:paraId="1DA374B3"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Measures taken to mitigate emergent project challenges from unintended results</w:t>
            </w:r>
          </w:p>
          <w:p w14:paraId="22C0AF27"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Key informant perceptions of:</w:t>
            </w:r>
          </w:p>
          <w:p w14:paraId="550C2084" w14:textId="77777777" w:rsidR="00047387" w:rsidRPr="00917210" w:rsidRDefault="00047387" w:rsidP="003B672F">
            <w:pPr>
              <w:pStyle w:val="TableParagraph"/>
              <w:numPr>
                <w:ilvl w:val="1"/>
                <w:numId w:val="62"/>
              </w:numPr>
              <w:spacing w:before="32"/>
              <w:ind w:left="698" w:hanging="222"/>
              <w:rPr>
                <w:rFonts w:asciiTheme="minorHAnsi" w:hAnsiTheme="minorHAnsi" w:cstheme="minorHAnsi"/>
                <w:sz w:val="18"/>
                <w:szCs w:val="18"/>
              </w:rPr>
            </w:pPr>
            <w:r w:rsidRPr="00917210">
              <w:rPr>
                <w:rFonts w:asciiTheme="minorHAnsi" w:hAnsiTheme="minorHAnsi" w:cstheme="minorHAnsi"/>
                <w:sz w:val="18"/>
                <w:szCs w:val="18"/>
              </w:rPr>
              <w:t>challenges to project by unintended results</w:t>
            </w:r>
          </w:p>
          <w:p w14:paraId="4D484E61" w14:textId="77777777" w:rsidR="00047387" w:rsidRPr="00917210" w:rsidRDefault="00047387" w:rsidP="003B672F">
            <w:pPr>
              <w:pStyle w:val="TableParagraph"/>
              <w:numPr>
                <w:ilvl w:val="1"/>
                <w:numId w:val="62"/>
              </w:numPr>
              <w:spacing w:before="32"/>
              <w:ind w:left="698" w:hanging="222"/>
              <w:rPr>
                <w:rFonts w:asciiTheme="minorHAnsi" w:hAnsiTheme="minorHAnsi" w:cstheme="minorHAnsi"/>
                <w:sz w:val="18"/>
                <w:szCs w:val="18"/>
              </w:rPr>
            </w:pPr>
            <w:r w:rsidRPr="00917210">
              <w:rPr>
                <w:rFonts w:asciiTheme="minorHAnsi" w:hAnsiTheme="minorHAnsi" w:cstheme="minorHAnsi"/>
                <w:sz w:val="18"/>
                <w:szCs w:val="18"/>
              </w:rPr>
              <w:t>measures taken to mitigate emergent project challenges from unintended results</w:t>
            </w:r>
          </w:p>
        </w:tc>
        <w:tc>
          <w:tcPr>
            <w:tcW w:w="3260" w:type="dxa"/>
            <w:shd w:val="clear" w:color="auto" w:fill="FFFFFF" w:themeFill="background1"/>
          </w:tcPr>
          <w:p w14:paraId="69F3C4B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47CD91E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3462BEA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4B38086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3FA7DA3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256B7F0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7F4B32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1893B2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8AE2CAB"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0CF46149"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1644D3BC" w14:textId="642014E0"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97B9F32"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6974171" w14:textId="77777777" w:rsidR="00047387" w:rsidRPr="002B0F7E"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33B664B1" w14:textId="77777777" w:rsidR="00047387"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7741AF91" w14:textId="77777777" w:rsidR="00047387" w:rsidRDefault="00047387" w:rsidP="006878DD">
            <w:pPr>
              <w:pStyle w:val="TableParagraph"/>
              <w:spacing w:after="60"/>
              <w:ind w:right="222"/>
              <w:rPr>
                <w:rFonts w:asciiTheme="minorHAnsi" w:hAnsiTheme="minorHAnsi" w:cstheme="minorHAnsi"/>
                <w:sz w:val="18"/>
                <w:szCs w:val="18"/>
              </w:rPr>
            </w:pPr>
          </w:p>
          <w:p w14:paraId="2DF942A4" w14:textId="77777777" w:rsidR="00047387" w:rsidRDefault="00047387" w:rsidP="006878DD">
            <w:pPr>
              <w:pStyle w:val="TableParagraph"/>
              <w:spacing w:after="60"/>
              <w:ind w:right="222"/>
              <w:rPr>
                <w:rFonts w:asciiTheme="minorHAnsi" w:hAnsiTheme="minorHAnsi" w:cstheme="minorHAnsi"/>
                <w:sz w:val="18"/>
                <w:szCs w:val="18"/>
              </w:rPr>
            </w:pPr>
          </w:p>
          <w:p w14:paraId="4E7E55E2" w14:textId="77777777" w:rsidR="00047387" w:rsidRDefault="00047387" w:rsidP="006878DD">
            <w:pPr>
              <w:pStyle w:val="TableParagraph"/>
              <w:spacing w:after="60"/>
              <w:ind w:right="222"/>
              <w:rPr>
                <w:rFonts w:asciiTheme="minorHAnsi" w:hAnsiTheme="minorHAnsi" w:cstheme="minorHAnsi"/>
                <w:sz w:val="18"/>
                <w:szCs w:val="18"/>
              </w:rPr>
            </w:pPr>
          </w:p>
          <w:p w14:paraId="5FB1A3CE" w14:textId="77777777" w:rsidR="00047387" w:rsidRPr="002B0F7E" w:rsidRDefault="00047387" w:rsidP="006878DD">
            <w:pPr>
              <w:pStyle w:val="TableParagraph"/>
              <w:spacing w:line="235" w:lineRule="auto"/>
              <w:ind w:right="51" w:hanging="227"/>
              <w:rPr>
                <w:rFonts w:asciiTheme="minorHAnsi" w:hAnsiTheme="minorHAnsi" w:cstheme="minorHAnsi"/>
                <w:sz w:val="18"/>
                <w:szCs w:val="18"/>
              </w:rPr>
            </w:pPr>
          </w:p>
        </w:tc>
      </w:tr>
      <w:tr w:rsidR="00E6403A" w:rsidRPr="002B0F7E" w14:paraId="15CDEA42" w14:textId="77777777" w:rsidTr="00BC0D59">
        <w:trPr>
          <w:cantSplit/>
          <w:trHeight w:val="1134"/>
          <w:jc w:val="center"/>
        </w:trPr>
        <w:tc>
          <w:tcPr>
            <w:tcW w:w="993" w:type="dxa"/>
            <w:shd w:val="clear" w:color="auto" w:fill="FFFFFF" w:themeFill="background1"/>
            <w:textDirection w:val="btLr"/>
            <w:vAlign w:val="center"/>
          </w:tcPr>
          <w:p w14:paraId="5CE0893E" w14:textId="6AFD129E" w:rsidR="00047387" w:rsidRPr="00917210" w:rsidRDefault="00344529"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Effectiveness</w:t>
            </w:r>
          </w:p>
        </w:tc>
        <w:tc>
          <w:tcPr>
            <w:tcW w:w="2136" w:type="dxa"/>
            <w:shd w:val="clear" w:color="auto" w:fill="FFFFFF" w:themeFill="background1"/>
          </w:tcPr>
          <w:p w14:paraId="2CFDEDB6"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24951EF5"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3.2.3 What, if any, were the factors that contributed towards results achievement?</w:t>
            </w:r>
          </w:p>
        </w:tc>
        <w:tc>
          <w:tcPr>
            <w:tcW w:w="2693" w:type="dxa"/>
            <w:shd w:val="clear" w:color="auto" w:fill="FFFFFF" w:themeFill="background1"/>
          </w:tcPr>
          <w:p w14:paraId="07D16D8E"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Identified factors that contributed towards results achievement</w:t>
            </w:r>
          </w:p>
          <w:p w14:paraId="08649E2E"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Key informant perceptions of factors that contributed towards results achievement</w:t>
            </w:r>
          </w:p>
          <w:p w14:paraId="17150A07" w14:textId="77777777" w:rsidR="00047387" w:rsidRPr="00917210" w:rsidRDefault="00047387" w:rsidP="006878DD">
            <w:pPr>
              <w:pStyle w:val="TableParagraph"/>
              <w:spacing w:before="32"/>
              <w:rPr>
                <w:rFonts w:asciiTheme="minorHAnsi" w:hAnsiTheme="minorHAnsi" w:cstheme="minorHAnsi"/>
                <w:sz w:val="18"/>
                <w:szCs w:val="18"/>
              </w:rPr>
            </w:pPr>
          </w:p>
          <w:p w14:paraId="1D2E74AE" w14:textId="77777777" w:rsidR="00047387" w:rsidRPr="00917210" w:rsidRDefault="00047387" w:rsidP="006878DD">
            <w:pPr>
              <w:pStyle w:val="TableParagraph"/>
              <w:spacing w:before="32"/>
              <w:rPr>
                <w:rFonts w:asciiTheme="minorHAnsi" w:hAnsiTheme="minorHAnsi" w:cstheme="minorHAnsi"/>
                <w:sz w:val="18"/>
                <w:szCs w:val="18"/>
              </w:rPr>
            </w:pPr>
          </w:p>
        </w:tc>
        <w:tc>
          <w:tcPr>
            <w:tcW w:w="3260" w:type="dxa"/>
            <w:shd w:val="clear" w:color="auto" w:fill="FFFFFF" w:themeFill="background1"/>
          </w:tcPr>
          <w:p w14:paraId="1A3EEB4A"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7AD5329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6002102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4A33D2B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4128533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430CFB1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640944D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52A3FC9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781E4E6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DB29092"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06611213"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54FF1EFE" w14:textId="1982233B"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5A54EA09"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06A34D77" w14:textId="77777777" w:rsidR="00047387" w:rsidRPr="002B0F7E"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41DF7AD0" w14:textId="77777777" w:rsidR="00047387"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35775A53" w14:textId="77777777" w:rsidR="00047387" w:rsidRDefault="00047387" w:rsidP="006878DD">
            <w:pPr>
              <w:pStyle w:val="TableParagraph"/>
              <w:spacing w:after="60"/>
              <w:ind w:right="222"/>
              <w:rPr>
                <w:rFonts w:asciiTheme="minorHAnsi" w:hAnsiTheme="minorHAnsi" w:cstheme="minorHAnsi"/>
                <w:sz w:val="18"/>
                <w:szCs w:val="18"/>
              </w:rPr>
            </w:pPr>
          </w:p>
          <w:p w14:paraId="3ED0F70C" w14:textId="77777777" w:rsidR="00047387" w:rsidRDefault="00047387" w:rsidP="006878DD">
            <w:pPr>
              <w:pStyle w:val="TableParagraph"/>
              <w:spacing w:after="60"/>
              <w:ind w:right="222"/>
              <w:rPr>
                <w:rFonts w:asciiTheme="minorHAnsi" w:hAnsiTheme="minorHAnsi" w:cstheme="minorHAnsi"/>
                <w:sz w:val="18"/>
                <w:szCs w:val="18"/>
              </w:rPr>
            </w:pPr>
          </w:p>
          <w:p w14:paraId="71A2597A" w14:textId="77777777" w:rsidR="00047387" w:rsidRDefault="00047387" w:rsidP="006878DD">
            <w:pPr>
              <w:pStyle w:val="TableParagraph"/>
              <w:spacing w:after="60"/>
              <w:ind w:right="222"/>
              <w:rPr>
                <w:rFonts w:asciiTheme="minorHAnsi" w:hAnsiTheme="minorHAnsi" w:cstheme="minorHAnsi"/>
                <w:sz w:val="18"/>
                <w:szCs w:val="18"/>
              </w:rPr>
            </w:pPr>
          </w:p>
          <w:p w14:paraId="7C4FA084" w14:textId="77777777" w:rsidR="00047387" w:rsidRPr="002B0F7E" w:rsidRDefault="00047387" w:rsidP="006878DD">
            <w:pPr>
              <w:pStyle w:val="TableParagraph"/>
              <w:spacing w:after="60"/>
              <w:ind w:left="133" w:right="222"/>
              <w:rPr>
                <w:rFonts w:asciiTheme="minorHAnsi" w:hAnsiTheme="minorHAnsi" w:cstheme="minorHAnsi"/>
                <w:sz w:val="18"/>
                <w:szCs w:val="18"/>
              </w:rPr>
            </w:pPr>
          </w:p>
        </w:tc>
      </w:tr>
      <w:tr w:rsidR="00E6403A" w:rsidRPr="002B0F7E" w14:paraId="7D02C1F5" w14:textId="77777777" w:rsidTr="00BC0D59">
        <w:trPr>
          <w:cantSplit/>
          <w:trHeight w:val="1134"/>
          <w:jc w:val="center"/>
        </w:trPr>
        <w:tc>
          <w:tcPr>
            <w:tcW w:w="993" w:type="dxa"/>
            <w:shd w:val="clear" w:color="auto" w:fill="FFFFFF" w:themeFill="background1"/>
            <w:textDirection w:val="btLr"/>
            <w:vAlign w:val="center"/>
          </w:tcPr>
          <w:p w14:paraId="17A094A9" w14:textId="4B3CF147" w:rsidR="00047387" w:rsidRPr="00917210" w:rsidRDefault="00344529" w:rsidP="00230B0E">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lastRenderedPageBreak/>
              <w:t>Effectiveness</w:t>
            </w:r>
          </w:p>
        </w:tc>
        <w:tc>
          <w:tcPr>
            <w:tcW w:w="2136" w:type="dxa"/>
            <w:shd w:val="clear" w:color="auto" w:fill="FFFFFF" w:themeFill="background1"/>
          </w:tcPr>
          <w:p w14:paraId="0673D118"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242933F4"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3.2.4 What, if any, were the factors that impeded results achievement?</w:t>
            </w:r>
          </w:p>
        </w:tc>
        <w:tc>
          <w:tcPr>
            <w:tcW w:w="2693" w:type="dxa"/>
            <w:shd w:val="clear" w:color="auto" w:fill="FFFFFF" w:themeFill="background1"/>
          </w:tcPr>
          <w:p w14:paraId="5BBACDE3" w14:textId="77777777" w:rsidR="00047387" w:rsidRPr="00917210" w:rsidRDefault="00047387" w:rsidP="003B672F">
            <w:pPr>
              <w:pStyle w:val="TableParagraph"/>
              <w:numPr>
                <w:ilvl w:val="0"/>
                <w:numId w:val="62"/>
              </w:numPr>
              <w:spacing w:before="32"/>
              <w:ind w:hanging="222"/>
              <w:rPr>
                <w:rFonts w:asciiTheme="minorHAnsi" w:hAnsiTheme="minorHAnsi" w:cstheme="minorHAnsi"/>
                <w:sz w:val="18"/>
                <w:szCs w:val="18"/>
              </w:rPr>
            </w:pPr>
            <w:r w:rsidRPr="00917210">
              <w:rPr>
                <w:rFonts w:asciiTheme="minorHAnsi" w:hAnsiTheme="minorHAnsi" w:cstheme="minorHAnsi"/>
                <w:sz w:val="18"/>
                <w:szCs w:val="18"/>
              </w:rPr>
              <w:t>Identified factors that impeded results achievement</w:t>
            </w:r>
          </w:p>
          <w:p w14:paraId="28796AC9" w14:textId="77777777" w:rsidR="00047387" w:rsidRPr="00917210" w:rsidRDefault="00047387" w:rsidP="003B672F">
            <w:pPr>
              <w:pStyle w:val="TableParagraph"/>
              <w:numPr>
                <w:ilvl w:val="0"/>
                <w:numId w:val="57"/>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factors that impeded results achievement</w:t>
            </w:r>
          </w:p>
        </w:tc>
        <w:tc>
          <w:tcPr>
            <w:tcW w:w="3260" w:type="dxa"/>
            <w:shd w:val="clear" w:color="auto" w:fill="FFFFFF" w:themeFill="background1"/>
          </w:tcPr>
          <w:p w14:paraId="55027B6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B443AB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638C54D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99FB35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EAF03E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3B35170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7EC108C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4E7BDFEA"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0149F17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0CC0694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4C945C01"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729A7E12" w14:textId="5BD9C0F2"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2BE369AF" w14:textId="77777777" w:rsidR="00047387" w:rsidRPr="00917210" w:rsidRDefault="00047387" w:rsidP="003B672F">
            <w:pPr>
              <w:pStyle w:val="ListParagraph"/>
              <w:widowControl w:val="0"/>
              <w:numPr>
                <w:ilvl w:val="1"/>
                <w:numId w:val="43"/>
              </w:numPr>
              <w:autoSpaceDE w:val="0"/>
              <w:autoSpaceDN w:val="0"/>
              <w:spacing w:after="120" w:line="240" w:lineRule="auto"/>
              <w:ind w:left="697"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E5A1CD7" w14:textId="77777777" w:rsidR="00047387" w:rsidRPr="002B0F7E"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72113BC5" w14:textId="77777777" w:rsidR="00047387" w:rsidRDefault="00047387" w:rsidP="003B672F">
            <w:pPr>
              <w:pStyle w:val="TableParagraph"/>
              <w:numPr>
                <w:ilvl w:val="0"/>
                <w:numId w:val="42"/>
              </w:numPr>
              <w:spacing w:after="60"/>
              <w:ind w:left="643"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A2EE257" w14:textId="77777777" w:rsidR="00047387" w:rsidRDefault="00047387" w:rsidP="006878DD">
            <w:pPr>
              <w:pStyle w:val="TableParagraph"/>
              <w:spacing w:after="60"/>
              <w:ind w:right="222"/>
              <w:rPr>
                <w:rFonts w:asciiTheme="minorHAnsi" w:hAnsiTheme="minorHAnsi" w:cstheme="minorHAnsi"/>
                <w:sz w:val="18"/>
                <w:szCs w:val="18"/>
              </w:rPr>
            </w:pPr>
          </w:p>
          <w:p w14:paraId="13ADDB21" w14:textId="77777777" w:rsidR="00047387" w:rsidRDefault="00047387" w:rsidP="006878DD">
            <w:pPr>
              <w:pStyle w:val="TableParagraph"/>
              <w:spacing w:after="60"/>
              <w:ind w:right="222"/>
              <w:rPr>
                <w:rFonts w:asciiTheme="minorHAnsi" w:hAnsiTheme="minorHAnsi" w:cstheme="minorHAnsi"/>
                <w:sz w:val="18"/>
                <w:szCs w:val="18"/>
              </w:rPr>
            </w:pPr>
          </w:p>
          <w:p w14:paraId="0FBC4B52" w14:textId="77777777" w:rsidR="00047387" w:rsidRDefault="00047387" w:rsidP="006878DD">
            <w:pPr>
              <w:pStyle w:val="TableParagraph"/>
              <w:spacing w:after="60"/>
              <w:ind w:right="222"/>
              <w:rPr>
                <w:rFonts w:asciiTheme="minorHAnsi" w:hAnsiTheme="minorHAnsi" w:cstheme="minorHAnsi"/>
                <w:sz w:val="18"/>
                <w:szCs w:val="18"/>
              </w:rPr>
            </w:pPr>
          </w:p>
          <w:p w14:paraId="45A24375"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p>
        </w:tc>
      </w:tr>
      <w:tr w:rsidR="00E6403A" w:rsidRPr="002B0F7E" w14:paraId="4E881252" w14:textId="77777777" w:rsidTr="00BC0D59">
        <w:trPr>
          <w:trHeight w:val="851"/>
          <w:jc w:val="center"/>
        </w:trPr>
        <w:tc>
          <w:tcPr>
            <w:tcW w:w="993" w:type="dxa"/>
            <w:shd w:val="clear" w:color="auto" w:fill="FFFFFF" w:themeFill="background1"/>
            <w:textDirection w:val="btLr"/>
            <w:vAlign w:val="center"/>
          </w:tcPr>
          <w:p w14:paraId="6DD7C7C4" w14:textId="0A4D09FC" w:rsidR="00047387" w:rsidRPr="00917210" w:rsidRDefault="00047387" w:rsidP="00230B0E">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Efficiency</w:t>
            </w:r>
          </w:p>
        </w:tc>
        <w:tc>
          <w:tcPr>
            <w:tcW w:w="2136" w:type="dxa"/>
            <w:shd w:val="clear" w:color="auto" w:fill="FFFFFF" w:themeFill="background1"/>
          </w:tcPr>
          <w:p w14:paraId="0A179C79"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4.1 To what extent was the project managed efficiently?</w:t>
            </w:r>
          </w:p>
        </w:tc>
        <w:tc>
          <w:tcPr>
            <w:tcW w:w="2268" w:type="dxa"/>
            <w:shd w:val="clear" w:color="auto" w:fill="FFFFFF" w:themeFill="background1"/>
          </w:tcPr>
          <w:p w14:paraId="46DA8195" w14:textId="77777777" w:rsidR="00047387" w:rsidRPr="00917210" w:rsidRDefault="00047387"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4.1.1 How, if at all, did the project provide value for money?</w:t>
            </w:r>
          </w:p>
        </w:tc>
        <w:tc>
          <w:tcPr>
            <w:tcW w:w="2693" w:type="dxa"/>
            <w:shd w:val="clear" w:color="auto" w:fill="FFFFFF" w:themeFill="background1"/>
          </w:tcPr>
          <w:p w14:paraId="47AA10BD" w14:textId="77777777" w:rsidR="00047387" w:rsidRPr="00917210" w:rsidRDefault="00047387" w:rsidP="003B672F">
            <w:pPr>
              <w:pStyle w:val="TableParagraph"/>
              <w:numPr>
                <w:ilvl w:val="0"/>
                <w:numId w:val="57"/>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6250F3CE" w14:textId="77777777" w:rsidR="00047387" w:rsidRPr="00917210" w:rsidRDefault="00047387" w:rsidP="003B672F">
            <w:pPr>
              <w:pStyle w:val="TableParagraph"/>
              <w:numPr>
                <w:ilvl w:val="1"/>
                <w:numId w:val="57"/>
              </w:numPr>
              <w:spacing w:before="35" w:line="235" w:lineRule="auto"/>
              <w:ind w:left="704" w:right="53" w:hanging="222"/>
              <w:rPr>
                <w:rFonts w:asciiTheme="minorHAnsi" w:hAnsiTheme="minorHAnsi" w:cstheme="minorHAnsi"/>
                <w:sz w:val="18"/>
                <w:szCs w:val="18"/>
              </w:rPr>
            </w:pPr>
            <w:r w:rsidRPr="00917210">
              <w:rPr>
                <w:rFonts w:asciiTheme="minorHAnsi" w:hAnsiTheme="minorHAnsi" w:cstheme="minorHAnsi"/>
                <w:sz w:val="18"/>
                <w:szCs w:val="18"/>
              </w:rPr>
              <w:t>least cost acquisition of project resources</w:t>
            </w:r>
          </w:p>
          <w:p w14:paraId="56A61B2C" w14:textId="77777777" w:rsidR="00047387" w:rsidRPr="00917210" w:rsidRDefault="00047387" w:rsidP="003B672F">
            <w:pPr>
              <w:pStyle w:val="TableParagraph"/>
              <w:numPr>
                <w:ilvl w:val="1"/>
                <w:numId w:val="57"/>
              </w:numPr>
              <w:spacing w:before="35" w:line="235" w:lineRule="auto"/>
              <w:ind w:left="704" w:right="53" w:hanging="222"/>
              <w:rPr>
                <w:rFonts w:asciiTheme="minorHAnsi" w:hAnsiTheme="minorHAnsi" w:cstheme="minorHAnsi"/>
                <w:sz w:val="18"/>
                <w:szCs w:val="18"/>
              </w:rPr>
            </w:pPr>
            <w:r w:rsidRPr="00917210">
              <w:rPr>
                <w:rFonts w:asciiTheme="minorHAnsi" w:hAnsiTheme="minorHAnsi" w:cstheme="minorHAnsi"/>
                <w:sz w:val="18"/>
                <w:szCs w:val="18"/>
              </w:rPr>
              <w:t>allocation of resources (financial; time; expertise; etc.) as planned for achieving expected results</w:t>
            </w:r>
          </w:p>
          <w:p w14:paraId="3D6D520F" w14:textId="77777777" w:rsidR="00047387" w:rsidRPr="00917210" w:rsidRDefault="00047387" w:rsidP="003B672F">
            <w:pPr>
              <w:pStyle w:val="TableParagraph"/>
              <w:numPr>
                <w:ilvl w:val="1"/>
                <w:numId w:val="57"/>
              </w:numPr>
              <w:spacing w:before="35" w:line="235" w:lineRule="auto"/>
              <w:ind w:left="704" w:right="53" w:hanging="222"/>
              <w:rPr>
                <w:rFonts w:asciiTheme="minorHAnsi" w:hAnsiTheme="minorHAnsi" w:cstheme="minorHAnsi"/>
                <w:sz w:val="18"/>
                <w:szCs w:val="18"/>
              </w:rPr>
            </w:pPr>
            <w:r w:rsidRPr="00917210">
              <w:rPr>
                <w:rFonts w:asciiTheme="minorHAnsi" w:hAnsiTheme="minorHAnsi" w:cstheme="minorHAnsi"/>
                <w:sz w:val="18"/>
                <w:szCs w:val="18"/>
              </w:rPr>
              <w:t>high project value relative to project implementation cost</w:t>
            </w:r>
          </w:p>
          <w:p w14:paraId="25F1D295" w14:textId="77777777" w:rsidR="00047387" w:rsidRPr="00917210" w:rsidRDefault="00047387" w:rsidP="003B672F">
            <w:pPr>
              <w:pStyle w:val="TableParagraph"/>
              <w:numPr>
                <w:ilvl w:val="0"/>
                <w:numId w:val="57"/>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Comparative cost of alternatives/ similar projects</w:t>
            </w:r>
            <w:r w:rsidRPr="00917210">
              <w:rPr>
                <w:rFonts w:asciiTheme="minorHAnsi" w:hAnsiTheme="minorHAnsi" w:cstheme="minorHAnsi"/>
                <w:b/>
                <w:bCs/>
                <w:sz w:val="18"/>
                <w:szCs w:val="18"/>
              </w:rPr>
              <w:t>*</w:t>
            </w:r>
          </w:p>
          <w:p w14:paraId="49285C65" w14:textId="77777777" w:rsidR="00047387" w:rsidRPr="00917210" w:rsidRDefault="00047387" w:rsidP="003B672F">
            <w:pPr>
              <w:pStyle w:val="TableParagraph"/>
              <w:numPr>
                <w:ilvl w:val="0"/>
                <w:numId w:val="57"/>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project value for money</w:t>
            </w:r>
          </w:p>
          <w:p w14:paraId="7BFC9ED3" w14:textId="77777777" w:rsidR="00047387" w:rsidRPr="00917210" w:rsidRDefault="00047387" w:rsidP="006878DD">
            <w:pPr>
              <w:pStyle w:val="TableParagraph"/>
              <w:spacing w:before="35" w:line="235" w:lineRule="auto"/>
              <w:ind w:right="53"/>
              <w:rPr>
                <w:rFonts w:asciiTheme="minorHAnsi" w:hAnsiTheme="minorHAnsi" w:cstheme="minorHAnsi"/>
                <w:sz w:val="18"/>
                <w:szCs w:val="18"/>
              </w:rPr>
            </w:pPr>
          </w:p>
          <w:p w14:paraId="256608D4" w14:textId="77777777" w:rsidR="00047387" w:rsidRPr="00917210" w:rsidRDefault="00047387" w:rsidP="006878DD">
            <w:pPr>
              <w:pStyle w:val="TableParagraph"/>
              <w:spacing w:before="35" w:line="235" w:lineRule="auto"/>
              <w:ind w:right="53"/>
              <w:rPr>
                <w:rFonts w:asciiTheme="minorHAnsi" w:hAnsiTheme="minorHAnsi" w:cstheme="minorHAnsi"/>
                <w:b/>
                <w:bCs/>
                <w:sz w:val="18"/>
                <w:szCs w:val="18"/>
              </w:rPr>
            </w:pPr>
            <w:r w:rsidRPr="00917210">
              <w:rPr>
                <w:rFonts w:asciiTheme="minorHAnsi" w:hAnsiTheme="minorHAnsi" w:cstheme="minorHAnsi"/>
                <w:b/>
                <w:bCs/>
                <w:sz w:val="18"/>
                <w:szCs w:val="18"/>
              </w:rPr>
              <w:t>* subject to data availability on alternatives/ similar projects</w:t>
            </w:r>
          </w:p>
          <w:p w14:paraId="566D7060" w14:textId="77777777" w:rsidR="00047387" w:rsidRPr="00917210" w:rsidRDefault="00047387" w:rsidP="006878DD">
            <w:pPr>
              <w:pStyle w:val="TableParagraph"/>
              <w:spacing w:before="35" w:line="235" w:lineRule="auto"/>
              <w:ind w:right="53" w:hanging="222"/>
              <w:rPr>
                <w:rFonts w:asciiTheme="minorHAnsi" w:hAnsiTheme="minorHAnsi" w:cstheme="minorHAnsi"/>
                <w:sz w:val="18"/>
                <w:szCs w:val="18"/>
              </w:rPr>
            </w:pPr>
          </w:p>
          <w:p w14:paraId="3F7CF807" w14:textId="77777777" w:rsidR="00047387" w:rsidRPr="00917210" w:rsidRDefault="00047387" w:rsidP="006878DD">
            <w:pPr>
              <w:pStyle w:val="TableParagraph"/>
              <w:spacing w:before="35" w:line="235" w:lineRule="auto"/>
              <w:ind w:right="53" w:hanging="222"/>
              <w:rPr>
                <w:rFonts w:asciiTheme="minorHAnsi" w:hAnsiTheme="minorHAnsi" w:cstheme="minorHAnsi"/>
                <w:sz w:val="18"/>
                <w:szCs w:val="18"/>
              </w:rPr>
            </w:pPr>
          </w:p>
          <w:p w14:paraId="384406A0" w14:textId="77777777" w:rsidR="00047387" w:rsidRPr="00917210" w:rsidRDefault="00047387" w:rsidP="006878DD">
            <w:pPr>
              <w:pStyle w:val="Default"/>
              <w:ind w:hanging="222"/>
              <w:rPr>
                <w:rFonts w:asciiTheme="minorHAnsi" w:hAnsiTheme="minorHAnsi" w:cstheme="minorHAnsi"/>
                <w:sz w:val="18"/>
                <w:szCs w:val="18"/>
              </w:rPr>
            </w:pPr>
          </w:p>
        </w:tc>
        <w:tc>
          <w:tcPr>
            <w:tcW w:w="3260" w:type="dxa"/>
            <w:shd w:val="clear" w:color="auto" w:fill="FFFFFF" w:themeFill="background1"/>
          </w:tcPr>
          <w:p w14:paraId="24BEF90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4D6521C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3BCE39D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718CF54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47AB2D7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CFB10C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16C096F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56D2DD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788396D2"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B3DE5B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40A22E7D"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28DE543E" w14:textId="68E7112F"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74529866"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Co-operating entities</w:t>
            </w:r>
          </w:p>
        </w:tc>
        <w:tc>
          <w:tcPr>
            <w:tcW w:w="1843" w:type="dxa"/>
            <w:shd w:val="clear" w:color="auto" w:fill="FFFFFF" w:themeFill="background1"/>
          </w:tcPr>
          <w:p w14:paraId="1FAD8501"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r>
              <w:rPr>
                <w:rFonts w:asciiTheme="minorHAnsi" w:hAnsiTheme="minorHAnsi" w:cstheme="minorHAnsi"/>
                <w:sz w:val="18"/>
                <w:szCs w:val="18"/>
              </w:rPr>
              <w:t>, including FfD study report</w:t>
            </w:r>
          </w:p>
          <w:p w14:paraId="5ED44C41"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17E521A" w14:textId="77777777" w:rsidR="00047387" w:rsidRDefault="00047387" w:rsidP="006878DD">
            <w:pPr>
              <w:pStyle w:val="TableParagraph"/>
              <w:spacing w:after="60"/>
              <w:ind w:right="222"/>
              <w:rPr>
                <w:rFonts w:asciiTheme="minorHAnsi" w:hAnsiTheme="minorHAnsi" w:cstheme="minorHAnsi"/>
                <w:sz w:val="18"/>
                <w:szCs w:val="18"/>
              </w:rPr>
            </w:pPr>
          </w:p>
          <w:p w14:paraId="362065EB" w14:textId="77777777" w:rsidR="00047387" w:rsidRDefault="00047387" w:rsidP="006878DD">
            <w:pPr>
              <w:pStyle w:val="TableParagraph"/>
              <w:spacing w:after="60"/>
              <w:ind w:right="222"/>
              <w:rPr>
                <w:rFonts w:asciiTheme="minorHAnsi" w:hAnsiTheme="minorHAnsi" w:cstheme="minorHAnsi"/>
                <w:sz w:val="18"/>
                <w:szCs w:val="18"/>
              </w:rPr>
            </w:pPr>
          </w:p>
          <w:p w14:paraId="13F2C43C" w14:textId="77777777" w:rsidR="00047387" w:rsidRDefault="00047387" w:rsidP="006878DD">
            <w:pPr>
              <w:pStyle w:val="TableParagraph"/>
              <w:spacing w:after="60"/>
              <w:ind w:right="222"/>
              <w:rPr>
                <w:rFonts w:asciiTheme="minorHAnsi" w:hAnsiTheme="minorHAnsi" w:cstheme="minorHAnsi"/>
                <w:sz w:val="18"/>
                <w:szCs w:val="18"/>
              </w:rPr>
            </w:pPr>
          </w:p>
          <w:p w14:paraId="635EFFCC" w14:textId="77777777" w:rsidR="00047387" w:rsidRPr="002B0F7E" w:rsidRDefault="00047387" w:rsidP="006878DD">
            <w:pPr>
              <w:pStyle w:val="TableParagraph"/>
              <w:spacing w:line="235" w:lineRule="auto"/>
              <w:ind w:right="222" w:hanging="227"/>
              <w:rPr>
                <w:rFonts w:asciiTheme="minorHAnsi" w:hAnsiTheme="minorHAnsi" w:cstheme="minorHAnsi"/>
                <w:sz w:val="18"/>
                <w:szCs w:val="18"/>
              </w:rPr>
            </w:pPr>
          </w:p>
        </w:tc>
      </w:tr>
      <w:tr w:rsidR="00E6403A" w:rsidRPr="002B0F7E" w14:paraId="09EA3D3C" w14:textId="77777777" w:rsidTr="00BC0D59">
        <w:trPr>
          <w:trHeight w:val="826"/>
          <w:jc w:val="center"/>
        </w:trPr>
        <w:tc>
          <w:tcPr>
            <w:tcW w:w="993" w:type="dxa"/>
            <w:shd w:val="clear" w:color="auto" w:fill="FFFFFF" w:themeFill="background1"/>
            <w:textDirection w:val="btLr"/>
            <w:vAlign w:val="center"/>
          </w:tcPr>
          <w:p w14:paraId="5533AC21" w14:textId="0A5BBCFE" w:rsidR="00047387" w:rsidRPr="00917210" w:rsidRDefault="00291136" w:rsidP="00230B0E">
            <w:pPr>
              <w:ind w:left="113" w:right="113"/>
              <w:jc w:val="center"/>
              <w:rPr>
                <w:rFonts w:cstheme="minorHAnsi"/>
                <w:sz w:val="18"/>
                <w:szCs w:val="18"/>
              </w:rPr>
            </w:pPr>
            <w:r w:rsidRPr="00917210">
              <w:rPr>
                <w:rFonts w:cstheme="minorHAnsi"/>
                <w:b/>
                <w:bCs/>
                <w:spacing w:val="-2"/>
                <w:sz w:val="18"/>
                <w:szCs w:val="18"/>
              </w:rPr>
              <w:t>Efficiency</w:t>
            </w:r>
          </w:p>
        </w:tc>
        <w:tc>
          <w:tcPr>
            <w:tcW w:w="2136" w:type="dxa"/>
            <w:shd w:val="clear" w:color="auto" w:fill="FFFFFF" w:themeFill="background1"/>
          </w:tcPr>
          <w:p w14:paraId="3A5F4DBF"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75367778"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4.1.2 What has been the value added of the project?</w:t>
            </w:r>
          </w:p>
        </w:tc>
        <w:tc>
          <w:tcPr>
            <w:tcW w:w="2693" w:type="dxa"/>
            <w:shd w:val="clear" w:color="auto" w:fill="FFFFFF" w:themeFill="background1"/>
          </w:tcPr>
          <w:p w14:paraId="459223B0" w14:textId="77777777" w:rsidR="00047387" w:rsidRPr="00917210" w:rsidRDefault="00047387" w:rsidP="003B672F">
            <w:pPr>
              <w:pStyle w:val="TableParagraph"/>
              <w:numPr>
                <w:ilvl w:val="0"/>
                <w:numId w:val="45"/>
              </w:numPr>
              <w:spacing w:before="120" w:after="0" w:line="235" w:lineRule="auto"/>
              <w:ind w:left="516" w:right="53" w:hanging="222"/>
              <w:rPr>
                <w:rFonts w:asciiTheme="minorHAnsi" w:hAnsiTheme="minorHAnsi" w:cstheme="minorHAnsi"/>
                <w:sz w:val="18"/>
                <w:szCs w:val="18"/>
              </w:rPr>
            </w:pPr>
            <w:r w:rsidRPr="00917210">
              <w:rPr>
                <w:rFonts w:asciiTheme="minorHAnsi" w:hAnsiTheme="minorHAnsi" w:cstheme="minorHAnsi"/>
                <w:sz w:val="18"/>
                <w:szCs w:val="18"/>
              </w:rPr>
              <w:t xml:space="preserve">Additional value of project beyond the expected benefits </w:t>
            </w:r>
          </w:p>
          <w:p w14:paraId="127002C3" w14:textId="77777777" w:rsidR="00047387" w:rsidRPr="00917210" w:rsidRDefault="00047387" w:rsidP="003B672F">
            <w:pPr>
              <w:pStyle w:val="ListParagraph"/>
              <w:widowControl w:val="0"/>
              <w:numPr>
                <w:ilvl w:val="0"/>
                <w:numId w:val="45"/>
              </w:numPr>
              <w:autoSpaceDE w:val="0"/>
              <w:autoSpaceDN w:val="0"/>
              <w:spacing w:before="120" w:line="240" w:lineRule="auto"/>
              <w:ind w:left="516" w:hanging="222"/>
              <w:contextualSpacing w:val="0"/>
              <w:jc w:val="both"/>
              <w:rPr>
                <w:rFonts w:cstheme="minorHAnsi"/>
                <w:sz w:val="18"/>
                <w:szCs w:val="18"/>
              </w:rPr>
            </w:pPr>
            <w:r w:rsidRPr="00917210">
              <w:rPr>
                <w:rFonts w:cstheme="minorHAnsi"/>
                <w:sz w:val="18"/>
                <w:szCs w:val="18"/>
              </w:rPr>
              <w:t xml:space="preserve">Key informant perceptions of additional project benefit beyond the anticipated benefits </w:t>
            </w:r>
          </w:p>
          <w:p w14:paraId="6E26B4ED" w14:textId="77777777" w:rsidR="00047387" w:rsidRPr="00917210" w:rsidRDefault="00047387" w:rsidP="006878DD">
            <w:pPr>
              <w:spacing w:after="60"/>
              <w:ind w:hanging="222"/>
              <w:rPr>
                <w:rFonts w:cstheme="minorHAnsi"/>
                <w:sz w:val="18"/>
                <w:szCs w:val="18"/>
              </w:rPr>
            </w:pPr>
          </w:p>
        </w:tc>
        <w:tc>
          <w:tcPr>
            <w:tcW w:w="3260" w:type="dxa"/>
            <w:shd w:val="clear" w:color="auto" w:fill="FFFFFF" w:themeFill="background1"/>
          </w:tcPr>
          <w:p w14:paraId="5DF7C9E1"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0608983B"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12C4BA98"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203724A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7E86B0F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103F4BA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6745CC0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BB15FF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5EBB79B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593A675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309B04A4"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460DDC79" w14:textId="0F42AA3C"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1CCFE01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6DD43C19"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02128D50"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CC3DDDA" w14:textId="77777777" w:rsidR="00047387" w:rsidRDefault="00047387" w:rsidP="006878DD">
            <w:pPr>
              <w:pStyle w:val="TableParagraph"/>
              <w:spacing w:after="60"/>
              <w:ind w:right="222"/>
              <w:rPr>
                <w:rFonts w:asciiTheme="minorHAnsi" w:hAnsiTheme="minorHAnsi" w:cstheme="minorHAnsi"/>
                <w:sz w:val="18"/>
                <w:szCs w:val="18"/>
              </w:rPr>
            </w:pPr>
          </w:p>
          <w:p w14:paraId="2122B8FC" w14:textId="77777777" w:rsidR="00047387" w:rsidRDefault="00047387" w:rsidP="006878DD">
            <w:pPr>
              <w:pStyle w:val="TableParagraph"/>
              <w:spacing w:after="60"/>
              <w:ind w:right="222"/>
              <w:rPr>
                <w:rFonts w:asciiTheme="minorHAnsi" w:hAnsiTheme="minorHAnsi" w:cstheme="minorHAnsi"/>
                <w:sz w:val="18"/>
                <w:szCs w:val="18"/>
              </w:rPr>
            </w:pPr>
          </w:p>
          <w:p w14:paraId="4C1F5C49" w14:textId="77777777" w:rsidR="00047387" w:rsidRDefault="00047387" w:rsidP="006878DD">
            <w:pPr>
              <w:pStyle w:val="TableParagraph"/>
              <w:spacing w:after="60"/>
              <w:ind w:right="222"/>
              <w:rPr>
                <w:rFonts w:asciiTheme="minorHAnsi" w:hAnsiTheme="minorHAnsi" w:cstheme="minorHAnsi"/>
                <w:sz w:val="18"/>
                <w:szCs w:val="18"/>
              </w:rPr>
            </w:pPr>
          </w:p>
          <w:p w14:paraId="6A2433F5" w14:textId="77777777" w:rsidR="00047387" w:rsidRPr="002B0F7E" w:rsidRDefault="00047387" w:rsidP="006878DD">
            <w:pPr>
              <w:pStyle w:val="Default"/>
              <w:ind w:hanging="227"/>
              <w:rPr>
                <w:rFonts w:asciiTheme="minorHAnsi" w:hAnsiTheme="minorHAnsi" w:cstheme="minorHAnsi"/>
                <w:sz w:val="18"/>
                <w:szCs w:val="18"/>
              </w:rPr>
            </w:pPr>
          </w:p>
        </w:tc>
      </w:tr>
      <w:tr w:rsidR="00E6403A" w:rsidRPr="002B0F7E" w14:paraId="7C8A0903" w14:textId="77777777" w:rsidTr="00BC0D59">
        <w:trPr>
          <w:cantSplit/>
          <w:trHeight w:val="1134"/>
          <w:jc w:val="center"/>
        </w:trPr>
        <w:tc>
          <w:tcPr>
            <w:tcW w:w="993" w:type="dxa"/>
            <w:shd w:val="clear" w:color="auto" w:fill="FFFFFF" w:themeFill="background1"/>
            <w:textDirection w:val="btLr"/>
            <w:vAlign w:val="center"/>
          </w:tcPr>
          <w:p w14:paraId="7A3BEA9B" w14:textId="5B7103E6" w:rsidR="00047387" w:rsidRPr="00917210" w:rsidRDefault="00291136" w:rsidP="00230B0E">
            <w:pPr>
              <w:ind w:left="113" w:right="113"/>
              <w:jc w:val="center"/>
              <w:rPr>
                <w:rFonts w:cstheme="minorHAnsi"/>
                <w:sz w:val="18"/>
                <w:szCs w:val="18"/>
              </w:rPr>
            </w:pPr>
            <w:r w:rsidRPr="00917210">
              <w:rPr>
                <w:rFonts w:cstheme="minorHAnsi"/>
                <w:b/>
                <w:bCs/>
                <w:spacing w:val="-2"/>
                <w:sz w:val="18"/>
                <w:szCs w:val="18"/>
              </w:rPr>
              <w:lastRenderedPageBreak/>
              <w:t>Efficiency</w:t>
            </w:r>
          </w:p>
        </w:tc>
        <w:tc>
          <w:tcPr>
            <w:tcW w:w="2136" w:type="dxa"/>
            <w:shd w:val="clear" w:color="auto" w:fill="FFFFFF" w:themeFill="background1"/>
          </w:tcPr>
          <w:p w14:paraId="67A424E8"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4.2 To what extent was the project able to adapt to changing external conditions to achieve expected results?</w:t>
            </w:r>
          </w:p>
        </w:tc>
        <w:tc>
          <w:tcPr>
            <w:tcW w:w="2268" w:type="dxa"/>
            <w:shd w:val="clear" w:color="auto" w:fill="FFFFFF" w:themeFill="background1"/>
          </w:tcPr>
          <w:p w14:paraId="1F28C800"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4.2.1 What evidence is there of project success in addressing risks/ emergent challenges?</w:t>
            </w:r>
          </w:p>
        </w:tc>
        <w:tc>
          <w:tcPr>
            <w:tcW w:w="2693" w:type="dxa"/>
            <w:shd w:val="clear" w:color="auto" w:fill="FFFFFF" w:themeFill="background1"/>
          </w:tcPr>
          <w:p w14:paraId="7A8D7B2B" w14:textId="77777777" w:rsidR="00047387" w:rsidRPr="00917210" w:rsidRDefault="00047387" w:rsidP="003B672F">
            <w:pPr>
              <w:pStyle w:val="TableParagraph"/>
              <w:numPr>
                <w:ilvl w:val="0"/>
                <w:numId w:val="58"/>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 project resilience in response to emergent challenges, e.g.</w:t>
            </w:r>
          </w:p>
          <w:p w14:paraId="20BB124A" w14:textId="77777777" w:rsidR="00047387" w:rsidRPr="00917210" w:rsidRDefault="00047387" w:rsidP="003B672F">
            <w:pPr>
              <w:pStyle w:val="TableParagraph"/>
              <w:numPr>
                <w:ilvl w:val="1"/>
                <w:numId w:val="58"/>
              </w:numPr>
              <w:spacing w:before="35" w:line="235" w:lineRule="auto"/>
              <w:ind w:left="694" w:right="53" w:hanging="283"/>
              <w:rPr>
                <w:rFonts w:asciiTheme="minorHAnsi" w:hAnsiTheme="minorHAnsi" w:cstheme="minorHAnsi"/>
                <w:sz w:val="18"/>
                <w:szCs w:val="18"/>
              </w:rPr>
            </w:pPr>
            <w:r w:rsidRPr="00917210">
              <w:rPr>
                <w:rFonts w:asciiTheme="minorHAnsi" w:hAnsiTheme="minorHAnsi" w:cstheme="minorHAnsi"/>
                <w:sz w:val="18"/>
                <w:szCs w:val="18"/>
              </w:rPr>
              <w:t>timely corrective action</w:t>
            </w:r>
          </w:p>
          <w:p w14:paraId="43B9697D" w14:textId="77777777" w:rsidR="00047387" w:rsidRPr="00917210" w:rsidRDefault="00047387" w:rsidP="003B672F">
            <w:pPr>
              <w:pStyle w:val="TableParagraph"/>
              <w:numPr>
                <w:ilvl w:val="1"/>
                <w:numId w:val="58"/>
              </w:numPr>
              <w:spacing w:before="35" w:line="235" w:lineRule="auto"/>
              <w:ind w:left="694" w:right="53" w:hanging="283"/>
              <w:rPr>
                <w:rFonts w:asciiTheme="minorHAnsi" w:hAnsiTheme="minorHAnsi" w:cstheme="minorHAnsi"/>
                <w:sz w:val="18"/>
                <w:szCs w:val="18"/>
              </w:rPr>
            </w:pPr>
            <w:r w:rsidRPr="00917210">
              <w:rPr>
                <w:rFonts w:asciiTheme="minorHAnsi" w:hAnsiTheme="minorHAnsi" w:cstheme="minorHAnsi"/>
                <w:sz w:val="18"/>
                <w:szCs w:val="18"/>
              </w:rPr>
              <w:t>identification and provision of additional support to overcome implementation challenges</w:t>
            </w:r>
          </w:p>
          <w:p w14:paraId="3B10BAA0" w14:textId="77777777" w:rsidR="00047387" w:rsidRPr="00917210" w:rsidRDefault="00047387" w:rsidP="003B672F">
            <w:pPr>
              <w:pStyle w:val="TableParagraph"/>
              <w:numPr>
                <w:ilvl w:val="0"/>
                <w:numId w:val="58"/>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project resilience in response to emergent challenges</w:t>
            </w:r>
          </w:p>
        </w:tc>
        <w:tc>
          <w:tcPr>
            <w:tcW w:w="3260" w:type="dxa"/>
            <w:shd w:val="clear" w:color="auto" w:fill="FFFFFF" w:themeFill="background1"/>
          </w:tcPr>
          <w:p w14:paraId="0BD45A4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6C981A9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22406FD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1D1051D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62190A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20B7632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3663E57A"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31673B09"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6050873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0C5FEC46"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56F8021C"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0375CD5C" w14:textId="34D5A20F"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5953E616"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02AEC585" w14:textId="77777777" w:rsidR="00047387" w:rsidRPr="002B0F7E"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05DC2589" w14:textId="77777777" w:rsidR="00047387" w:rsidRDefault="00047387"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69989E4F" w14:textId="77777777" w:rsidR="00047387" w:rsidRDefault="00047387" w:rsidP="006878DD">
            <w:pPr>
              <w:pStyle w:val="TableParagraph"/>
              <w:spacing w:after="60"/>
              <w:ind w:right="222"/>
              <w:rPr>
                <w:rFonts w:asciiTheme="minorHAnsi" w:hAnsiTheme="minorHAnsi" w:cstheme="minorHAnsi"/>
                <w:sz w:val="18"/>
                <w:szCs w:val="18"/>
              </w:rPr>
            </w:pPr>
          </w:p>
          <w:p w14:paraId="1EFE2D9C" w14:textId="77777777" w:rsidR="00047387" w:rsidRDefault="00047387" w:rsidP="006878DD">
            <w:pPr>
              <w:pStyle w:val="TableParagraph"/>
              <w:spacing w:after="60"/>
              <w:ind w:right="222"/>
              <w:rPr>
                <w:rFonts w:asciiTheme="minorHAnsi" w:hAnsiTheme="minorHAnsi" w:cstheme="minorHAnsi"/>
                <w:sz w:val="18"/>
                <w:szCs w:val="18"/>
              </w:rPr>
            </w:pPr>
          </w:p>
          <w:p w14:paraId="182879F7" w14:textId="77777777" w:rsidR="00047387" w:rsidRDefault="00047387" w:rsidP="006878DD">
            <w:pPr>
              <w:pStyle w:val="TableParagraph"/>
              <w:spacing w:after="60"/>
              <w:ind w:right="222"/>
              <w:rPr>
                <w:rFonts w:asciiTheme="minorHAnsi" w:hAnsiTheme="minorHAnsi" w:cstheme="minorHAnsi"/>
                <w:sz w:val="18"/>
                <w:szCs w:val="18"/>
              </w:rPr>
            </w:pPr>
          </w:p>
          <w:p w14:paraId="63DBA65C" w14:textId="77777777" w:rsidR="00047387" w:rsidRPr="002B0F7E" w:rsidRDefault="00047387" w:rsidP="006878DD">
            <w:pPr>
              <w:pStyle w:val="TableParagraph"/>
              <w:spacing w:before="35" w:line="235" w:lineRule="auto"/>
              <w:ind w:right="222" w:hanging="227"/>
              <w:rPr>
                <w:rFonts w:asciiTheme="minorHAnsi" w:hAnsiTheme="minorHAnsi" w:cstheme="minorHAnsi"/>
                <w:sz w:val="18"/>
                <w:szCs w:val="18"/>
              </w:rPr>
            </w:pPr>
          </w:p>
        </w:tc>
      </w:tr>
      <w:tr w:rsidR="00E6403A" w:rsidRPr="002B0F7E" w14:paraId="2F7FC6D4" w14:textId="77777777" w:rsidTr="00BC0D59">
        <w:trPr>
          <w:cantSplit/>
          <w:trHeight w:val="1134"/>
          <w:jc w:val="center"/>
        </w:trPr>
        <w:tc>
          <w:tcPr>
            <w:tcW w:w="993" w:type="dxa"/>
            <w:shd w:val="clear" w:color="auto" w:fill="FFFFFF" w:themeFill="background1"/>
            <w:textDirection w:val="btLr"/>
            <w:vAlign w:val="center"/>
          </w:tcPr>
          <w:p w14:paraId="5688A004" w14:textId="09484384" w:rsidR="00047387" w:rsidRPr="00917210" w:rsidRDefault="00291136" w:rsidP="00230B0E">
            <w:pPr>
              <w:ind w:left="113" w:right="113"/>
              <w:jc w:val="center"/>
              <w:rPr>
                <w:rFonts w:cstheme="minorHAnsi"/>
                <w:sz w:val="18"/>
                <w:szCs w:val="18"/>
              </w:rPr>
            </w:pPr>
            <w:r w:rsidRPr="00917210">
              <w:rPr>
                <w:rFonts w:cstheme="minorHAnsi"/>
                <w:b/>
                <w:bCs/>
                <w:spacing w:val="-2"/>
                <w:sz w:val="18"/>
                <w:szCs w:val="18"/>
              </w:rPr>
              <w:lastRenderedPageBreak/>
              <w:t>Efficiency</w:t>
            </w:r>
          </w:p>
        </w:tc>
        <w:tc>
          <w:tcPr>
            <w:tcW w:w="2136" w:type="dxa"/>
            <w:shd w:val="clear" w:color="auto" w:fill="FFFFFF" w:themeFill="background1"/>
          </w:tcPr>
          <w:p w14:paraId="526F90E5"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4.3 How did the project design contribute towards the achievement of expected results?</w:t>
            </w:r>
          </w:p>
        </w:tc>
        <w:tc>
          <w:tcPr>
            <w:tcW w:w="2268" w:type="dxa"/>
            <w:shd w:val="clear" w:color="auto" w:fill="FFFFFF" w:themeFill="background1"/>
          </w:tcPr>
          <w:p w14:paraId="1D167A0F"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4.3.1 What evidence is there to show that project governance and management contributed towards expected implementation processes/ activities and results?</w:t>
            </w:r>
          </w:p>
        </w:tc>
        <w:tc>
          <w:tcPr>
            <w:tcW w:w="2693" w:type="dxa"/>
            <w:shd w:val="clear" w:color="auto" w:fill="FFFFFF" w:themeFill="background1"/>
          </w:tcPr>
          <w:p w14:paraId="02555543"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Contribution of project governance/ management to:</w:t>
            </w:r>
          </w:p>
          <w:p w14:paraId="1EB4AD94" w14:textId="77777777" w:rsidR="00047387" w:rsidRPr="00917210" w:rsidRDefault="00047387" w:rsidP="003B672F">
            <w:pPr>
              <w:pStyle w:val="TableParagraph"/>
              <w:numPr>
                <w:ilvl w:val="1"/>
                <w:numId w:val="46"/>
              </w:numPr>
              <w:spacing w:before="35" w:line="235" w:lineRule="auto"/>
              <w:ind w:left="556" w:right="53" w:hanging="222"/>
              <w:rPr>
                <w:rFonts w:asciiTheme="minorHAnsi" w:hAnsiTheme="minorHAnsi" w:cstheme="minorHAnsi"/>
                <w:sz w:val="18"/>
                <w:szCs w:val="18"/>
              </w:rPr>
            </w:pPr>
            <w:r w:rsidRPr="00917210">
              <w:rPr>
                <w:rFonts w:asciiTheme="minorHAnsi" w:hAnsiTheme="minorHAnsi" w:cstheme="minorHAnsi"/>
                <w:sz w:val="18"/>
                <w:szCs w:val="18"/>
              </w:rPr>
              <w:t xml:space="preserve">expected implementation/ activities </w:t>
            </w:r>
          </w:p>
          <w:p w14:paraId="1473D020" w14:textId="77777777" w:rsidR="00047387" w:rsidRPr="00917210" w:rsidRDefault="00047387" w:rsidP="003B672F">
            <w:pPr>
              <w:pStyle w:val="TableParagraph"/>
              <w:numPr>
                <w:ilvl w:val="1"/>
                <w:numId w:val="46"/>
              </w:numPr>
              <w:spacing w:before="35" w:line="235" w:lineRule="auto"/>
              <w:ind w:left="556" w:right="53" w:hanging="222"/>
              <w:rPr>
                <w:rFonts w:asciiTheme="minorHAnsi" w:hAnsiTheme="minorHAnsi" w:cstheme="minorHAnsi"/>
                <w:sz w:val="18"/>
                <w:szCs w:val="18"/>
              </w:rPr>
            </w:pPr>
            <w:r w:rsidRPr="00917210">
              <w:rPr>
                <w:rFonts w:asciiTheme="minorHAnsi" w:hAnsiTheme="minorHAnsi" w:cstheme="minorHAnsi"/>
                <w:sz w:val="18"/>
                <w:szCs w:val="18"/>
              </w:rPr>
              <w:t>expected results</w:t>
            </w:r>
          </w:p>
          <w:p w14:paraId="3A041F70"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contribution of project governance/ management to expected implementation/ activities/ results</w:t>
            </w:r>
          </w:p>
        </w:tc>
        <w:tc>
          <w:tcPr>
            <w:tcW w:w="3260" w:type="dxa"/>
            <w:shd w:val="clear" w:color="auto" w:fill="FFFFFF" w:themeFill="background1"/>
          </w:tcPr>
          <w:p w14:paraId="4B36CDEC"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1086C675"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1D782350"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24EF7F5E"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2F601A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2AB437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7F47B1C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C7BE3B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37DB5B04"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753F6E35"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1D73EB94"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03215E37" w14:textId="3BD1BB66"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32282877"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9A537D2" w14:textId="77777777" w:rsidR="00047387" w:rsidRPr="002B0F7E" w:rsidRDefault="00047387" w:rsidP="003B672F">
            <w:pPr>
              <w:pStyle w:val="TableParagraph"/>
              <w:numPr>
                <w:ilvl w:val="0"/>
                <w:numId w:val="42"/>
              </w:numPr>
              <w:spacing w:after="60"/>
              <w:ind w:right="222" w:hanging="231"/>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625B54EB" w14:textId="77777777" w:rsidR="00047387" w:rsidRDefault="00047387" w:rsidP="003B672F">
            <w:pPr>
              <w:pStyle w:val="TableParagraph"/>
              <w:numPr>
                <w:ilvl w:val="0"/>
                <w:numId w:val="42"/>
              </w:numPr>
              <w:spacing w:after="60"/>
              <w:ind w:right="222" w:hanging="231"/>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64D5AF35" w14:textId="77777777" w:rsidR="00047387" w:rsidRDefault="00047387" w:rsidP="006878DD">
            <w:pPr>
              <w:pStyle w:val="TableParagraph"/>
              <w:spacing w:after="60"/>
              <w:ind w:right="222"/>
              <w:rPr>
                <w:rFonts w:asciiTheme="minorHAnsi" w:hAnsiTheme="minorHAnsi" w:cstheme="minorHAnsi"/>
                <w:sz w:val="18"/>
                <w:szCs w:val="18"/>
              </w:rPr>
            </w:pPr>
          </w:p>
          <w:p w14:paraId="74AF7D69" w14:textId="77777777" w:rsidR="00047387" w:rsidRDefault="00047387" w:rsidP="006878DD">
            <w:pPr>
              <w:pStyle w:val="TableParagraph"/>
              <w:spacing w:after="60"/>
              <w:ind w:right="222"/>
              <w:rPr>
                <w:rFonts w:asciiTheme="minorHAnsi" w:hAnsiTheme="minorHAnsi" w:cstheme="minorHAnsi"/>
                <w:sz w:val="18"/>
                <w:szCs w:val="18"/>
              </w:rPr>
            </w:pPr>
          </w:p>
          <w:p w14:paraId="0B6B1A56" w14:textId="77777777" w:rsidR="00047387" w:rsidRDefault="00047387" w:rsidP="006878DD">
            <w:pPr>
              <w:pStyle w:val="TableParagraph"/>
              <w:spacing w:after="60"/>
              <w:ind w:right="222"/>
              <w:rPr>
                <w:rFonts w:asciiTheme="minorHAnsi" w:hAnsiTheme="minorHAnsi" w:cstheme="minorHAnsi"/>
                <w:sz w:val="18"/>
                <w:szCs w:val="18"/>
              </w:rPr>
            </w:pPr>
          </w:p>
          <w:p w14:paraId="26DE0C04" w14:textId="77777777" w:rsidR="00047387" w:rsidRPr="002B0F7E" w:rsidRDefault="00047387" w:rsidP="006878DD">
            <w:pPr>
              <w:pStyle w:val="TableParagraph"/>
              <w:spacing w:before="35" w:line="235" w:lineRule="auto"/>
              <w:ind w:right="222" w:hanging="227"/>
              <w:rPr>
                <w:rFonts w:asciiTheme="minorHAnsi" w:hAnsiTheme="minorHAnsi" w:cstheme="minorHAnsi"/>
                <w:sz w:val="18"/>
                <w:szCs w:val="18"/>
              </w:rPr>
            </w:pPr>
          </w:p>
        </w:tc>
      </w:tr>
      <w:tr w:rsidR="00E6403A" w:rsidRPr="00DD3B63" w14:paraId="56205258" w14:textId="77777777" w:rsidTr="00BC0D59">
        <w:trPr>
          <w:cantSplit/>
          <w:trHeight w:val="1134"/>
          <w:jc w:val="center"/>
        </w:trPr>
        <w:tc>
          <w:tcPr>
            <w:tcW w:w="993" w:type="dxa"/>
            <w:shd w:val="clear" w:color="auto" w:fill="FFFFFF" w:themeFill="background1"/>
            <w:textDirection w:val="btLr"/>
            <w:vAlign w:val="center"/>
          </w:tcPr>
          <w:p w14:paraId="53FB7088" w14:textId="0AAA41E5" w:rsidR="00047387" w:rsidRPr="00917210" w:rsidRDefault="00291136" w:rsidP="00230B0E">
            <w:pPr>
              <w:ind w:left="113" w:right="113"/>
              <w:jc w:val="center"/>
              <w:rPr>
                <w:rFonts w:cstheme="minorHAnsi"/>
                <w:sz w:val="18"/>
                <w:szCs w:val="18"/>
              </w:rPr>
            </w:pPr>
            <w:r w:rsidRPr="00917210">
              <w:rPr>
                <w:rFonts w:cstheme="minorHAnsi"/>
                <w:b/>
                <w:bCs/>
                <w:spacing w:val="-2"/>
                <w:sz w:val="18"/>
                <w:szCs w:val="18"/>
              </w:rPr>
              <w:lastRenderedPageBreak/>
              <w:t>Efficiency</w:t>
            </w:r>
          </w:p>
        </w:tc>
        <w:tc>
          <w:tcPr>
            <w:tcW w:w="2136" w:type="dxa"/>
            <w:shd w:val="clear" w:color="auto" w:fill="FFFFFF" w:themeFill="background1"/>
          </w:tcPr>
          <w:p w14:paraId="7018F01D"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07C07928" w14:textId="77777777" w:rsidR="00047387" w:rsidRPr="00917210" w:rsidRDefault="00047387"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 xml:space="preserve">4.3.2 In what way, if at all, did the project design contribute towards expected results? </w:t>
            </w:r>
          </w:p>
        </w:tc>
        <w:tc>
          <w:tcPr>
            <w:tcW w:w="2693" w:type="dxa"/>
            <w:shd w:val="clear" w:color="auto" w:fill="FFFFFF" w:themeFill="background1"/>
          </w:tcPr>
          <w:p w14:paraId="7DF4A74E"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Alignment of project design with project purpose and objectives</w:t>
            </w:r>
          </w:p>
          <w:p w14:paraId="2DC348E2"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Alignment of project design with intended project results</w:t>
            </w:r>
          </w:p>
          <w:p w14:paraId="37CFCF28"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Contribution of project activities (knowledge products; tools; technical assistance; trainings; workshops) to expected results</w:t>
            </w:r>
          </w:p>
          <w:p w14:paraId="3A4B0F31" w14:textId="77777777" w:rsidR="00047387" w:rsidRPr="00917210" w:rsidRDefault="00047387" w:rsidP="003B672F">
            <w:pPr>
              <w:pStyle w:val="TableParagraph"/>
              <w:numPr>
                <w:ilvl w:val="0"/>
                <w:numId w:val="46"/>
              </w:numPr>
              <w:spacing w:before="35" w:line="235" w:lineRule="auto"/>
              <w:ind w:left="273"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the contribution of the project design to results achievement</w:t>
            </w:r>
          </w:p>
        </w:tc>
        <w:tc>
          <w:tcPr>
            <w:tcW w:w="3260" w:type="dxa"/>
            <w:shd w:val="clear" w:color="auto" w:fill="FFFFFF" w:themeFill="background1"/>
          </w:tcPr>
          <w:p w14:paraId="6C92A69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10DB5E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1607A6CD"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3E96B813"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3720942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77E19C66"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539E047"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385DDAE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03A4E62F" w14:textId="77777777" w:rsidR="00047387" w:rsidRPr="00917210" w:rsidRDefault="00047387"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81F4701"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12F3D878"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2FC424AC" w14:textId="71C1AE4F" w:rsidR="00047387"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12BFB35A" w14:textId="77777777" w:rsidR="00047387" w:rsidRPr="00917210" w:rsidRDefault="00047387"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5F504781" w14:textId="77777777" w:rsidR="00047387" w:rsidRPr="002B0F7E" w:rsidRDefault="00047387" w:rsidP="003B672F">
            <w:pPr>
              <w:pStyle w:val="TableParagraph"/>
              <w:numPr>
                <w:ilvl w:val="0"/>
                <w:numId w:val="42"/>
              </w:numPr>
              <w:spacing w:after="60"/>
              <w:ind w:right="222" w:hanging="231"/>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25D40877" w14:textId="77777777" w:rsidR="00047387" w:rsidRDefault="00047387" w:rsidP="003B672F">
            <w:pPr>
              <w:pStyle w:val="TableParagraph"/>
              <w:numPr>
                <w:ilvl w:val="0"/>
                <w:numId w:val="42"/>
              </w:numPr>
              <w:spacing w:after="60"/>
              <w:ind w:right="222" w:hanging="231"/>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52558696" w14:textId="77777777" w:rsidR="00047387" w:rsidRDefault="00047387" w:rsidP="006878DD">
            <w:pPr>
              <w:pStyle w:val="TableParagraph"/>
              <w:spacing w:after="60"/>
              <w:ind w:right="222"/>
              <w:rPr>
                <w:rFonts w:asciiTheme="minorHAnsi" w:hAnsiTheme="minorHAnsi" w:cstheme="minorHAnsi"/>
                <w:sz w:val="18"/>
                <w:szCs w:val="18"/>
              </w:rPr>
            </w:pPr>
          </w:p>
          <w:p w14:paraId="3618FBAA" w14:textId="77777777" w:rsidR="00047387" w:rsidRDefault="00047387" w:rsidP="006878DD">
            <w:pPr>
              <w:pStyle w:val="TableParagraph"/>
              <w:spacing w:after="60"/>
              <w:ind w:right="222"/>
              <w:rPr>
                <w:rFonts w:asciiTheme="minorHAnsi" w:hAnsiTheme="minorHAnsi" w:cstheme="minorHAnsi"/>
                <w:sz w:val="18"/>
                <w:szCs w:val="18"/>
              </w:rPr>
            </w:pPr>
          </w:p>
          <w:p w14:paraId="777B740F" w14:textId="77777777" w:rsidR="00047387" w:rsidRPr="00DD3B63" w:rsidRDefault="00047387" w:rsidP="006878DD">
            <w:pPr>
              <w:pStyle w:val="TableParagraph"/>
              <w:spacing w:after="60"/>
              <w:ind w:right="222"/>
              <w:rPr>
                <w:rFonts w:asciiTheme="minorHAnsi" w:hAnsiTheme="minorHAnsi" w:cstheme="minorHAnsi"/>
                <w:sz w:val="18"/>
                <w:szCs w:val="18"/>
              </w:rPr>
            </w:pPr>
          </w:p>
        </w:tc>
      </w:tr>
      <w:tr w:rsidR="00EE2082" w:rsidRPr="002B0F7E" w14:paraId="0236FA2E" w14:textId="77777777" w:rsidTr="00BC0D59">
        <w:trPr>
          <w:trHeight w:val="826"/>
          <w:jc w:val="center"/>
        </w:trPr>
        <w:tc>
          <w:tcPr>
            <w:tcW w:w="993" w:type="dxa"/>
            <w:shd w:val="clear" w:color="auto" w:fill="FFFFFF" w:themeFill="background1"/>
            <w:textDirection w:val="btLr"/>
            <w:vAlign w:val="center"/>
          </w:tcPr>
          <w:p w14:paraId="3103CD37" w14:textId="1EE908EB" w:rsidR="00EE2082" w:rsidRPr="00917210" w:rsidRDefault="00EE2082" w:rsidP="00230B0E">
            <w:pPr>
              <w:pStyle w:val="TableParagraph"/>
              <w:tabs>
                <w:tab w:val="left" w:pos="413"/>
              </w:tabs>
              <w:spacing w:before="32"/>
              <w:ind w:left="373"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Cross-cutting issues:</w:t>
            </w:r>
          </w:p>
          <w:p w14:paraId="6E1B84DF" w14:textId="4310ED83" w:rsidR="00EE2082" w:rsidRPr="00372D37" w:rsidRDefault="00EE2082" w:rsidP="003B672F">
            <w:pPr>
              <w:pStyle w:val="TableParagraph"/>
              <w:numPr>
                <w:ilvl w:val="0"/>
                <w:numId w:val="66"/>
              </w:numPr>
              <w:spacing w:before="32" w:after="0"/>
              <w:ind w:right="113"/>
              <w:jc w:val="center"/>
              <w:rPr>
                <w:rFonts w:asciiTheme="minorHAnsi" w:hAnsiTheme="minorHAnsi" w:cstheme="minorHAnsi"/>
                <w:b/>
                <w:bCs/>
                <w:sz w:val="18"/>
                <w:szCs w:val="18"/>
              </w:rPr>
            </w:pPr>
            <w:r w:rsidRPr="00917210">
              <w:rPr>
                <w:rFonts w:asciiTheme="minorHAnsi" w:hAnsiTheme="minorHAnsi" w:cstheme="minorHAnsi"/>
                <w:b/>
                <w:bCs/>
                <w:sz w:val="18"/>
                <w:szCs w:val="18"/>
              </w:rPr>
              <w:t>gender equality</w:t>
            </w:r>
          </w:p>
        </w:tc>
        <w:tc>
          <w:tcPr>
            <w:tcW w:w="2136" w:type="dxa"/>
            <w:vMerge w:val="restart"/>
            <w:shd w:val="clear" w:color="auto" w:fill="FFFFFF" w:themeFill="background1"/>
          </w:tcPr>
          <w:p w14:paraId="30C55B18" w14:textId="77777777" w:rsidR="00EE2082" w:rsidRPr="00917210" w:rsidRDefault="00EE2082" w:rsidP="006878DD">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5.1. To what extent were gender equality, human rights, and disability inclusion integrated into the design and implementation of the project?</w:t>
            </w:r>
          </w:p>
        </w:tc>
        <w:tc>
          <w:tcPr>
            <w:tcW w:w="2268" w:type="dxa"/>
            <w:shd w:val="clear" w:color="auto" w:fill="FFFFFF" w:themeFill="background1"/>
          </w:tcPr>
          <w:p w14:paraId="1E4479C5" w14:textId="77777777" w:rsidR="00EE2082" w:rsidRPr="00917210" w:rsidRDefault="00EE2082" w:rsidP="006878DD">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 xml:space="preserve">5.1.1 What evidence is there of the integration of gender equality considerations into project design/ implementation/ monitoring? </w:t>
            </w:r>
          </w:p>
          <w:p w14:paraId="44002A12" w14:textId="77777777" w:rsidR="00EE2082" w:rsidRPr="00917210" w:rsidRDefault="00EE2082" w:rsidP="006878DD">
            <w:pPr>
              <w:pStyle w:val="TableDashes"/>
              <w:numPr>
                <w:ilvl w:val="0"/>
                <w:numId w:val="0"/>
              </w:numPr>
              <w:spacing w:before="40" w:after="40"/>
              <w:ind w:left="360" w:hanging="360"/>
              <w:rPr>
                <w:rFonts w:cstheme="minorHAnsi"/>
                <w:szCs w:val="18"/>
              </w:rPr>
            </w:pPr>
          </w:p>
        </w:tc>
        <w:tc>
          <w:tcPr>
            <w:tcW w:w="2693" w:type="dxa"/>
            <w:shd w:val="clear" w:color="auto" w:fill="FFFFFF" w:themeFill="background1"/>
          </w:tcPr>
          <w:p w14:paraId="555AD485" w14:textId="77777777" w:rsidR="00EE2082" w:rsidRPr="00917210" w:rsidRDefault="00EE2082" w:rsidP="003B672F">
            <w:pPr>
              <w:pStyle w:val="TableParagraph"/>
              <w:numPr>
                <w:ilvl w:val="0"/>
                <w:numId w:val="55"/>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 the integration of gender equality considerations into project design/ implementation/ monitoring, e.g.:</w:t>
            </w:r>
          </w:p>
          <w:p w14:paraId="1897E64F" w14:textId="77777777" w:rsidR="00EE2082" w:rsidRPr="00917210" w:rsidRDefault="00EE2082" w:rsidP="003B672F">
            <w:pPr>
              <w:pStyle w:val="TableParagraph"/>
              <w:numPr>
                <w:ilvl w:val="1"/>
                <w:numId w:val="55"/>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incorporation of a gender analysis into project design</w:t>
            </w:r>
          </w:p>
          <w:p w14:paraId="166B1F12" w14:textId="77777777" w:rsidR="00EE2082" w:rsidRPr="00917210" w:rsidRDefault="00EE2082" w:rsidP="003B672F">
            <w:pPr>
              <w:pStyle w:val="TableParagraph"/>
              <w:numPr>
                <w:ilvl w:val="1"/>
                <w:numId w:val="55"/>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gender-specific results targets</w:t>
            </w:r>
          </w:p>
          <w:p w14:paraId="2693BC20" w14:textId="77777777" w:rsidR="00EE2082" w:rsidRPr="00917210" w:rsidRDefault="00EE2082" w:rsidP="003B672F">
            <w:pPr>
              <w:pStyle w:val="TableParagraph"/>
              <w:numPr>
                <w:ilvl w:val="1"/>
                <w:numId w:val="55"/>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facilitating equal opportunities for project participation at all project stages</w:t>
            </w:r>
          </w:p>
          <w:p w14:paraId="0CA4CF26" w14:textId="77777777" w:rsidR="00EE2082" w:rsidRPr="00917210" w:rsidRDefault="00EE2082" w:rsidP="003B672F">
            <w:pPr>
              <w:pStyle w:val="TableParagraph"/>
              <w:numPr>
                <w:ilvl w:val="1"/>
                <w:numId w:val="55"/>
              </w:numPr>
              <w:spacing w:before="35" w:line="235" w:lineRule="auto"/>
              <w:ind w:left="699" w:right="53" w:hanging="222"/>
              <w:rPr>
                <w:rFonts w:asciiTheme="minorHAnsi" w:hAnsiTheme="minorHAnsi" w:cstheme="minorHAnsi"/>
                <w:sz w:val="18"/>
                <w:szCs w:val="18"/>
              </w:rPr>
            </w:pPr>
            <w:r w:rsidRPr="00917210">
              <w:rPr>
                <w:rFonts w:asciiTheme="minorHAnsi" w:hAnsiTheme="minorHAnsi" w:cstheme="minorHAnsi"/>
                <w:sz w:val="18"/>
                <w:szCs w:val="18"/>
              </w:rPr>
              <w:t xml:space="preserve">the engagement of measures for increased participation by all persons irrespective of </w:t>
            </w:r>
            <w:r w:rsidRPr="00917210">
              <w:rPr>
                <w:rFonts w:asciiTheme="minorHAnsi" w:hAnsiTheme="minorHAnsi" w:cstheme="minorHAnsi"/>
                <w:sz w:val="18"/>
                <w:szCs w:val="18"/>
              </w:rPr>
              <w:lastRenderedPageBreak/>
              <w:t xml:space="preserve">gender orientation </w:t>
            </w:r>
          </w:p>
          <w:p w14:paraId="29ABAF23" w14:textId="77777777" w:rsidR="00EE2082" w:rsidRPr="00917210" w:rsidRDefault="00EE2082" w:rsidP="003B672F">
            <w:pPr>
              <w:pStyle w:val="TableParagraph"/>
              <w:numPr>
                <w:ilvl w:val="0"/>
                <w:numId w:val="55"/>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gender-specific results targets, with emphasis on participation by/ leadership of women</w:t>
            </w:r>
          </w:p>
        </w:tc>
        <w:tc>
          <w:tcPr>
            <w:tcW w:w="3260" w:type="dxa"/>
            <w:shd w:val="clear" w:color="auto" w:fill="FFFFFF" w:themeFill="background1"/>
          </w:tcPr>
          <w:p w14:paraId="3A6A8C62"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24986E0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6C302D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0251310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7FD2861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4A705663"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2AEFFF0"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1E9D6A3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18007329"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44EA1B1"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379DED2D"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40A0A413" w14:textId="40B7EBBD"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DC346BD"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Co-operating entities</w:t>
            </w:r>
          </w:p>
        </w:tc>
        <w:tc>
          <w:tcPr>
            <w:tcW w:w="1843" w:type="dxa"/>
            <w:shd w:val="clear" w:color="auto" w:fill="FFFFFF" w:themeFill="background1"/>
          </w:tcPr>
          <w:p w14:paraId="777DB8B1"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r>
              <w:rPr>
                <w:rFonts w:asciiTheme="minorHAnsi" w:hAnsiTheme="minorHAnsi" w:cstheme="minorHAnsi"/>
                <w:sz w:val="18"/>
                <w:szCs w:val="18"/>
              </w:rPr>
              <w:t>, including FfD study report</w:t>
            </w:r>
          </w:p>
          <w:p w14:paraId="2D235E34"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0E1CD21" w14:textId="77777777" w:rsidR="00EE2082" w:rsidRDefault="00EE2082" w:rsidP="006878DD">
            <w:pPr>
              <w:pStyle w:val="TableParagraph"/>
              <w:spacing w:after="60"/>
              <w:ind w:right="222"/>
              <w:rPr>
                <w:rFonts w:asciiTheme="minorHAnsi" w:hAnsiTheme="minorHAnsi" w:cstheme="minorHAnsi"/>
                <w:sz w:val="18"/>
                <w:szCs w:val="18"/>
              </w:rPr>
            </w:pPr>
          </w:p>
          <w:p w14:paraId="31873578" w14:textId="77777777" w:rsidR="00EE2082" w:rsidRDefault="00EE2082" w:rsidP="006878DD">
            <w:pPr>
              <w:pStyle w:val="TableParagraph"/>
              <w:spacing w:after="60"/>
              <w:ind w:right="222"/>
              <w:rPr>
                <w:rFonts w:asciiTheme="minorHAnsi" w:hAnsiTheme="minorHAnsi" w:cstheme="minorHAnsi"/>
                <w:sz w:val="18"/>
                <w:szCs w:val="18"/>
              </w:rPr>
            </w:pPr>
          </w:p>
          <w:p w14:paraId="2B1B0533" w14:textId="77777777" w:rsidR="00EE2082" w:rsidRDefault="00EE2082" w:rsidP="006878DD">
            <w:pPr>
              <w:pStyle w:val="TableParagraph"/>
              <w:spacing w:after="60"/>
              <w:ind w:right="222"/>
              <w:rPr>
                <w:rFonts w:asciiTheme="minorHAnsi" w:hAnsiTheme="minorHAnsi" w:cstheme="minorHAnsi"/>
                <w:sz w:val="18"/>
                <w:szCs w:val="18"/>
              </w:rPr>
            </w:pPr>
          </w:p>
          <w:p w14:paraId="46A34FBE" w14:textId="77777777" w:rsidR="00EE2082" w:rsidRPr="002B0F7E" w:rsidRDefault="00EE2082" w:rsidP="006878DD">
            <w:pPr>
              <w:pStyle w:val="TableParagraph"/>
              <w:spacing w:line="235" w:lineRule="auto"/>
              <w:ind w:right="222" w:hanging="227"/>
              <w:rPr>
                <w:rFonts w:asciiTheme="minorHAnsi" w:hAnsiTheme="minorHAnsi" w:cstheme="minorHAnsi"/>
                <w:sz w:val="18"/>
                <w:szCs w:val="18"/>
              </w:rPr>
            </w:pPr>
          </w:p>
        </w:tc>
      </w:tr>
      <w:tr w:rsidR="00EE2082" w:rsidRPr="002B0F7E" w14:paraId="77D671FD" w14:textId="77777777" w:rsidTr="00BC0D59">
        <w:trPr>
          <w:trHeight w:val="1017"/>
          <w:jc w:val="center"/>
        </w:trPr>
        <w:tc>
          <w:tcPr>
            <w:tcW w:w="993" w:type="dxa"/>
            <w:shd w:val="clear" w:color="auto" w:fill="FFFFFF" w:themeFill="background1"/>
            <w:textDirection w:val="btLr"/>
            <w:vAlign w:val="center"/>
          </w:tcPr>
          <w:p w14:paraId="01870ED7" w14:textId="08983042" w:rsidR="00EE2082" w:rsidRPr="00917210" w:rsidRDefault="00EE2082" w:rsidP="00EE2082">
            <w:pPr>
              <w:pStyle w:val="TableParagraph"/>
              <w:tabs>
                <w:tab w:val="left" w:pos="413"/>
              </w:tabs>
              <w:spacing w:before="32"/>
              <w:ind w:left="373"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t>Cross-cutting issues:</w:t>
            </w:r>
          </w:p>
          <w:p w14:paraId="12285523" w14:textId="531C6163" w:rsidR="00EE2082" w:rsidRPr="00372D37" w:rsidRDefault="00EE2082" w:rsidP="003B672F">
            <w:pPr>
              <w:pStyle w:val="TableParagraph"/>
              <w:numPr>
                <w:ilvl w:val="0"/>
                <w:numId w:val="66"/>
              </w:numPr>
              <w:spacing w:before="32" w:after="0"/>
              <w:ind w:right="113"/>
              <w:jc w:val="center"/>
              <w:rPr>
                <w:rFonts w:asciiTheme="minorHAnsi" w:hAnsiTheme="minorHAnsi" w:cstheme="minorHAnsi"/>
                <w:b/>
                <w:bCs/>
                <w:sz w:val="18"/>
                <w:szCs w:val="18"/>
              </w:rPr>
            </w:pPr>
            <w:r w:rsidRPr="00917210">
              <w:rPr>
                <w:rFonts w:asciiTheme="minorHAnsi" w:hAnsiTheme="minorHAnsi" w:cstheme="minorHAnsi"/>
                <w:b/>
                <w:bCs/>
                <w:sz w:val="18"/>
                <w:szCs w:val="18"/>
              </w:rPr>
              <w:t>human rights</w:t>
            </w:r>
          </w:p>
        </w:tc>
        <w:tc>
          <w:tcPr>
            <w:tcW w:w="2136" w:type="dxa"/>
            <w:vMerge/>
            <w:shd w:val="clear" w:color="auto" w:fill="FFFFFF" w:themeFill="background1"/>
          </w:tcPr>
          <w:p w14:paraId="3056C974" w14:textId="77777777" w:rsidR="00EE2082" w:rsidRPr="00917210" w:rsidRDefault="00EE2082" w:rsidP="00EE2082">
            <w:pPr>
              <w:rPr>
                <w:rFonts w:cstheme="minorHAnsi"/>
                <w:sz w:val="18"/>
                <w:szCs w:val="18"/>
              </w:rPr>
            </w:pPr>
          </w:p>
        </w:tc>
        <w:tc>
          <w:tcPr>
            <w:tcW w:w="2268" w:type="dxa"/>
            <w:shd w:val="clear" w:color="auto" w:fill="FFFFFF" w:themeFill="background1"/>
          </w:tcPr>
          <w:p w14:paraId="0C7B384B" w14:textId="77777777" w:rsidR="00EE2082" w:rsidRPr="00917210" w:rsidRDefault="00EE2082" w:rsidP="00EE2082">
            <w:pPr>
              <w:pStyle w:val="TableParagraph"/>
              <w:spacing w:before="35" w:line="235" w:lineRule="auto"/>
              <w:ind w:left="79" w:right="73"/>
              <w:rPr>
                <w:rFonts w:asciiTheme="minorHAnsi" w:hAnsiTheme="minorHAnsi" w:cstheme="minorHAnsi"/>
                <w:sz w:val="18"/>
                <w:szCs w:val="18"/>
              </w:rPr>
            </w:pPr>
            <w:r w:rsidRPr="00917210">
              <w:rPr>
                <w:rFonts w:asciiTheme="minorHAnsi" w:hAnsiTheme="minorHAnsi" w:cstheme="minorHAnsi"/>
                <w:sz w:val="18"/>
                <w:szCs w:val="18"/>
              </w:rPr>
              <w:t>5.1.2 What evidence is there of the integration of human rights considerations into project design/ implementation/ monitoring?</w:t>
            </w:r>
          </w:p>
        </w:tc>
        <w:tc>
          <w:tcPr>
            <w:tcW w:w="2693" w:type="dxa"/>
            <w:shd w:val="clear" w:color="auto" w:fill="FFFFFF" w:themeFill="background1"/>
          </w:tcPr>
          <w:p w14:paraId="6E2B3DDB" w14:textId="77777777" w:rsidR="00EE2082" w:rsidRPr="00917210" w:rsidRDefault="00EE2082" w:rsidP="003B672F">
            <w:pPr>
              <w:pStyle w:val="TableParagraph"/>
              <w:numPr>
                <w:ilvl w:val="0"/>
                <w:numId w:val="56"/>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0BF0E5A2"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non-discrimination and the promotion of equal opportunities and outcomes, particularly for women and other disadvantaged social groups</w:t>
            </w:r>
          </w:p>
          <w:p w14:paraId="33A6410F"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results targets on increased project participation by under-represented/ underserved social groups</w:t>
            </w:r>
          </w:p>
          <w:p w14:paraId="0C1AA1B0"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the engagement of under-represented/ underserved groups during project design/ implementation/ monitoring</w:t>
            </w:r>
          </w:p>
          <w:p w14:paraId="74B98A1E" w14:textId="77777777" w:rsidR="00EE2082" w:rsidRPr="00917210" w:rsidRDefault="00EE2082" w:rsidP="003B672F">
            <w:pPr>
              <w:pStyle w:val="TableParagraph"/>
              <w:numPr>
                <w:ilvl w:val="0"/>
                <w:numId w:val="56"/>
              </w:numPr>
              <w:spacing w:line="235" w:lineRule="auto"/>
              <w:ind w:right="278" w:hanging="222"/>
              <w:rPr>
                <w:rFonts w:asciiTheme="minorHAnsi" w:hAnsiTheme="minorHAnsi" w:cstheme="minorHAnsi"/>
                <w:sz w:val="18"/>
                <w:szCs w:val="18"/>
              </w:rPr>
            </w:pPr>
            <w:r w:rsidRPr="00917210">
              <w:rPr>
                <w:rFonts w:asciiTheme="minorHAnsi" w:hAnsiTheme="minorHAnsi" w:cstheme="minorHAnsi"/>
                <w:sz w:val="18"/>
                <w:szCs w:val="18"/>
              </w:rPr>
              <w:t>Key informant perceptions of the integration of human rights considerations into the project</w:t>
            </w:r>
          </w:p>
        </w:tc>
        <w:tc>
          <w:tcPr>
            <w:tcW w:w="3260" w:type="dxa"/>
            <w:shd w:val="clear" w:color="auto" w:fill="FFFFFF" w:themeFill="background1"/>
          </w:tcPr>
          <w:p w14:paraId="0CF48F0C"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1D207370"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0F94C62"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76F4040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0A4B2B68"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0CCEFE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11C307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417BD38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466F5509"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81E166F"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754F63D5"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01B5D579" w14:textId="026CABB8"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37CB366F"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09F41201"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73635407"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449B7C11" w14:textId="77777777" w:rsidR="00EE2082" w:rsidRDefault="00EE2082" w:rsidP="00EE2082">
            <w:pPr>
              <w:pStyle w:val="TableParagraph"/>
              <w:spacing w:after="60"/>
              <w:ind w:right="222"/>
              <w:rPr>
                <w:rFonts w:asciiTheme="minorHAnsi" w:hAnsiTheme="minorHAnsi" w:cstheme="minorHAnsi"/>
                <w:sz w:val="18"/>
                <w:szCs w:val="18"/>
              </w:rPr>
            </w:pPr>
          </w:p>
          <w:p w14:paraId="1BF364D4" w14:textId="77777777" w:rsidR="00EE2082" w:rsidRDefault="00EE2082" w:rsidP="00EE2082">
            <w:pPr>
              <w:pStyle w:val="TableParagraph"/>
              <w:spacing w:after="60"/>
              <w:ind w:right="222"/>
              <w:rPr>
                <w:rFonts w:asciiTheme="minorHAnsi" w:hAnsiTheme="minorHAnsi" w:cstheme="minorHAnsi"/>
                <w:sz w:val="18"/>
                <w:szCs w:val="18"/>
              </w:rPr>
            </w:pPr>
          </w:p>
          <w:p w14:paraId="636FEBE2" w14:textId="77777777" w:rsidR="00EE2082" w:rsidRDefault="00EE2082" w:rsidP="00EE2082">
            <w:pPr>
              <w:pStyle w:val="TableParagraph"/>
              <w:spacing w:after="60"/>
              <w:ind w:right="222"/>
              <w:rPr>
                <w:rFonts w:asciiTheme="minorHAnsi" w:hAnsiTheme="minorHAnsi" w:cstheme="minorHAnsi"/>
                <w:sz w:val="18"/>
                <w:szCs w:val="18"/>
              </w:rPr>
            </w:pPr>
          </w:p>
          <w:p w14:paraId="57B93942" w14:textId="77777777" w:rsidR="00EE2082" w:rsidRPr="002B0F7E" w:rsidRDefault="00EE2082" w:rsidP="00EE2082">
            <w:pPr>
              <w:pStyle w:val="TableParagraph"/>
              <w:spacing w:after="60"/>
              <w:ind w:right="222"/>
              <w:rPr>
                <w:rFonts w:asciiTheme="minorHAnsi" w:hAnsiTheme="minorHAnsi" w:cstheme="minorHAnsi"/>
                <w:sz w:val="18"/>
                <w:szCs w:val="18"/>
              </w:rPr>
            </w:pPr>
          </w:p>
        </w:tc>
      </w:tr>
      <w:tr w:rsidR="00EE2082" w:rsidRPr="002B0F7E" w14:paraId="122AE469" w14:textId="77777777" w:rsidTr="00BC0D59">
        <w:trPr>
          <w:cantSplit/>
          <w:trHeight w:val="1134"/>
          <w:jc w:val="center"/>
        </w:trPr>
        <w:tc>
          <w:tcPr>
            <w:tcW w:w="993" w:type="dxa"/>
            <w:shd w:val="clear" w:color="auto" w:fill="FFFFFF" w:themeFill="background1"/>
            <w:textDirection w:val="btLr"/>
            <w:vAlign w:val="center"/>
          </w:tcPr>
          <w:p w14:paraId="5E7C069A" w14:textId="4ED5E85A" w:rsidR="00EE2082" w:rsidRPr="00917210" w:rsidRDefault="00EE2082" w:rsidP="00EE2082">
            <w:pPr>
              <w:pStyle w:val="TableParagraph"/>
              <w:tabs>
                <w:tab w:val="left" w:pos="413"/>
              </w:tabs>
              <w:spacing w:before="32"/>
              <w:ind w:left="373"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lastRenderedPageBreak/>
              <w:t>Cross-cutting issues:</w:t>
            </w:r>
          </w:p>
          <w:p w14:paraId="78DFEF04" w14:textId="017CA5A3" w:rsidR="00EE2082" w:rsidRPr="00917210" w:rsidRDefault="00372D37" w:rsidP="003B672F">
            <w:pPr>
              <w:pStyle w:val="TableParagraph"/>
              <w:numPr>
                <w:ilvl w:val="0"/>
                <w:numId w:val="66"/>
              </w:numPr>
              <w:spacing w:before="32" w:after="0"/>
              <w:ind w:right="113"/>
              <w:jc w:val="center"/>
              <w:rPr>
                <w:rFonts w:asciiTheme="minorHAnsi" w:hAnsiTheme="minorHAnsi" w:cstheme="minorHAnsi"/>
                <w:b/>
                <w:bCs/>
                <w:spacing w:val="-2"/>
                <w:sz w:val="18"/>
                <w:szCs w:val="18"/>
              </w:rPr>
            </w:pPr>
            <w:r>
              <w:rPr>
                <w:rFonts w:asciiTheme="minorHAnsi" w:hAnsiTheme="minorHAnsi" w:cstheme="minorHAnsi"/>
                <w:b/>
                <w:bCs/>
                <w:sz w:val="18"/>
                <w:szCs w:val="18"/>
              </w:rPr>
              <w:t>d</w:t>
            </w:r>
            <w:r w:rsidR="00EE2082">
              <w:rPr>
                <w:rFonts w:asciiTheme="minorHAnsi" w:hAnsiTheme="minorHAnsi" w:cstheme="minorHAnsi"/>
                <w:b/>
                <w:bCs/>
                <w:sz w:val="18"/>
                <w:szCs w:val="18"/>
              </w:rPr>
              <w:t>isability inclusion</w:t>
            </w:r>
          </w:p>
        </w:tc>
        <w:tc>
          <w:tcPr>
            <w:tcW w:w="2136" w:type="dxa"/>
            <w:shd w:val="clear" w:color="auto" w:fill="FFFFFF" w:themeFill="background1"/>
          </w:tcPr>
          <w:p w14:paraId="41E17340" w14:textId="77777777" w:rsidR="00EE2082" w:rsidRPr="00917210" w:rsidRDefault="00EE2082" w:rsidP="00EE2082">
            <w:pPr>
              <w:pStyle w:val="TableParagraph"/>
              <w:spacing w:after="60"/>
              <w:ind w:left="79"/>
              <w:rPr>
                <w:rFonts w:asciiTheme="minorHAnsi" w:hAnsiTheme="minorHAnsi" w:cstheme="minorHAnsi"/>
                <w:sz w:val="18"/>
                <w:szCs w:val="18"/>
              </w:rPr>
            </w:pPr>
          </w:p>
        </w:tc>
        <w:tc>
          <w:tcPr>
            <w:tcW w:w="2268" w:type="dxa"/>
            <w:shd w:val="clear" w:color="auto" w:fill="FFFFFF" w:themeFill="background1"/>
          </w:tcPr>
          <w:p w14:paraId="010F2F67" w14:textId="77777777" w:rsidR="00EE2082" w:rsidRPr="00917210" w:rsidRDefault="00EE2082" w:rsidP="00EE2082">
            <w:pPr>
              <w:spacing w:after="60"/>
              <w:ind w:left="130"/>
              <w:rPr>
                <w:rFonts w:cstheme="minorHAnsi"/>
                <w:sz w:val="18"/>
                <w:szCs w:val="18"/>
              </w:rPr>
            </w:pPr>
            <w:r w:rsidRPr="00917210">
              <w:rPr>
                <w:rFonts w:cstheme="minorHAnsi"/>
                <w:sz w:val="18"/>
                <w:szCs w:val="18"/>
              </w:rPr>
              <w:t>5.1.3 What evidence is there of the integration of disability inclusion considerations into project design/ implementation/ monitoring?</w:t>
            </w:r>
          </w:p>
        </w:tc>
        <w:tc>
          <w:tcPr>
            <w:tcW w:w="2693" w:type="dxa"/>
            <w:shd w:val="clear" w:color="auto" w:fill="FFFFFF" w:themeFill="background1"/>
          </w:tcPr>
          <w:p w14:paraId="3E9A2B08" w14:textId="77777777" w:rsidR="00EE2082" w:rsidRPr="00917210" w:rsidRDefault="00EE2082" w:rsidP="003B672F">
            <w:pPr>
              <w:pStyle w:val="TableParagraph"/>
              <w:numPr>
                <w:ilvl w:val="0"/>
                <w:numId w:val="56"/>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3B71969E"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measures taken to address issues of relevance to persons with disabilities</w:t>
            </w:r>
          </w:p>
          <w:p w14:paraId="0FABFFFF"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results targets on increased project participation by and empowerment of persons with disabilities</w:t>
            </w:r>
          </w:p>
          <w:p w14:paraId="54888FE2" w14:textId="77777777" w:rsidR="00EE2082" w:rsidRPr="00917210" w:rsidRDefault="00EE2082" w:rsidP="003B672F">
            <w:pPr>
              <w:pStyle w:val="TableParagraph"/>
              <w:numPr>
                <w:ilvl w:val="1"/>
                <w:numId w:val="56"/>
              </w:numPr>
              <w:spacing w:before="35" w:line="235" w:lineRule="auto"/>
              <w:ind w:left="699" w:right="268" w:hanging="222"/>
              <w:rPr>
                <w:rFonts w:asciiTheme="minorHAnsi" w:hAnsiTheme="minorHAnsi" w:cstheme="minorHAnsi"/>
                <w:sz w:val="18"/>
                <w:szCs w:val="18"/>
              </w:rPr>
            </w:pPr>
            <w:r w:rsidRPr="00917210">
              <w:rPr>
                <w:rFonts w:asciiTheme="minorHAnsi" w:hAnsiTheme="minorHAnsi" w:cstheme="minorHAnsi"/>
                <w:sz w:val="18"/>
                <w:szCs w:val="18"/>
              </w:rPr>
              <w:t>the engagement of persons with disabilities in all stages of the project (project design/ implementation/ monitoring)</w:t>
            </w:r>
          </w:p>
          <w:p w14:paraId="1604BE6D" w14:textId="77777777" w:rsidR="00EE2082" w:rsidRPr="00917210" w:rsidRDefault="00EE2082" w:rsidP="003B672F">
            <w:pPr>
              <w:pStyle w:val="Default"/>
              <w:numPr>
                <w:ilvl w:val="0"/>
                <w:numId w:val="65"/>
              </w:numPr>
              <w:ind w:hanging="222"/>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the integration of </w:t>
            </w:r>
            <w:r w:rsidRPr="00917210">
              <w:rPr>
                <w:rFonts w:cstheme="minorHAnsi"/>
                <w:sz w:val="18"/>
                <w:szCs w:val="18"/>
              </w:rPr>
              <w:t>disability inclusion c</w:t>
            </w:r>
            <w:r w:rsidRPr="00917210">
              <w:rPr>
                <w:rFonts w:asciiTheme="minorHAnsi" w:hAnsiTheme="minorHAnsi" w:cstheme="minorHAnsi"/>
                <w:sz w:val="18"/>
                <w:szCs w:val="18"/>
              </w:rPr>
              <w:t>onsiderations into project design/ implementation/ monitoring</w:t>
            </w:r>
          </w:p>
        </w:tc>
        <w:tc>
          <w:tcPr>
            <w:tcW w:w="3260" w:type="dxa"/>
            <w:shd w:val="clear" w:color="auto" w:fill="FFFFFF" w:themeFill="background1"/>
          </w:tcPr>
          <w:p w14:paraId="4F0A0F99"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0053CA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73F54F0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24E5906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5E125D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797691C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4C49C12"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15A451B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tools</w:t>
            </w:r>
          </w:p>
          <w:p w14:paraId="5BDF4732"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1FBB3D15"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6D230207"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7311B79B" w14:textId="2C0B714E"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09BDB943"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E78EDDF"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104A5623"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0ED73331" w14:textId="77777777" w:rsidR="00EE2082" w:rsidRDefault="00EE2082" w:rsidP="00EE2082">
            <w:pPr>
              <w:pStyle w:val="TableParagraph"/>
              <w:spacing w:after="60"/>
              <w:ind w:right="222"/>
              <w:rPr>
                <w:rFonts w:asciiTheme="minorHAnsi" w:hAnsiTheme="minorHAnsi" w:cstheme="minorHAnsi"/>
                <w:sz w:val="18"/>
                <w:szCs w:val="18"/>
              </w:rPr>
            </w:pPr>
          </w:p>
          <w:p w14:paraId="70D3944C" w14:textId="77777777" w:rsidR="00EE2082" w:rsidRDefault="00EE2082" w:rsidP="00EE2082">
            <w:pPr>
              <w:pStyle w:val="TableParagraph"/>
              <w:spacing w:after="60"/>
              <w:ind w:right="222"/>
              <w:rPr>
                <w:rFonts w:asciiTheme="minorHAnsi" w:hAnsiTheme="minorHAnsi" w:cstheme="minorHAnsi"/>
                <w:sz w:val="18"/>
                <w:szCs w:val="18"/>
              </w:rPr>
            </w:pPr>
          </w:p>
          <w:p w14:paraId="7FED1BF8" w14:textId="77777777" w:rsidR="00EE2082" w:rsidRDefault="00EE2082" w:rsidP="00EE2082">
            <w:pPr>
              <w:pStyle w:val="TableParagraph"/>
              <w:spacing w:after="60"/>
              <w:ind w:right="222"/>
              <w:rPr>
                <w:rFonts w:asciiTheme="minorHAnsi" w:hAnsiTheme="minorHAnsi" w:cstheme="minorHAnsi"/>
                <w:sz w:val="18"/>
                <w:szCs w:val="18"/>
              </w:rPr>
            </w:pPr>
          </w:p>
          <w:p w14:paraId="4656FCBE" w14:textId="77777777" w:rsidR="00EE2082" w:rsidRPr="002B0F7E" w:rsidRDefault="00EE2082" w:rsidP="00EE2082">
            <w:pPr>
              <w:pStyle w:val="TableParagraph"/>
              <w:spacing w:after="60"/>
              <w:ind w:right="222" w:hanging="227"/>
              <w:rPr>
                <w:rFonts w:asciiTheme="minorHAnsi" w:hAnsiTheme="minorHAnsi" w:cstheme="minorHAnsi"/>
                <w:sz w:val="18"/>
                <w:szCs w:val="18"/>
              </w:rPr>
            </w:pPr>
          </w:p>
        </w:tc>
      </w:tr>
      <w:tr w:rsidR="00EE2082" w:rsidRPr="002B0F7E" w14:paraId="787C41D8" w14:textId="77777777" w:rsidTr="00BC0D59">
        <w:trPr>
          <w:trHeight w:val="826"/>
          <w:jc w:val="center"/>
        </w:trPr>
        <w:tc>
          <w:tcPr>
            <w:tcW w:w="993" w:type="dxa"/>
            <w:shd w:val="clear" w:color="auto" w:fill="FFFFFF" w:themeFill="background1"/>
            <w:textDirection w:val="btLr"/>
            <w:vAlign w:val="center"/>
          </w:tcPr>
          <w:p w14:paraId="12894C64" w14:textId="5299774C" w:rsidR="00EE2082" w:rsidRPr="00917210" w:rsidRDefault="00EE2082" w:rsidP="00EE2082">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Impact</w:t>
            </w:r>
          </w:p>
        </w:tc>
        <w:tc>
          <w:tcPr>
            <w:tcW w:w="2136" w:type="dxa"/>
            <w:shd w:val="clear" w:color="auto" w:fill="FFFFFF" w:themeFill="background1"/>
          </w:tcPr>
          <w:p w14:paraId="38444D4E" w14:textId="77777777" w:rsidR="00EE2082" w:rsidRPr="00917210" w:rsidRDefault="00EE2082" w:rsidP="00EE2082">
            <w:pPr>
              <w:pStyle w:val="TableParagraph"/>
              <w:spacing w:after="60"/>
              <w:ind w:left="79"/>
              <w:rPr>
                <w:rFonts w:asciiTheme="minorHAnsi" w:hAnsiTheme="minorHAnsi" w:cstheme="minorHAnsi"/>
                <w:sz w:val="18"/>
                <w:szCs w:val="18"/>
              </w:rPr>
            </w:pPr>
            <w:r w:rsidRPr="00917210">
              <w:rPr>
                <w:rFonts w:asciiTheme="minorHAnsi" w:hAnsiTheme="minorHAnsi" w:cstheme="minorHAnsi"/>
                <w:sz w:val="18"/>
                <w:szCs w:val="18"/>
              </w:rPr>
              <w:t xml:space="preserve">6.1 To what extent has the project contributed towards its expected impact? </w:t>
            </w:r>
          </w:p>
        </w:tc>
        <w:tc>
          <w:tcPr>
            <w:tcW w:w="2268" w:type="dxa"/>
            <w:shd w:val="clear" w:color="auto" w:fill="FFFFFF" w:themeFill="background1"/>
          </w:tcPr>
          <w:p w14:paraId="2F566CEC" w14:textId="77777777" w:rsidR="00EE2082" w:rsidRPr="00917210" w:rsidRDefault="00EE2082" w:rsidP="00EE2082">
            <w:pPr>
              <w:spacing w:after="60"/>
              <w:ind w:left="130"/>
              <w:rPr>
                <w:rFonts w:cstheme="minorHAnsi"/>
                <w:sz w:val="18"/>
                <w:szCs w:val="18"/>
              </w:rPr>
            </w:pPr>
            <w:r w:rsidRPr="00917210">
              <w:rPr>
                <w:rFonts w:cstheme="minorHAnsi"/>
                <w:sz w:val="18"/>
                <w:szCs w:val="18"/>
              </w:rPr>
              <w:t xml:space="preserve">6.1.1 What evidence is there of strengthened capacities in the target project countries to mobilise and align financing with national sustainable development priorities? </w:t>
            </w:r>
          </w:p>
          <w:p w14:paraId="219D6D6E" w14:textId="77777777" w:rsidR="00EE2082" w:rsidRPr="00917210" w:rsidRDefault="00EE2082" w:rsidP="00EE2082">
            <w:pPr>
              <w:spacing w:after="60"/>
              <w:ind w:left="130"/>
              <w:rPr>
                <w:rFonts w:cstheme="minorHAnsi"/>
                <w:sz w:val="18"/>
                <w:szCs w:val="18"/>
              </w:rPr>
            </w:pPr>
          </w:p>
          <w:p w14:paraId="2F7BEAAE" w14:textId="77777777" w:rsidR="00EE2082" w:rsidRPr="00917210" w:rsidRDefault="00EE2082" w:rsidP="00EE2082">
            <w:pPr>
              <w:spacing w:after="60"/>
              <w:ind w:left="130"/>
              <w:rPr>
                <w:rFonts w:cstheme="minorHAnsi"/>
                <w:sz w:val="18"/>
                <w:szCs w:val="18"/>
              </w:rPr>
            </w:pPr>
          </w:p>
        </w:tc>
        <w:tc>
          <w:tcPr>
            <w:tcW w:w="2693" w:type="dxa"/>
            <w:shd w:val="clear" w:color="auto" w:fill="FFFFFF" w:themeFill="background1"/>
          </w:tcPr>
          <w:p w14:paraId="3FE6E742" w14:textId="77777777" w:rsidR="00EE2082" w:rsidRPr="00917210" w:rsidRDefault="00EE2082" w:rsidP="003B672F">
            <w:pPr>
              <w:pStyle w:val="TableParagraph"/>
              <w:numPr>
                <w:ilvl w:val="0"/>
                <w:numId w:val="54"/>
              </w:numPr>
              <w:spacing w:before="120" w:after="0"/>
              <w:ind w:left="357"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1842A4D9"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engagement of country-level project stakeholders in INFF capacity-building/ trainings</w:t>
            </w:r>
          </w:p>
          <w:p w14:paraId="4FBAD274"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application of new learnings/ capacities to national development financing processes, including INFF establishment</w:t>
            </w:r>
          </w:p>
          <w:p w14:paraId="4D2879C4"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 xml:space="preserve">acquired capacities for mobilisation and alignment of </w:t>
            </w:r>
            <w:r w:rsidRPr="00917210">
              <w:rPr>
                <w:rFonts w:asciiTheme="minorHAnsi" w:hAnsiTheme="minorHAnsi" w:cstheme="minorHAnsi"/>
                <w:sz w:val="18"/>
                <w:szCs w:val="18"/>
              </w:rPr>
              <w:lastRenderedPageBreak/>
              <w:t xml:space="preserve">development financing with national development priorities </w:t>
            </w:r>
          </w:p>
          <w:p w14:paraId="24D434F0" w14:textId="77777777" w:rsidR="00EE2082" w:rsidRPr="00917210" w:rsidRDefault="00EE2082" w:rsidP="003B672F">
            <w:pPr>
              <w:pStyle w:val="Default"/>
              <w:numPr>
                <w:ilvl w:val="0"/>
                <w:numId w:val="65"/>
              </w:numPr>
              <w:ind w:hanging="222"/>
              <w:rPr>
                <w:rFonts w:cstheme="minorHAnsi"/>
                <w:sz w:val="18"/>
                <w:szCs w:val="18"/>
              </w:rPr>
            </w:pPr>
            <w:r w:rsidRPr="00917210">
              <w:rPr>
                <w:rFonts w:asciiTheme="minorHAnsi" w:hAnsiTheme="minorHAnsi" w:cstheme="minorHAnsi"/>
                <w:sz w:val="18"/>
                <w:szCs w:val="18"/>
              </w:rPr>
              <w:t>Key informant perceptions of acquired capacities in development financing mobilisation and application to national development processes</w:t>
            </w:r>
          </w:p>
        </w:tc>
        <w:tc>
          <w:tcPr>
            <w:tcW w:w="3260" w:type="dxa"/>
            <w:shd w:val="clear" w:color="auto" w:fill="FFFFFF" w:themeFill="background1"/>
          </w:tcPr>
          <w:p w14:paraId="7BFFA1C4"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lastRenderedPageBreak/>
              <w:t>Project document</w:t>
            </w:r>
          </w:p>
          <w:p w14:paraId="18EDE074"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78C88C8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40C4987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511B1E79"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186CD5BC"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2250559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EF0D9A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78DA93F0"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746A47E9"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lastRenderedPageBreak/>
              <w:t>Executing entity</w:t>
            </w:r>
          </w:p>
          <w:p w14:paraId="2C559AE0" w14:textId="6E0D8914"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6B234622"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346807C"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lastRenderedPageBreak/>
              <w:t>Document review</w:t>
            </w:r>
            <w:r>
              <w:rPr>
                <w:rFonts w:asciiTheme="minorHAnsi" w:hAnsiTheme="minorHAnsi" w:cstheme="minorHAnsi"/>
                <w:sz w:val="18"/>
                <w:szCs w:val="18"/>
              </w:rPr>
              <w:t>, including FfD study report</w:t>
            </w:r>
          </w:p>
          <w:p w14:paraId="02BBF1E3"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7F3B46F6" w14:textId="77777777" w:rsidR="00EE2082" w:rsidRDefault="00EE2082" w:rsidP="00EE2082">
            <w:pPr>
              <w:pStyle w:val="TableParagraph"/>
              <w:spacing w:after="60"/>
              <w:ind w:right="222"/>
              <w:rPr>
                <w:rFonts w:asciiTheme="minorHAnsi" w:hAnsiTheme="minorHAnsi" w:cstheme="minorHAnsi"/>
                <w:sz w:val="18"/>
                <w:szCs w:val="18"/>
              </w:rPr>
            </w:pPr>
          </w:p>
          <w:p w14:paraId="201E3FBC" w14:textId="77777777" w:rsidR="00EE2082" w:rsidRDefault="00EE2082" w:rsidP="00EE2082">
            <w:pPr>
              <w:pStyle w:val="TableParagraph"/>
              <w:spacing w:after="60"/>
              <w:ind w:right="222"/>
              <w:rPr>
                <w:rFonts w:asciiTheme="minorHAnsi" w:hAnsiTheme="minorHAnsi" w:cstheme="minorHAnsi"/>
                <w:sz w:val="18"/>
                <w:szCs w:val="18"/>
              </w:rPr>
            </w:pPr>
          </w:p>
          <w:p w14:paraId="437FDD26" w14:textId="77777777" w:rsidR="00EE2082" w:rsidRDefault="00EE2082" w:rsidP="00EE2082">
            <w:pPr>
              <w:pStyle w:val="TableParagraph"/>
              <w:spacing w:after="60"/>
              <w:ind w:right="222"/>
              <w:rPr>
                <w:rFonts w:asciiTheme="minorHAnsi" w:hAnsiTheme="minorHAnsi" w:cstheme="minorHAnsi"/>
                <w:sz w:val="18"/>
                <w:szCs w:val="18"/>
              </w:rPr>
            </w:pPr>
          </w:p>
          <w:p w14:paraId="1B53CA15" w14:textId="77777777" w:rsidR="00EE2082" w:rsidRPr="002B0F7E" w:rsidRDefault="00EE2082" w:rsidP="00EE2082">
            <w:pPr>
              <w:pStyle w:val="TableParagraph"/>
              <w:spacing w:after="60"/>
              <w:ind w:right="222" w:hanging="227"/>
              <w:rPr>
                <w:rFonts w:asciiTheme="minorHAnsi" w:hAnsiTheme="minorHAnsi" w:cstheme="minorHAnsi"/>
                <w:sz w:val="18"/>
                <w:szCs w:val="18"/>
              </w:rPr>
            </w:pPr>
          </w:p>
        </w:tc>
      </w:tr>
      <w:tr w:rsidR="00EE2082" w:rsidRPr="002B0F7E" w14:paraId="26A38F2C" w14:textId="77777777" w:rsidTr="00BC0D59">
        <w:trPr>
          <w:trHeight w:val="826"/>
          <w:jc w:val="center"/>
        </w:trPr>
        <w:tc>
          <w:tcPr>
            <w:tcW w:w="993" w:type="dxa"/>
            <w:shd w:val="clear" w:color="auto" w:fill="FFFFFF" w:themeFill="background1"/>
            <w:textDirection w:val="btLr"/>
            <w:vAlign w:val="center"/>
          </w:tcPr>
          <w:p w14:paraId="51F700D7" w14:textId="0A58DF66" w:rsidR="00EE2082" w:rsidRPr="00917210" w:rsidRDefault="00372D37" w:rsidP="00EE2082">
            <w:pPr>
              <w:ind w:left="113" w:right="113"/>
              <w:jc w:val="center"/>
              <w:rPr>
                <w:rFonts w:cstheme="minorHAnsi"/>
                <w:sz w:val="18"/>
                <w:szCs w:val="18"/>
              </w:rPr>
            </w:pPr>
            <w:r w:rsidRPr="00917210">
              <w:rPr>
                <w:rFonts w:cstheme="minorHAnsi"/>
                <w:b/>
                <w:bCs/>
                <w:spacing w:val="-2"/>
                <w:sz w:val="18"/>
                <w:szCs w:val="18"/>
              </w:rPr>
              <w:t>Impact</w:t>
            </w:r>
          </w:p>
        </w:tc>
        <w:tc>
          <w:tcPr>
            <w:tcW w:w="2136" w:type="dxa"/>
            <w:shd w:val="clear" w:color="auto" w:fill="FFFFFF" w:themeFill="background1"/>
          </w:tcPr>
          <w:p w14:paraId="0BE81E3C"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6.2 To what extent did the project contribute towards significant unexpected change?</w:t>
            </w:r>
          </w:p>
          <w:p w14:paraId="62DCAD60"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46F423F3"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6.2.1 How, if at all, did the project contribute towards significant unexpected change, whether positive or negative?</w:t>
            </w:r>
          </w:p>
        </w:tc>
        <w:tc>
          <w:tcPr>
            <w:tcW w:w="2693" w:type="dxa"/>
            <w:shd w:val="clear" w:color="auto" w:fill="FFFFFF" w:themeFill="background1"/>
          </w:tcPr>
          <w:p w14:paraId="1F140695" w14:textId="77777777" w:rsidR="00EE2082" w:rsidRPr="00917210" w:rsidRDefault="00EE2082" w:rsidP="003B672F">
            <w:pPr>
              <w:pStyle w:val="Default"/>
              <w:numPr>
                <w:ilvl w:val="0"/>
                <w:numId w:val="44"/>
              </w:numPr>
              <w:spacing w:after="6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Evidence of project contribution to significant unexpected positive change </w:t>
            </w:r>
          </w:p>
          <w:p w14:paraId="5E4D4BC8" w14:textId="77777777" w:rsidR="00EE2082" w:rsidRPr="00917210" w:rsidRDefault="00EE2082" w:rsidP="003B672F">
            <w:pPr>
              <w:pStyle w:val="Default"/>
              <w:numPr>
                <w:ilvl w:val="1"/>
                <w:numId w:val="44"/>
              </w:numPr>
              <w:spacing w:after="60"/>
              <w:ind w:hanging="222"/>
              <w:rPr>
                <w:rFonts w:asciiTheme="minorHAnsi" w:hAnsiTheme="minorHAnsi" w:cstheme="minorHAnsi"/>
                <w:sz w:val="18"/>
                <w:szCs w:val="18"/>
              </w:rPr>
            </w:pPr>
            <w:r w:rsidRPr="00917210">
              <w:rPr>
                <w:rFonts w:asciiTheme="minorHAnsi" w:hAnsiTheme="minorHAnsi" w:cstheme="minorHAnsi"/>
                <w:sz w:val="18"/>
                <w:szCs w:val="18"/>
              </w:rPr>
              <w:t>e.g. new initiatives; partnerships; policies; etc.</w:t>
            </w:r>
          </w:p>
          <w:p w14:paraId="566126B3" w14:textId="77777777" w:rsidR="00EE2082" w:rsidRPr="00917210" w:rsidRDefault="00EE2082" w:rsidP="003B672F">
            <w:pPr>
              <w:pStyle w:val="Default"/>
              <w:numPr>
                <w:ilvl w:val="0"/>
                <w:numId w:val="44"/>
              </w:numPr>
              <w:spacing w:after="120"/>
              <w:ind w:left="357" w:hanging="222"/>
              <w:rPr>
                <w:rFonts w:asciiTheme="minorHAnsi" w:hAnsiTheme="minorHAnsi" w:cstheme="minorHAnsi"/>
                <w:sz w:val="18"/>
                <w:szCs w:val="18"/>
              </w:rPr>
            </w:pPr>
            <w:r w:rsidRPr="00917210">
              <w:rPr>
                <w:rFonts w:asciiTheme="minorHAnsi" w:hAnsiTheme="minorHAnsi" w:cstheme="minorHAnsi"/>
                <w:sz w:val="18"/>
                <w:szCs w:val="18"/>
              </w:rPr>
              <w:t>Evidence of significant unexpected negative change as a result of the project</w:t>
            </w:r>
          </w:p>
          <w:p w14:paraId="68168235" w14:textId="77777777" w:rsidR="00EE2082" w:rsidRPr="00917210" w:rsidRDefault="00EE2082" w:rsidP="003B672F">
            <w:pPr>
              <w:pStyle w:val="Default"/>
              <w:numPr>
                <w:ilvl w:val="0"/>
                <w:numId w:val="44"/>
              </w:numPr>
              <w:spacing w:after="60"/>
              <w:ind w:left="357" w:hanging="222"/>
              <w:rPr>
                <w:rFonts w:asciiTheme="minorHAnsi" w:hAnsiTheme="minorHAnsi" w:cstheme="minorHAnsi"/>
                <w:sz w:val="18"/>
                <w:szCs w:val="18"/>
              </w:rPr>
            </w:pPr>
            <w:r w:rsidRPr="00917210">
              <w:rPr>
                <w:rFonts w:asciiTheme="minorHAnsi" w:hAnsiTheme="minorHAnsi" w:cstheme="minorHAnsi"/>
                <w:sz w:val="18"/>
                <w:szCs w:val="18"/>
              </w:rPr>
              <w:t xml:space="preserve">Key informant perceptions of significant unexpected positive/ negative change as a result of the project </w:t>
            </w:r>
          </w:p>
          <w:p w14:paraId="428E1BA6" w14:textId="77777777" w:rsidR="00EE2082" w:rsidRPr="00917210" w:rsidRDefault="00EE2082" w:rsidP="00EE2082">
            <w:pPr>
              <w:pStyle w:val="TableParagraph"/>
              <w:spacing w:before="35" w:line="235" w:lineRule="auto"/>
              <w:ind w:right="53" w:hanging="222"/>
              <w:rPr>
                <w:rFonts w:asciiTheme="minorHAnsi" w:hAnsiTheme="minorHAnsi" w:cstheme="minorHAnsi"/>
                <w:sz w:val="18"/>
                <w:szCs w:val="18"/>
              </w:rPr>
            </w:pPr>
          </w:p>
        </w:tc>
        <w:tc>
          <w:tcPr>
            <w:tcW w:w="3260" w:type="dxa"/>
            <w:shd w:val="clear" w:color="auto" w:fill="FFFFFF" w:themeFill="background1"/>
          </w:tcPr>
          <w:p w14:paraId="60C7747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ECBC5CE"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4A70621A"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5470595C"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7520F70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0CB2F61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48975261"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7040296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68815046"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43F17102"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208942EE" w14:textId="69F90A85"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CD958D6"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4931E24F"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19C3BF00"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058335BA" w14:textId="77777777" w:rsidR="00EE2082" w:rsidRDefault="00EE2082" w:rsidP="00EE2082">
            <w:pPr>
              <w:pStyle w:val="TableParagraph"/>
              <w:spacing w:after="60"/>
              <w:ind w:right="222"/>
              <w:rPr>
                <w:rFonts w:asciiTheme="minorHAnsi" w:hAnsiTheme="minorHAnsi" w:cstheme="minorHAnsi"/>
                <w:sz w:val="18"/>
                <w:szCs w:val="18"/>
              </w:rPr>
            </w:pPr>
          </w:p>
          <w:p w14:paraId="15B0C211" w14:textId="77777777" w:rsidR="00EE2082" w:rsidRDefault="00EE2082" w:rsidP="00EE2082">
            <w:pPr>
              <w:pStyle w:val="TableParagraph"/>
              <w:spacing w:after="60"/>
              <w:ind w:right="222"/>
              <w:rPr>
                <w:rFonts w:asciiTheme="minorHAnsi" w:hAnsiTheme="minorHAnsi" w:cstheme="minorHAnsi"/>
                <w:sz w:val="18"/>
                <w:szCs w:val="18"/>
              </w:rPr>
            </w:pPr>
          </w:p>
          <w:p w14:paraId="3911C112" w14:textId="77777777" w:rsidR="00EE2082" w:rsidRDefault="00EE2082" w:rsidP="00EE2082">
            <w:pPr>
              <w:pStyle w:val="TableParagraph"/>
              <w:spacing w:after="60"/>
              <w:ind w:right="222"/>
              <w:rPr>
                <w:rFonts w:asciiTheme="minorHAnsi" w:hAnsiTheme="minorHAnsi" w:cstheme="minorHAnsi"/>
                <w:sz w:val="18"/>
                <w:szCs w:val="18"/>
              </w:rPr>
            </w:pPr>
          </w:p>
          <w:p w14:paraId="7928A089" w14:textId="77777777" w:rsidR="00EE2082" w:rsidRPr="002B0F7E" w:rsidRDefault="00EE2082" w:rsidP="00EE2082">
            <w:pPr>
              <w:pStyle w:val="TableParagraph"/>
              <w:spacing w:before="35" w:line="235" w:lineRule="auto"/>
              <w:ind w:right="222" w:hanging="227"/>
              <w:rPr>
                <w:rFonts w:asciiTheme="minorHAnsi" w:hAnsiTheme="minorHAnsi" w:cstheme="minorHAnsi"/>
                <w:sz w:val="18"/>
                <w:szCs w:val="18"/>
              </w:rPr>
            </w:pPr>
          </w:p>
        </w:tc>
      </w:tr>
      <w:tr w:rsidR="00EE2082" w:rsidRPr="002B0F7E" w14:paraId="4DB9A29B" w14:textId="77777777" w:rsidTr="00BC0D59">
        <w:trPr>
          <w:cantSplit/>
          <w:trHeight w:val="1134"/>
          <w:jc w:val="center"/>
        </w:trPr>
        <w:tc>
          <w:tcPr>
            <w:tcW w:w="993" w:type="dxa"/>
            <w:shd w:val="clear" w:color="auto" w:fill="FFFFFF" w:themeFill="background1"/>
            <w:textDirection w:val="btLr"/>
            <w:vAlign w:val="center"/>
          </w:tcPr>
          <w:p w14:paraId="6BB857EF" w14:textId="11E13473" w:rsidR="00EE2082" w:rsidRPr="00917210" w:rsidRDefault="00EE2082" w:rsidP="00EE2082">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lastRenderedPageBreak/>
              <w:t>Sustainability</w:t>
            </w:r>
          </w:p>
        </w:tc>
        <w:tc>
          <w:tcPr>
            <w:tcW w:w="2136" w:type="dxa"/>
            <w:shd w:val="clear" w:color="auto" w:fill="FFFFFF" w:themeFill="background1"/>
          </w:tcPr>
          <w:p w14:paraId="1A125A92"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7.1 To what extent are the results of the project sustainable?</w:t>
            </w:r>
          </w:p>
        </w:tc>
        <w:tc>
          <w:tcPr>
            <w:tcW w:w="2268" w:type="dxa"/>
            <w:shd w:val="clear" w:color="auto" w:fill="FFFFFF" w:themeFill="background1"/>
          </w:tcPr>
          <w:p w14:paraId="4D29587F"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7.1.1 What evidence is there to show that the results of the project will continue beyond the funded project timeframe in the target project countries?</w:t>
            </w:r>
          </w:p>
          <w:p w14:paraId="4634E896"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p>
          <w:p w14:paraId="76CBA445"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p>
        </w:tc>
        <w:tc>
          <w:tcPr>
            <w:tcW w:w="2693" w:type="dxa"/>
            <w:shd w:val="clear" w:color="auto" w:fill="FFFFFF" w:themeFill="background1"/>
          </w:tcPr>
          <w:p w14:paraId="7D69ECD7" w14:textId="77777777" w:rsidR="00EE2082" w:rsidRPr="00917210" w:rsidRDefault="00EE2082" w:rsidP="003B672F">
            <w:pPr>
              <w:pStyle w:val="TableParagraph"/>
              <w:numPr>
                <w:ilvl w:val="0"/>
                <w:numId w:val="54"/>
              </w:numPr>
              <w:spacing w:before="120" w:after="0"/>
              <w:ind w:left="357"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63AFE505"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 xml:space="preserve">development and implementation of a results sustainability plan and/ or project exit strategy </w:t>
            </w:r>
          </w:p>
          <w:p w14:paraId="6DF1E6D3"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 xml:space="preserve">country-level strategies and action plans to develop and implement INFFs </w:t>
            </w:r>
          </w:p>
          <w:p w14:paraId="74313013"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collaboration between government entities and UN Agencies and/ or other development agencies on agreed next steps for INFF design and implementation/systematic results monitoring and reporting</w:t>
            </w:r>
          </w:p>
          <w:p w14:paraId="1E0E39D2" w14:textId="77777777" w:rsidR="00EE2082" w:rsidRPr="00917210" w:rsidRDefault="00EE2082" w:rsidP="003B672F">
            <w:pPr>
              <w:pStyle w:val="TableParagraph"/>
              <w:numPr>
                <w:ilvl w:val="1"/>
                <w:numId w:val="54"/>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incorporation of INFF project tools into national strategies/ policies/ action plans</w:t>
            </w:r>
          </w:p>
          <w:p w14:paraId="22CCFCF1" w14:textId="77777777" w:rsidR="00EE2082" w:rsidRPr="00917210" w:rsidRDefault="00EE2082" w:rsidP="003B672F">
            <w:pPr>
              <w:pStyle w:val="TableParagraph"/>
              <w:numPr>
                <w:ilvl w:val="1"/>
                <w:numId w:val="55"/>
              </w:numPr>
              <w:spacing w:before="120" w:after="0"/>
              <w:ind w:left="704" w:right="53" w:hanging="222"/>
              <w:rPr>
                <w:rFonts w:asciiTheme="minorHAnsi" w:hAnsiTheme="minorHAnsi" w:cstheme="minorHAnsi"/>
                <w:sz w:val="18"/>
                <w:szCs w:val="18"/>
              </w:rPr>
            </w:pPr>
            <w:r w:rsidRPr="00917210">
              <w:rPr>
                <w:rFonts w:asciiTheme="minorHAnsi" w:hAnsiTheme="minorHAnsi" w:cstheme="minorHAnsi"/>
                <w:sz w:val="18"/>
                <w:szCs w:val="18"/>
              </w:rPr>
              <w:t xml:space="preserve">enhanced capacity by project country governments to mobilise development financing </w:t>
            </w:r>
          </w:p>
          <w:p w14:paraId="2D106040" w14:textId="77777777" w:rsidR="00EE2082" w:rsidRPr="00917210" w:rsidRDefault="00EE2082" w:rsidP="003B672F">
            <w:pPr>
              <w:pStyle w:val="TableParagraph"/>
              <w:numPr>
                <w:ilvl w:val="0"/>
                <w:numId w:val="55"/>
              </w:numPr>
              <w:spacing w:before="120" w:after="0"/>
              <w:ind w:left="357"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measures taken at the country and/ or organisational level to sustain achieved project results</w:t>
            </w:r>
          </w:p>
        </w:tc>
        <w:tc>
          <w:tcPr>
            <w:tcW w:w="3260" w:type="dxa"/>
            <w:shd w:val="clear" w:color="auto" w:fill="FFFFFF" w:themeFill="background1"/>
          </w:tcPr>
          <w:p w14:paraId="684941A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5D688BA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EC2FD7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69823F4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44C2757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73211491"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571F03AC"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5BDCC73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FD32168"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21B574DD"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49511335" w14:textId="5C0EE143"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65AB8B0"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216C0903"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48A28019" w14:textId="77777777" w:rsidR="00EE2082"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1D1907EA" w14:textId="77777777" w:rsidR="00EE2082" w:rsidRDefault="00EE2082" w:rsidP="00EE2082">
            <w:pPr>
              <w:pStyle w:val="TableParagraph"/>
              <w:spacing w:after="60"/>
              <w:ind w:right="222"/>
              <w:rPr>
                <w:rFonts w:asciiTheme="minorHAnsi" w:hAnsiTheme="minorHAnsi" w:cstheme="minorHAnsi"/>
                <w:sz w:val="18"/>
                <w:szCs w:val="18"/>
              </w:rPr>
            </w:pPr>
          </w:p>
          <w:p w14:paraId="645164C3" w14:textId="77777777" w:rsidR="00EE2082" w:rsidRDefault="00EE2082" w:rsidP="00EE2082">
            <w:pPr>
              <w:pStyle w:val="TableParagraph"/>
              <w:spacing w:after="60"/>
              <w:ind w:right="222"/>
              <w:rPr>
                <w:rFonts w:asciiTheme="minorHAnsi" w:hAnsiTheme="minorHAnsi" w:cstheme="minorHAnsi"/>
                <w:sz w:val="18"/>
                <w:szCs w:val="18"/>
              </w:rPr>
            </w:pPr>
          </w:p>
          <w:p w14:paraId="219374FE" w14:textId="77777777" w:rsidR="00EE2082" w:rsidRDefault="00EE2082" w:rsidP="00EE2082">
            <w:pPr>
              <w:pStyle w:val="TableParagraph"/>
              <w:spacing w:after="60"/>
              <w:ind w:right="222"/>
              <w:rPr>
                <w:rFonts w:asciiTheme="minorHAnsi" w:hAnsiTheme="minorHAnsi" w:cstheme="minorHAnsi"/>
                <w:sz w:val="18"/>
                <w:szCs w:val="18"/>
              </w:rPr>
            </w:pPr>
          </w:p>
          <w:p w14:paraId="30FBFA2F" w14:textId="77777777" w:rsidR="00EE2082" w:rsidRPr="002B0F7E" w:rsidRDefault="00EE2082" w:rsidP="00EE2082">
            <w:pPr>
              <w:pStyle w:val="TableParagraph"/>
              <w:spacing w:after="60"/>
              <w:ind w:right="222"/>
              <w:rPr>
                <w:rFonts w:asciiTheme="minorHAnsi" w:hAnsiTheme="minorHAnsi" w:cstheme="minorHAnsi"/>
                <w:sz w:val="18"/>
                <w:szCs w:val="18"/>
              </w:rPr>
            </w:pPr>
          </w:p>
        </w:tc>
      </w:tr>
      <w:tr w:rsidR="00EE2082" w:rsidRPr="004D2C44" w14:paraId="09BA9F7F" w14:textId="77777777" w:rsidTr="00BC0D59">
        <w:trPr>
          <w:cantSplit/>
          <w:trHeight w:val="1134"/>
          <w:jc w:val="center"/>
        </w:trPr>
        <w:tc>
          <w:tcPr>
            <w:tcW w:w="993" w:type="dxa"/>
            <w:shd w:val="clear" w:color="auto" w:fill="FFFFFF" w:themeFill="background1"/>
            <w:textDirection w:val="btLr"/>
            <w:vAlign w:val="center"/>
          </w:tcPr>
          <w:p w14:paraId="65A003BA" w14:textId="3B40FC2F" w:rsidR="00EE2082" w:rsidRPr="00917210" w:rsidRDefault="00372D37" w:rsidP="00EE2082">
            <w:pPr>
              <w:pStyle w:val="TableParagraph"/>
              <w:spacing w:before="32"/>
              <w:ind w:left="79" w:right="113"/>
              <w:jc w:val="center"/>
              <w:rPr>
                <w:rFonts w:asciiTheme="minorHAnsi" w:hAnsiTheme="minorHAnsi" w:cstheme="minorHAnsi"/>
                <w:b/>
                <w:bCs/>
                <w:spacing w:val="-2"/>
                <w:sz w:val="18"/>
                <w:szCs w:val="18"/>
              </w:rPr>
            </w:pPr>
            <w:r w:rsidRPr="00917210">
              <w:rPr>
                <w:rFonts w:asciiTheme="minorHAnsi" w:hAnsiTheme="minorHAnsi" w:cstheme="minorHAnsi"/>
                <w:b/>
                <w:bCs/>
                <w:spacing w:val="-2"/>
                <w:sz w:val="18"/>
                <w:szCs w:val="18"/>
              </w:rPr>
              <w:lastRenderedPageBreak/>
              <w:t>Sustainability</w:t>
            </w:r>
          </w:p>
        </w:tc>
        <w:tc>
          <w:tcPr>
            <w:tcW w:w="2136" w:type="dxa"/>
            <w:shd w:val="clear" w:color="auto" w:fill="FFFFFF" w:themeFill="background1"/>
          </w:tcPr>
          <w:p w14:paraId="46BBD43B"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p>
        </w:tc>
        <w:tc>
          <w:tcPr>
            <w:tcW w:w="2268" w:type="dxa"/>
            <w:shd w:val="clear" w:color="auto" w:fill="FFFFFF" w:themeFill="background1"/>
          </w:tcPr>
          <w:p w14:paraId="2EC9B739"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 xml:space="preserve">7.1.2 What evidence is there of the institutionalisation of project tools by other (non-project) countries? </w:t>
            </w:r>
          </w:p>
          <w:p w14:paraId="0B86CCBE"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p>
          <w:p w14:paraId="4D694FFE"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p>
        </w:tc>
        <w:tc>
          <w:tcPr>
            <w:tcW w:w="2693" w:type="dxa"/>
            <w:shd w:val="clear" w:color="auto" w:fill="FFFFFF" w:themeFill="background1"/>
          </w:tcPr>
          <w:p w14:paraId="5C2E9B3D" w14:textId="77777777" w:rsidR="00EE2082" w:rsidRPr="00917210" w:rsidRDefault="00EE2082" w:rsidP="003B672F">
            <w:pPr>
              <w:pStyle w:val="TableParagraph"/>
              <w:numPr>
                <w:ilvl w:val="0"/>
                <w:numId w:val="54"/>
              </w:numPr>
              <w:spacing w:before="120" w:after="0"/>
              <w:ind w:right="53" w:hanging="222"/>
              <w:rPr>
                <w:rFonts w:asciiTheme="minorHAnsi" w:hAnsiTheme="minorHAnsi" w:cstheme="minorHAnsi"/>
                <w:sz w:val="18"/>
                <w:szCs w:val="18"/>
              </w:rPr>
            </w:pPr>
            <w:r w:rsidRPr="00917210">
              <w:rPr>
                <w:rFonts w:asciiTheme="minorHAnsi" w:hAnsiTheme="minorHAnsi" w:cstheme="minorHAnsi"/>
                <w:sz w:val="18"/>
                <w:szCs w:val="18"/>
              </w:rPr>
              <w:t>Evidence of:</w:t>
            </w:r>
          </w:p>
          <w:p w14:paraId="03065672" w14:textId="77777777" w:rsidR="00EE2082" w:rsidRPr="00917210" w:rsidRDefault="00EE2082" w:rsidP="003B672F">
            <w:pPr>
              <w:pStyle w:val="Default"/>
              <w:numPr>
                <w:ilvl w:val="1"/>
                <w:numId w:val="54"/>
              </w:numPr>
              <w:spacing w:before="120"/>
              <w:ind w:left="697" w:hanging="222"/>
              <w:rPr>
                <w:rFonts w:asciiTheme="minorHAnsi" w:hAnsiTheme="minorHAnsi" w:cstheme="minorHAnsi"/>
                <w:sz w:val="18"/>
                <w:szCs w:val="18"/>
              </w:rPr>
            </w:pPr>
            <w:r w:rsidRPr="00917210">
              <w:rPr>
                <w:rFonts w:asciiTheme="minorHAnsi" w:hAnsiTheme="minorHAnsi" w:cstheme="minorHAnsi"/>
                <w:sz w:val="18"/>
                <w:szCs w:val="18"/>
              </w:rPr>
              <w:t xml:space="preserve">incorporation of project tools into national strategies/ policies/ action planning in non-project countries </w:t>
            </w:r>
          </w:p>
          <w:p w14:paraId="252EFA61" w14:textId="77777777" w:rsidR="00EE2082" w:rsidRPr="00917210" w:rsidRDefault="00EE2082" w:rsidP="003B672F">
            <w:pPr>
              <w:pStyle w:val="TableParagraph"/>
              <w:numPr>
                <w:ilvl w:val="0"/>
                <w:numId w:val="54"/>
              </w:numPr>
              <w:spacing w:before="120" w:after="0"/>
              <w:ind w:right="53" w:hanging="222"/>
              <w:rPr>
                <w:rFonts w:asciiTheme="minorHAnsi" w:hAnsiTheme="minorHAnsi" w:cstheme="minorHAnsi"/>
                <w:sz w:val="18"/>
                <w:szCs w:val="18"/>
              </w:rPr>
            </w:pPr>
            <w:r w:rsidRPr="00917210">
              <w:rPr>
                <w:rFonts w:asciiTheme="minorHAnsi" w:hAnsiTheme="minorHAnsi" w:cstheme="minorHAnsi"/>
                <w:sz w:val="18"/>
                <w:szCs w:val="18"/>
              </w:rPr>
              <w:t>Key informant perceptions of the adoption of project tools by non-project countries</w:t>
            </w:r>
          </w:p>
        </w:tc>
        <w:tc>
          <w:tcPr>
            <w:tcW w:w="3260" w:type="dxa"/>
            <w:shd w:val="clear" w:color="auto" w:fill="FFFFFF" w:themeFill="background1"/>
          </w:tcPr>
          <w:p w14:paraId="1648201A"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document</w:t>
            </w:r>
          </w:p>
          <w:p w14:paraId="68044D26"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Progress reports</w:t>
            </w:r>
          </w:p>
          <w:p w14:paraId="0810A47E"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Technical guidance notes</w:t>
            </w:r>
          </w:p>
          <w:p w14:paraId="018328A7"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Workshop proceedings (concept notes; presentations; summary reports)</w:t>
            </w:r>
          </w:p>
          <w:p w14:paraId="1FBB4EF5"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National strategies/ policy documents/ action plans</w:t>
            </w:r>
          </w:p>
          <w:p w14:paraId="6FD0E0F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Inter-agency memoranda of understanding</w:t>
            </w:r>
          </w:p>
          <w:p w14:paraId="3B5493BB"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cstheme="minorHAnsi"/>
                <w:sz w:val="18"/>
                <w:szCs w:val="18"/>
              </w:rPr>
              <w:t>Project compendium</w:t>
            </w:r>
          </w:p>
          <w:p w14:paraId="36B43D2F" w14:textId="77777777" w:rsidR="00EE2082" w:rsidRPr="00917210" w:rsidRDefault="00EE2082" w:rsidP="003B672F">
            <w:pPr>
              <w:pStyle w:val="ListParagraph"/>
              <w:widowControl w:val="0"/>
              <w:numPr>
                <w:ilvl w:val="0"/>
                <w:numId w:val="42"/>
              </w:numPr>
              <w:autoSpaceDE w:val="0"/>
              <w:autoSpaceDN w:val="0"/>
              <w:spacing w:after="60" w:line="240" w:lineRule="auto"/>
              <w:ind w:left="357" w:hanging="221"/>
              <w:contextualSpacing w:val="0"/>
              <w:jc w:val="both"/>
              <w:rPr>
                <w:rFonts w:cstheme="minorHAnsi"/>
                <w:sz w:val="18"/>
                <w:szCs w:val="18"/>
              </w:rPr>
            </w:pPr>
            <w:r w:rsidRPr="00917210">
              <w:rPr>
                <w:rFonts w:eastAsia="Times New Roman" w:cstheme="minorHAnsi"/>
                <w:sz w:val="18"/>
                <w:szCs w:val="18"/>
              </w:rPr>
              <w:t>Consultations with project stakeholders from:</w:t>
            </w:r>
          </w:p>
          <w:p w14:paraId="3B9BFC28"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Target project countries</w:t>
            </w:r>
          </w:p>
          <w:p w14:paraId="6A255A54"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Executing entity</w:t>
            </w:r>
          </w:p>
          <w:p w14:paraId="36073384" w14:textId="7A8C98F1" w:rsidR="00EE2082" w:rsidRPr="00917210" w:rsidRDefault="00DE21FA"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Pr>
                <w:rFonts w:cstheme="minorHAnsi"/>
                <w:sz w:val="18"/>
                <w:szCs w:val="18"/>
              </w:rPr>
              <w:t>Executing entities</w:t>
            </w:r>
          </w:p>
          <w:p w14:paraId="4D50111D" w14:textId="77777777" w:rsidR="00EE2082" w:rsidRPr="00917210" w:rsidRDefault="00EE2082" w:rsidP="003B672F">
            <w:pPr>
              <w:pStyle w:val="ListParagraph"/>
              <w:widowControl w:val="0"/>
              <w:numPr>
                <w:ilvl w:val="1"/>
                <w:numId w:val="43"/>
              </w:numPr>
              <w:autoSpaceDE w:val="0"/>
              <w:autoSpaceDN w:val="0"/>
              <w:spacing w:after="60" w:line="240" w:lineRule="auto"/>
              <w:ind w:left="696" w:hanging="221"/>
              <w:contextualSpacing w:val="0"/>
              <w:jc w:val="both"/>
              <w:rPr>
                <w:rFonts w:cstheme="minorHAnsi"/>
                <w:sz w:val="18"/>
                <w:szCs w:val="18"/>
              </w:rPr>
            </w:pPr>
            <w:r w:rsidRPr="00917210">
              <w:rPr>
                <w:rFonts w:cstheme="minorHAnsi"/>
                <w:sz w:val="18"/>
                <w:szCs w:val="18"/>
              </w:rPr>
              <w:t>Co-operating entities</w:t>
            </w:r>
          </w:p>
        </w:tc>
        <w:tc>
          <w:tcPr>
            <w:tcW w:w="1843" w:type="dxa"/>
            <w:shd w:val="clear" w:color="auto" w:fill="FFFFFF" w:themeFill="background1"/>
          </w:tcPr>
          <w:p w14:paraId="13AD6E4A"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7F6CBDCF" w14:textId="77777777" w:rsidR="00EE2082" w:rsidRPr="004D2C44"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tc>
      </w:tr>
      <w:tr w:rsidR="00EE2082" w:rsidRPr="002B0F7E" w14:paraId="20A3B25D" w14:textId="77777777" w:rsidTr="00BC0D59">
        <w:trPr>
          <w:trHeight w:val="826"/>
          <w:jc w:val="center"/>
        </w:trPr>
        <w:tc>
          <w:tcPr>
            <w:tcW w:w="993" w:type="dxa"/>
            <w:vMerge w:val="restart"/>
            <w:shd w:val="clear" w:color="auto" w:fill="FFFFFF" w:themeFill="background1"/>
            <w:textDirection w:val="btLr"/>
            <w:vAlign w:val="center"/>
          </w:tcPr>
          <w:p w14:paraId="578570D3" w14:textId="2EFA6985" w:rsidR="00EE2082" w:rsidRPr="00917210" w:rsidRDefault="00EE2082" w:rsidP="00EE2082">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t>Lessons learned</w:t>
            </w:r>
          </w:p>
        </w:tc>
        <w:tc>
          <w:tcPr>
            <w:tcW w:w="2136" w:type="dxa"/>
            <w:vMerge w:val="restart"/>
            <w:shd w:val="clear" w:color="auto" w:fill="FFFFFF" w:themeFill="background1"/>
          </w:tcPr>
          <w:p w14:paraId="35463681"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8.1 What are the lessons learned from the project?</w:t>
            </w:r>
          </w:p>
        </w:tc>
        <w:tc>
          <w:tcPr>
            <w:tcW w:w="2268" w:type="dxa"/>
            <w:shd w:val="clear" w:color="auto" w:fill="FFFFFF" w:themeFill="background1"/>
          </w:tcPr>
          <w:p w14:paraId="61A5C342"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8.1.1 What are the elements that worked well and contributed towards good practices for replication in future similar initiatives?</w:t>
            </w:r>
          </w:p>
        </w:tc>
        <w:tc>
          <w:tcPr>
            <w:tcW w:w="2693" w:type="dxa"/>
            <w:shd w:val="clear" w:color="auto" w:fill="FFFFFF" w:themeFill="background1"/>
          </w:tcPr>
          <w:p w14:paraId="2F40B75C" w14:textId="77777777" w:rsidR="00EE2082" w:rsidRPr="00917210" w:rsidRDefault="00EE2082" w:rsidP="003B672F">
            <w:pPr>
              <w:pStyle w:val="TableParagraph"/>
              <w:numPr>
                <w:ilvl w:val="0"/>
                <w:numId w:val="52"/>
              </w:numPr>
              <w:spacing w:before="120" w:after="0"/>
              <w:ind w:right="53" w:hanging="222"/>
              <w:rPr>
                <w:rFonts w:asciiTheme="minorHAnsi" w:hAnsiTheme="minorHAnsi" w:cstheme="minorHAnsi"/>
                <w:sz w:val="18"/>
                <w:szCs w:val="18"/>
              </w:rPr>
            </w:pPr>
            <w:r w:rsidRPr="00917210">
              <w:rPr>
                <w:rFonts w:asciiTheme="minorHAnsi" w:hAnsiTheme="minorHAnsi" w:cstheme="minorHAnsi"/>
                <w:sz w:val="18"/>
                <w:szCs w:val="18"/>
              </w:rPr>
              <w:t>Emergent lessons learned from results synthesis</w:t>
            </w:r>
          </w:p>
        </w:tc>
        <w:tc>
          <w:tcPr>
            <w:tcW w:w="3260" w:type="dxa"/>
            <w:shd w:val="clear" w:color="auto" w:fill="FFFFFF" w:themeFill="background1"/>
          </w:tcPr>
          <w:p w14:paraId="60C70BFA" w14:textId="77777777" w:rsidR="00EE2082" w:rsidRPr="00917210" w:rsidRDefault="00EE2082" w:rsidP="003B672F">
            <w:pPr>
              <w:pStyle w:val="TableParagraph"/>
              <w:numPr>
                <w:ilvl w:val="0"/>
                <w:numId w:val="50"/>
              </w:numPr>
              <w:spacing w:before="120" w:after="0"/>
              <w:ind w:right="269" w:hanging="221"/>
              <w:rPr>
                <w:rFonts w:asciiTheme="minorHAnsi" w:hAnsiTheme="minorHAnsi" w:cstheme="minorHAnsi"/>
                <w:sz w:val="18"/>
                <w:szCs w:val="18"/>
              </w:rPr>
            </w:pPr>
            <w:r w:rsidRPr="00917210">
              <w:rPr>
                <w:rFonts w:asciiTheme="minorHAnsi" w:hAnsiTheme="minorHAnsi" w:cstheme="minorHAnsi"/>
                <w:sz w:val="18"/>
                <w:szCs w:val="18"/>
              </w:rPr>
              <w:t>Main evaluation findings and lessons learned</w:t>
            </w:r>
          </w:p>
        </w:tc>
        <w:tc>
          <w:tcPr>
            <w:tcW w:w="1843" w:type="dxa"/>
            <w:shd w:val="clear" w:color="auto" w:fill="FFFFFF" w:themeFill="background1"/>
          </w:tcPr>
          <w:p w14:paraId="4F236191"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1B62D929"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3A31B96F" w14:textId="77777777" w:rsidR="00EE2082" w:rsidRPr="002B0F7E" w:rsidRDefault="00EE2082" w:rsidP="00EE2082">
            <w:pPr>
              <w:pStyle w:val="TableParagraph"/>
              <w:spacing w:line="235" w:lineRule="auto"/>
              <w:ind w:right="222" w:hanging="227"/>
              <w:rPr>
                <w:rFonts w:asciiTheme="minorHAnsi" w:hAnsiTheme="minorHAnsi" w:cstheme="minorHAnsi"/>
                <w:sz w:val="18"/>
                <w:szCs w:val="18"/>
              </w:rPr>
            </w:pPr>
          </w:p>
        </w:tc>
      </w:tr>
      <w:tr w:rsidR="00EE2082" w:rsidRPr="0003162A" w14:paraId="45E0FC9B" w14:textId="77777777" w:rsidTr="00BC0D59">
        <w:trPr>
          <w:trHeight w:val="1017"/>
          <w:jc w:val="center"/>
        </w:trPr>
        <w:tc>
          <w:tcPr>
            <w:tcW w:w="993" w:type="dxa"/>
            <w:vMerge/>
            <w:shd w:val="clear" w:color="auto" w:fill="FFFFFF" w:themeFill="background1"/>
            <w:textDirection w:val="btLr"/>
            <w:vAlign w:val="center"/>
          </w:tcPr>
          <w:p w14:paraId="42FE67DC" w14:textId="77777777" w:rsidR="00EE2082" w:rsidRPr="00917210" w:rsidRDefault="00EE2082" w:rsidP="00EE2082">
            <w:pPr>
              <w:ind w:left="113" w:right="113"/>
              <w:jc w:val="center"/>
              <w:rPr>
                <w:rFonts w:cstheme="minorHAnsi"/>
                <w:sz w:val="18"/>
                <w:szCs w:val="18"/>
              </w:rPr>
            </w:pPr>
          </w:p>
        </w:tc>
        <w:tc>
          <w:tcPr>
            <w:tcW w:w="2136" w:type="dxa"/>
            <w:vMerge/>
            <w:shd w:val="clear" w:color="auto" w:fill="FFFFFF" w:themeFill="background1"/>
          </w:tcPr>
          <w:p w14:paraId="34E3471A" w14:textId="77777777" w:rsidR="00EE2082" w:rsidRPr="00917210" w:rsidRDefault="00EE2082" w:rsidP="00EE2082">
            <w:pPr>
              <w:rPr>
                <w:rFonts w:cstheme="minorHAnsi"/>
                <w:sz w:val="18"/>
                <w:szCs w:val="18"/>
              </w:rPr>
            </w:pPr>
          </w:p>
        </w:tc>
        <w:tc>
          <w:tcPr>
            <w:tcW w:w="2268" w:type="dxa"/>
            <w:shd w:val="clear" w:color="auto" w:fill="FFFFFF" w:themeFill="background1"/>
          </w:tcPr>
          <w:p w14:paraId="0E2B84AB" w14:textId="77777777" w:rsidR="00EE2082" w:rsidRPr="00917210" w:rsidRDefault="00EE2082" w:rsidP="00EE2082">
            <w:pPr>
              <w:pStyle w:val="Default"/>
              <w:rPr>
                <w:rFonts w:asciiTheme="minorHAnsi" w:hAnsiTheme="minorHAnsi" w:cstheme="minorHAnsi"/>
                <w:color w:val="auto"/>
                <w:sz w:val="18"/>
                <w:szCs w:val="18"/>
              </w:rPr>
            </w:pPr>
            <w:r w:rsidRPr="00917210">
              <w:rPr>
                <w:rFonts w:asciiTheme="minorHAnsi" w:hAnsiTheme="minorHAnsi" w:cstheme="minorHAnsi"/>
                <w:color w:val="auto"/>
                <w:sz w:val="18"/>
                <w:szCs w:val="18"/>
              </w:rPr>
              <w:t>8.1.2 Which areas of the project require strengthening in future similar initiatives?</w:t>
            </w:r>
          </w:p>
        </w:tc>
        <w:tc>
          <w:tcPr>
            <w:tcW w:w="2693" w:type="dxa"/>
            <w:shd w:val="clear" w:color="auto" w:fill="FFFFFF" w:themeFill="background1"/>
          </w:tcPr>
          <w:p w14:paraId="368D4DE4" w14:textId="77777777" w:rsidR="00EE2082" w:rsidRPr="00917210" w:rsidRDefault="00EE2082" w:rsidP="003B672F">
            <w:pPr>
              <w:pStyle w:val="TableParagraph"/>
              <w:numPr>
                <w:ilvl w:val="0"/>
                <w:numId w:val="53"/>
              </w:numPr>
              <w:spacing w:before="120" w:after="0"/>
              <w:ind w:right="278" w:hanging="222"/>
              <w:rPr>
                <w:rFonts w:asciiTheme="minorHAnsi" w:hAnsiTheme="minorHAnsi" w:cstheme="minorHAnsi"/>
                <w:sz w:val="18"/>
                <w:szCs w:val="18"/>
              </w:rPr>
            </w:pPr>
            <w:r w:rsidRPr="00917210">
              <w:rPr>
                <w:rFonts w:asciiTheme="minorHAnsi" w:hAnsiTheme="minorHAnsi" w:cstheme="minorHAnsi"/>
                <w:sz w:val="18"/>
                <w:szCs w:val="18"/>
              </w:rPr>
              <w:t>Emergent lessons learned from results synthesis</w:t>
            </w:r>
          </w:p>
        </w:tc>
        <w:tc>
          <w:tcPr>
            <w:tcW w:w="3260" w:type="dxa"/>
            <w:shd w:val="clear" w:color="auto" w:fill="FFFFFF" w:themeFill="background1"/>
          </w:tcPr>
          <w:p w14:paraId="65F1FF63" w14:textId="77777777" w:rsidR="00EE2082" w:rsidRPr="00917210" w:rsidRDefault="00EE2082" w:rsidP="003B672F">
            <w:pPr>
              <w:pStyle w:val="TableParagraph"/>
              <w:numPr>
                <w:ilvl w:val="0"/>
                <w:numId w:val="51"/>
              </w:numPr>
              <w:spacing w:before="120" w:after="0"/>
              <w:ind w:right="269" w:hanging="221"/>
              <w:rPr>
                <w:rFonts w:asciiTheme="minorHAnsi" w:hAnsiTheme="minorHAnsi" w:cstheme="minorHAnsi"/>
                <w:sz w:val="18"/>
                <w:szCs w:val="18"/>
              </w:rPr>
            </w:pPr>
            <w:r w:rsidRPr="00917210">
              <w:rPr>
                <w:rFonts w:asciiTheme="minorHAnsi" w:hAnsiTheme="minorHAnsi" w:cstheme="minorHAnsi"/>
                <w:sz w:val="18"/>
                <w:szCs w:val="18"/>
              </w:rPr>
              <w:t>Main evaluation findings and lessons learned</w:t>
            </w:r>
          </w:p>
        </w:tc>
        <w:tc>
          <w:tcPr>
            <w:tcW w:w="1843" w:type="dxa"/>
            <w:shd w:val="clear" w:color="auto" w:fill="FFFFFF" w:themeFill="background1"/>
          </w:tcPr>
          <w:p w14:paraId="0FDF77D2" w14:textId="77777777" w:rsidR="00EE2082" w:rsidRPr="002B0F7E" w:rsidRDefault="00EE2082" w:rsidP="003B672F">
            <w:pPr>
              <w:pStyle w:val="TableParagraph"/>
              <w:numPr>
                <w:ilvl w:val="0"/>
                <w:numId w:val="51"/>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0B047AA0" w14:textId="77777777" w:rsidR="00EE2082" w:rsidRPr="0003162A" w:rsidRDefault="00EE2082" w:rsidP="003B672F">
            <w:pPr>
              <w:pStyle w:val="TableParagraph"/>
              <w:numPr>
                <w:ilvl w:val="0"/>
                <w:numId w:val="51"/>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tc>
      </w:tr>
      <w:tr w:rsidR="00EE2082" w:rsidRPr="002B0F7E" w14:paraId="43849FDB" w14:textId="77777777" w:rsidTr="00BC0D59">
        <w:trPr>
          <w:cantSplit/>
          <w:trHeight w:val="1134"/>
          <w:jc w:val="center"/>
        </w:trPr>
        <w:tc>
          <w:tcPr>
            <w:tcW w:w="993" w:type="dxa"/>
            <w:shd w:val="clear" w:color="auto" w:fill="FFFFFF" w:themeFill="background1"/>
            <w:textDirection w:val="btLr"/>
            <w:vAlign w:val="center"/>
          </w:tcPr>
          <w:p w14:paraId="63478DCA" w14:textId="005C15FE" w:rsidR="00EE2082" w:rsidRPr="00917210" w:rsidRDefault="00EE2082" w:rsidP="00EE2082">
            <w:pPr>
              <w:pStyle w:val="TableParagraph"/>
              <w:spacing w:before="32"/>
              <w:ind w:left="79" w:right="113"/>
              <w:jc w:val="center"/>
              <w:rPr>
                <w:rFonts w:asciiTheme="minorHAnsi" w:hAnsiTheme="minorHAnsi" w:cstheme="minorHAnsi"/>
                <w:b/>
                <w:bCs/>
                <w:sz w:val="18"/>
                <w:szCs w:val="18"/>
              </w:rPr>
            </w:pPr>
            <w:r w:rsidRPr="00917210">
              <w:rPr>
                <w:rFonts w:asciiTheme="minorHAnsi" w:hAnsiTheme="minorHAnsi" w:cstheme="minorHAnsi"/>
                <w:b/>
                <w:bCs/>
                <w:spacing w:val="-2"/>
                <w:sz w:val="18"/>
                <w:szCs w:val="18"/>
              </w:rPr>
              <w:lastRenderedPageBreak/>
              <w:t>Recommendations</w:t>
            </w:r>
          </w:p>
        </w:tc>
        <w:tc>
          <w:tcPr>
            <w:tcW w:w="2136" w:type="dxa"/>
            <w:shd w:val="clear" w:color="auto" w:fill="FFFFFF" w:themeFill="background1"/>
          </w:tcPr>
          <w:p w14:paraId="4B176329" w14:textId="77777777" w:rsidR="00EE2082" w:rsidRPr="00917210" w:rsidRDefault="00EE2082" w:rsidP="00EE2082">
            <w:pPr>
              <w:pStyle w:val="TableParagraph"/>
              <w:spacing w:before="35" w:line="235" w:lineRule="auto"/>
              <w:ind w:left="79"/>
              <w:rPr>
                <w:rFonts w:asciiTheme="minorHAnsi" w:hAnsiTheme="minorHAnsi" w:cstheme="minorHAnsi"/>
                <w:sz w:val="18"/>
                <w:szCs w:val="18"/>
              </w:rPr>
            </w:pPr>
            <w:r w:rsidRPr="00917210">
              <w:rPr>
                <w:rFonts w:asciiTheme="minorHAnsi" w:hAnsiTheme="minorHAnsi" w:cstheme="minorHAnsi"/>
                <w:sz w:val="18"/>
                <w:szCs w:val="18"/>
              </w:rPr>
              <w:t>9.1 What are the main recommendations that have emerged from the project?</w:t>
            </w:r>
          </w:p>
        </w:tc>
        <w:tc>
          <w:tcPr>
            <w:tcW w:w="2268" w:type="dxa"/>
            <w:shd w:val="clear" w:color="auto" w:fill="FFFFFF" w:themeFill="background1"/>
          </w:tcPr>
          <w:p w14:paraId="5B44017F" w14:textId="77777777" w:rsidR="00EE2082" w:rsidRPr="00917210" w:rsidRDefault="00EE2082" w:rsidP="00EE2082">
            <w:pPr>
              <w:pStyle w:val="TableParagraph"/>
              <w:spacing w:before="35" w:line="235" w:lineRule="auto"/>
              <w:ind w:left="79" w:right="144"/>
              <w:rPr>
                <w:rFonts w:asciiTheme="minorHAnsi" w:hAnsiTheme="minorHAnsi" w:cstheme="minorHAnsi"/>
                <w:sz w:val="18"/>
                <w:szCs w:val="18"/>
              </w:rPr>
            </w:pPr>
            <w:r w:rsidRPr="00917210">
              <w:rPr>
                <w:rFonts w:asciiTheme="minorHAnsi" w:hAnsiTheme="minorHAnsi" w:cstheme="minorHAnsi"/>
                <w:sz w:val="18"/>
                <w:szCs w:val="18"/>
              </w:rPr>
              <w:t>9.1.1 How can the project design and/ or implementation activities be strengthened in future similar interventions to support the achievement of expected results?</w:t>
            </w:r>
          </w:p>
        </w:tc>
        <w:tc>
          <w:tcPr>
            <w:tcW w:w="2693" w:type="dxa"/>
            <w:shd w:val="clear" w:color="auto" w:fill="FFFFFF" w:themeFill="background1"/>
          </w:tcPr>
          <w:p w14:paraId="5AFA4AAA" w14:textId="77777777" w:rsidR="00EE2082" w:rsidRPr="00917210" w:rsidRDefault="00EE2082" w:rsidP="003B672F">
            <w:pPr>
              <w:pStyle w:val="TableParagraph"/>
              <w:numPr>
                <w:ilvl w:val="0"/>
                <w:numId w:val="49"/>
              </w:numPr>
              <w:spacing w:before="35" w:line="235" w:lineRule="auto"/>
              <w:ind w:right="53" w:hanging="222"/>
              <w:rPr>
                <w:rFonts w:asciiTheme="minorHAnsi" w:hAnsiTheme="minorHAnsi" w:cstheme="minorHAnsi"/>
                <w:sz w:val="18"/>
                <w:szCs w:val="18"/>
              </w:rPr>
            </w:pPr>
            <w:r w:rsidRPr="00917210">
              <w:rPr>
                <w:rFonts w:asciiTheme="minorHAnsi" w:hAnsiTheme="minorHAnsi" w:cstheme="minorHAnsi"/>
                <w:sz w:val="18"/>
                <w:szCs w:val="18"/>
              </w:rPr>
              <w:t>Emergent recommendations from results synthesis</w:t>
            </w:r>
          </w:p>
        </w:tc>
        <w:tc>
          <w:tcPr>
            <w:tcW w:w="3260" w:type="dxa"/>
            <w:shd w:val="clear" w:color="auto" w:fill="FFFFFF" w:themeFill="background1"/>
          </w:tcPr>
          <w:p w14:paraId="4F0F3A51" w14:textId="77777777" w:rsidR="00EE2082" w:rsidRPr="00917210" w:rsidRDefault="00EE2082" w:rsidP="003B672F">
            <w:pPr>
              <w:pStyle w:val="TableParagraph"/>
              <w:numPr>
                <w:ilvl w:val="0"/>
                <w:numId w:val="48"/>
              </w:numPr>
              <w:spacing w:before="120" w:after="0"/>
              <w:ind w:right="269" w:hanging="221"/>
              <w:rPr>
                <w:rFonts w:asciiTheme="minorHAnsi" w:hAnsiTheme="minorHAnsi" w:cstheme="minorHAnsi"/>
                <w:sz w:val="18"/>
                <w:szCs w:val="18"/>
              </w:rPr>
            </w:pPr>
            <w:r w:rsidRPr="00917210">
              <w:rPr>
                <w:rFonts w:asciiTheme="minorHAnsi" w:hAnsiTheme="minorHAnsi" w:cstheme="minorHAnsi"/>
                <w:sz w:val="18"/>
                <w:szCs w:val="18"/>
              </w:rPr>
              <w:t>Main evaluation findings and lessons learned</w:t>
            </w:r>
          </w:p>
        </w:tc>
        <w:tc>
          <w:tcPr>
            <w:tcW w:w="1843" w:type="dxa"/>
            <w:shd w:val="clear" w:color="auto" w:fill="FFFFFF" w:themeFill="background1"/>
          </w:tcPr>
          <w:p w14:paraId="163D181C"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Document review</w:t>
            </w:r>
            <w:r>
              <w:rPr>
                <w:rFonts w:asciiTheme="minorHAnsi" w:hAnsiTheme="minorHAnsi" w:cstheme="minorHAnsi"/>
                <w:sz w:val="18"/>
                <w:szCs w:val="18"/>
              </w:rPr>
              <w:t>, including FfD study report</w:t>
            </w:r>
          </w:p>
          <w:p w14:paraId="40D2A61D" w14:textId="77777777" w:rsidR="00EE2082" w:rsidRPr="002B0F7E" w:rsidRDefault="00EE2082" w:rsidP="003B672F">
            <w:pPr>
              <w:pStyle w:val="TableParagraph"/>
              <w:numPr>
                <w:ilvl w:val="0"/>
                <w:numId w:val="42"/>
              </w:numPr>
              <w:spacing w:after="60"/>
              <w:ind w:right="222" w:hanging="227"/>
              <w:rPr>
                <w:rFonts w:asciiTheme="minorHAnsi" w:hAnsiTheme="minorHAnsi" w:cstheme="minorHAnsi"/>
                <w:sz w:val="18"/>
                <w:szCs w:val="18"/>
              </w:rPr>
            </w:pPr>
            <w:r w:rsidRPr="002B0F7E">
              <w:rPr>
                <w:rFonts w:asciiTheme="minorHAnsi" w:hAnsiTheme="minorHAnsi" w:cstheme="minorHAnsi"/>
                <w:sz w:val="18"/>
                <w:szCs w:val="18"/>
              </w:rPr>
              <w:t>Key informant interviews</w:t>
            </w:r>
          </w:p>
          <w:p w14:paraId="6C3B8C5C" w14:textId="77777777" w:rsidR="00EE2082" w:rsidRPr="002B0F7E" w:rsidRDefault="00EE2082" w:rsidP="00EE2082">
            <w:pPr>
              <w:pStyle w:val="TableParagraph"/>
              <w:spacing w:line="235" w:lineRule="auto"/>
              <w:ind w:right="222" w:hanging="227"/>
              <w:rPr>
                <w:rFonts w:asciiTheme="minorHAnsi" w:hAnsiTheme="minorHAnsi" w:cstheme="minorHAnsi"/>
                <w:sz w:val="18"/>
                <w:szCs w:val="18"/>
              </w:rPr>
            </w:pPr>
          </w:p>
        </w:tc>
      </w:tr>
    </w:tbl>
    <w:p w14:paraId="04624A73" w14:textId="77777777" w:rsidR="00047387" w:rsidRDefault="00047387" w:rsidP="00012CCA"/>
    <w:p w14:paraId="1B86DB96" w14:textId="77777777" w:rsidR="00047387" w:rsidRDefault="00047387" w:rsidP="00012CCA"/>
    <w:p w14:paraId="412148CD" w14:textId="77777777" w:rsidR="00047387" w:rsidRDefault="00047387" w:rsidP="00012CCA"/>
    <w:p w14:paraId="5E022AD2" w14:textId="77777777" w:rsidR="00047387" w:rsidRDefault="00047387" w:rsidP="00012CCA"/>
    <w:p w14:paraId="4F28EF59" w14:textId="77777777" w:rsidR="00047387" w:rsidRDefault="00047387" w:rsidP="00012CCA"/>
    <w:p w14:paraId="061CCE5E" w14:textId="77777777" w:rsidR="00047387" w:rsidRDefault="00047387" w:rsidP="00012CCA"/>
    <w:p w14:paraId="329175F8" w14:textId="77777777" w:rsidR="00047387" w:rsidRDefault="00047387" w:rsidP="00012CCA"/>
    <w:p w14:paraId="47BA80A8" w14:textId="77777777" w:rsidR="00047387" w:rsidRDefault="00047387" w:rsidP="00012CCA"/>
    <w:p w14:paraId="1EDC6A2B" w14:textId="77777777" w:rsidR="00047387" w:rsidRDefault="00047387" w:rsidP="00012CCA"/>
    <w:p w14:paraId="570A56C4" w14:textId="77777777" w:rsidR="00047387" w:rsidRDefault="00047387" w:rsidP="00012CCA"/>
    <w:p w14:paraId="4801E45E" w14:textId="77777777" w:rsidR="003676D0" w:rsidRDefault="003676D0" w:rsidP="00012CCA">
      <w:pPr>
        <w:sectPr w:rsidR="003676D0" w:rsidSect="00F666A1">
          <w:footerReference w:type="default" r:id="rId132"/>
          <w:pgSz w:w="15840" w:h="12240" w:orient="landscape" w:code="1"/>
          <w:pgMar w:top="1276" w:right="1276" w:bottom="1588" w:left="1276" w:header="720" w:footer="720" w:gutter="0"/>
          <w:cols w:space="720"/>
          <w:docGrid w:linePitch="360"/>
        </w:sectPr>
      </w:pPr>
    </w:p>
    <w:p w14:paraId="5F25B62E" w14:textId="3E07F5CA" w:rsidR="00DE3445" w:rsidRPr="00F26972" w:rsidRDefault="00E04B83" w:rsidP="006D431F">
      <w:pPr>
        <w:pStyle w:val="Heading9"/>
      </w:pPr>
      <w:bookmarkStart w:id="62" w:name="_Toc210730358"/>
      <w:r w:rsidRPr="008A49BB">
        <w:lastRenderedPageBreak/>
        <w:t xml:space="preserve">Annex </w:t>
      </w:r>
      <w:r w:rsidR="00C51A89">
        <w:t>6</w:t>
      </w:r>
      <w:r w:rsidRPr="008A49BB">
        <w:t xml:space="preserve"> </w:t>
      </w:r>
      <w:r w:rsidR="00DE3445" w:rsidRPr="008A49BB">
        <w:t>List of Data Collection Instruments</w:t>
      </w:r>
      <w:bookmarkEnd w:id="62"/>
    </w:p>
    <w:p w14:paraId="416F67AD" w14:textId="77777777" w:rsidR="00206AD6" w:rsidRDefault="00206AD6" w:rsidP="008A49BB">
      <w:pPr>
        <w:pStyle w:val="FrontMatterH2"/>
        <w:spacing w:before="120" w:after="120" w:line="259" w:lineRule="auto"/>
        <w:sectPr w:rsidR="00206AD6" w:rsidSect="00F666A1">
          <w:footerReference w:type="default" r:id="rId133"/>
          <w:pgSz w:w="12240" w:h="15840" w:code="1"/>
          <w:pgMar w:top="1276" w:right="1276" w:bottom="1588" w:left="1276" w:header="720" w:footer="720" w:gutter="0"/>
          <w:cols w:space="720"/>
          <w:docGrid w:linePitch="360"/>
        </w:sectPr>
      </w:pPr>
    </w:p>
    <w:p w14:paraId="59C6BA5D" w14:textId="77777777" w:rsidR="00356BB1" w:rsidRDefault="0062585C" w:rsidP="008A49BB">
      <w:pPr>
        <w:pStyle w:val="FrontMatterH2"/>
        <w:spacing w:before="120" w:after="120" w:line="259" w:lineRule="auto"/>
        <w:sectPr w:rsidR="00356BB1" w:rsidSect="00F666A1">
          <w:type w:val="continuous"/>
          <w:pgSz w:w="12240" w:h="15840" w:code="1"/>
          <w:pgMar w:top="1276" w:right="1276" w:bottom="1588" w:left="1276" w:header="720" w:footer="720" w:gutter="0"/>
          <w:cols w:num="2" w:space="720"/>
          <w:docGrid w:linePitch="360"/>
        </w:sectPr>
      </w:pPr>
      <w:r>
        <w:t>Inception Phase</w:t>
      </w:r>
    </w:p>
    <w:p w14:paraId="32E07922" w14:textId="6A08DF10" w:rsidR="009E029C" w:rsidRDefault="00DE3445" w:rsidP="008A49BB">
      <w:pPr>
        <w:pStyle w:val="FrontMatterH2"/>
        <w:spacing w:before="120" w:after="120" w:line="259" w:lineRule="auto"/>
      </w:pPr>
      <w:r w:rsidRPr="00296604">
        <w:t>Interview Protocol: Executing Entity (</w:t>
      </w:r>
      <w:r w:rsidR="000B36F9">
        <w:t>UNDESA-FSDO</w:t>
      </w:r>
      <w:r w:rsidRPr="00296604">
        <w:t xml:space="preserve">)/ </w:t>
      </w:r>
      <w:r w:rsidR="00CD2C01">
        <w:t xml:space="preserve">Executing </w:t>
      </w:r>
      <w:r w:rsidRPr="00296604">
        <w:t xml:space="preserve">Entities </w:t>
      </w:r>
    </w:p>
    <w:p w14:paraId="1D7183F0" w14:textId="5276544C" w:rsidR="00CD2C01" w:rsidRPr="00296604" w:rsidRDefault="00DE3445" w:rsidP="008A49BB">
      <w:pPr>
        <w:pStyle w:val="FrontMatterH3"/>
        <w:spacing w:before="120" w:line="259" w:lineRule="auto"/>
      </w:pPr>
      <w:r w:rsidRPr="00296604">
        <w:t>Introduction:</w:t>
      </w:r>
    </w:p>
    <w:p w14:paraId="28A2D138" w14:textId="30A8D8EE" w:rsidR="002C5262" w:rsidRPr="002D798B" w:rsidRDefault="002C5262" w:rsidP="002D798B">
      <w:pPr>
        <w:autoSpaceDE w:val="0"/>
        <w:autoSpaceDN w:val="0"/>
        <w:adjustRightInd w:val="0"/>
        <w:spacing w:before="120" w:after="120"/>
        <w:jc w:val="both"/>
      </w:pPr>
      <w:r w:rsidRPr="002D798B">
        <w:t xml:space="preserve">This external evaluation has been commissioned by </w:t>
      </w:r>
      <w:r w:rsidR="000B36F9">
        <w:t>UNDESA-FSDO</w:t>
      </w:r>
      <w:r w:rsidRPr="002D798B">
        <w:t xml:space="preserve"> to assess the following project: DA13 INFF Project 2124A - Towards Integrated National Financing Framework. The project was funded under the 13</w:t>
      </w:r>
      <w:r w:rsidRPr="002D798B">
        <w:rPr>
          <w:vertAlign w:val="superscript"/>
        </w:rPr>
        <w:t>th</w:t>
      </w:r>
      <w:r w:rsidRPr="002D798B">
        <w:t xml:space="preserve"> tranche of the Development Account, and was implemented jointly, by </w:t>
      </w:r>
      <w:r w:rsidR="000B36F9">
        <w:t>UNDESA-FSDO</w:t>
      </w:r>
      <w:r w:rsidRPr="002D798B">
        <w:t xml:space="preserve"> and six UN </w:t>
      </w:r>
      <w:r w:rsidR="00DE21FA">
        <w:t>executing entities</w:t>
      </w:r>
      <w:r w:rsidRPr="002D798B">
        <w:t>: UNECA; UNECE; UNECLAC UNESCAP; UNESCWA and UNCTAD. During the period of implementation, January 2021 to December 2024, the project was used to strengthen the capacities of 10 countries to mobilise and align financing with sustainable development priorities. The target project countries were located in five UN regions: Africa (Burkina Faso and Zambia; Asia and the Pacific (Pakistan and Samoa); Europe (Belarus and Kyrgyzstan); Latin America and the Caribbean (Costa Rica and Dominican Republic); and Western Asia (Egypt and Jordan).</w:t>
      </w:r>
    </w:p>
    <w:p w14:paraId="0941160F" w14:textId="77777777" w:rsidR="002C5262" w:rsidRPr="002D798B" w:rsidRDefault="002C5262" w:rsidP="002D798B">
      <w:pPr>
        <w:spacing w:before="120" w:after="120"/>
        <w:jc w:val="both"/>
        <w:rPr>
          <w:rFonts w:eastAsia="Times New Roman" w:cs="Calibri"/>
        </w:rPr>
      </w:pPr>
      <w:r w:rsidRPr="002D798B">
        <w:t xml:space="preserve">As its main objective, the evaluation is being used to facilitate accountability and organisational learning by assessing project performance across six criteria (relevance; coherence; effectiveness; efficiency; impact and sustainability). The evaluation will also be used to identify lessons learned from project design and implementation, including </w:t>
      </w:r>
      <w:r w:rsidRPr="002D798B">
        <w:rPr>
          <w:rFonts w:eastAsia="Times New Roman" w:cs="Calibri"/>
        </w:rPr>
        <w:t>successful strategies; challenges encountered; and good practices. It will further provide recommendations to inform future similar interventions.</w:t>
      </w:r>
    </w:p>
    <w:p w14:paraId="20F7E038" w14:textId="77777777" w:rsidR="002C5262" w:rsidRPr="002D798B" w:rsidRDefault="002C5262" w:rsidP="002D798B">
      <w:pPr>
        <w:spacing w:before="120" w:after="120"/>
        <w:jc w:val="both"/>
      </w:pPr>
      <w:r w:rsidRPr="002D798B">
        <w:rPr>
          <w:rFonts w:cs="Calibri"/>
        </w:rPr>
        <w:t xml:space="preserve">To increase the accuracy of the evaluation results, all partner agencies and all categories of project stakeholders are being provided with the opportunity to share their views on their individual project experience. Participation in this exercise is voluntary and will </w:t>
      </w:r>
      <w:r w:rsidRPr="002D798B">
        <w:t>last for approximately 45 – 60 minutes. All discussions will be confidential and there is no risk to participation. The evaluator will only share anonymised and generalised findings that cannot be used to identify individual participants.</w:t>
      </w:r>
    </w:p>
    <w:p w14:paraId="6061829C" w14:textId="77777777" w:rsidR="002C5262" w:rsidRPr="002D798B" w:rsidRDefault="002C5262" w:rsidP="002D798B">
      <w:pPr>
        <w:pStyle w:val="Reporttext"/>
        <w:spacing w:after="120" w:line="259" w:lineRule="auto"/>
        <w:rPr>
          <w:rFonts w:asciiTheme="minorHAnsi" w:hAnsiTheme="minorHAnsi" w:cs="Calibri"/>
          <w:sz w:val="20"/>
          <w:lang w:val="en-GB"/>
        </w:rPr>
      </w:pPr>
      <w:r w:rsidRPr="002D798B">
        <w:rPr>
          <w:rFonts w:asciiTheme="minorHAnsi" w:hAnsiTheme="minorHAnsi" w:cs="Calibri"/>
          <w:sz w:val="20"/>
          <w:lang w:val="en-GB"/>
        </w:rPr>
        <w:t xml:space="preserve">For further information about the evaluation, please contact </w:t>
      </w:r>
      <w:r w:rsidRPr="002D798B">
        <w:rPr>
          <w:rFonts w:asciiTheme="minorHAnsi" w:hAnsiTheme="minorHAnsi" w:cs="Calibri"/>
          <w:sz w:val="20"/>
        </w:rPr>
        <w:t xml:space="preserve">the evaluation coordinator, Mr Peter Chowla, at </w:t>
      </w:r>
      <w:hyperlink r:id="rId134" w:history="1">
        <w:r w:rsidRPr="002D798B">
          <w:rPr>
            <w:rStyle w:val="Hyperlink"/>
            <w:rFonts w:asciiTheme="minorHAnsi" w:hAnsiTheme="minorHAnsi" w:cs="Calibri"/>
            <w:sz w:val="20"/>
          </w:rPr>
          <w:t>chowla@un.org</w:t>
        </w:r>
      </w:hyperlink>
      <w:r w:rsidRPr="002D798B">
        <w:rPr>
          <w:rFonts w:asciiTheme="minorHAnsi" w:hAnsiTheme="minorHAnsi" w:cs="Calibri"/>
          <w:sz w:val="20"/>
        </w:rPr>
        <w:t xml:space="preserve"> or the Programme Management Assistant, Mr George Meladze, at </w:t>
      </w:r>
      <w:hyperlink r:id="rId135" w:history="1">
        <w:r w:rsidRPr="002D798B">
          <w:rPr>
            <w:rStyle w:val="Hyperlink"/>
            <w:rFonts w:asciiTheme="minorHAnsi" w:hAnsiTheme="minorHAnsi" w:cs="Calibri"/>
            <w:sz w:val="20"/>
          </w:rPr>
          <w:t>meladze@un.org</w:t>
        </w:r>
      </w:hyperlink>
      <w:r w:rsidRPr="002D798B">
        <w:rPr>
          <w:rFonts w:asciiTheme="minorHAnsi" w:hAnsiTheme="minorHAnsi" w:cs="Calibri"/>
          <w:sz w:val="20"/>
        </w:rPr>
        <w:t xml:space="preserve">. </w:t>
      </w:r>
      <w:r w:rsidRPr="002D798B">
        <w:rPr>
          <w:rFonts w:asciiTheme="minorHAnsi" w:hAnsiTheme="minorHAnsi"/>
          <w:sz w:val="20"/>
        </w:rPr>
        <w:t>By proceeding with this discussion, your consent to participate in the evaluation will be documented.</w:t>
      </w:r>
    </w:p>
    <w:p w14:paraId="17DC7257" w14:textId="77777777" w:rsidR="002C5262" w:rsidRPr="002D798B" w:rsidRDefault="002C5262" w:rsidP="002D798B">
      <w:pPr>
        <w:spacing w:before="120" w:after="120"/>
        <w:jc w:val="both"/>
      </w:pPr>
      <w:r w:rsidRPr="002D798B">
        <w:t>Thank you, in advance, for your time and cooperation. Before we begin, do you have any questions?</w:t>
      </w:r>
    </w:p>
    <w:p w14:paraId="315AD0A3" w14:textId="7FBD9FCE" w:rsidR="00DE3445" w:rsidRDefault="00DE3445" w:rsidP="00DE3445">
      <w:pPr>
        <w:rPr>
          <w:rFonts w:cstheme="minorHAnsi"/>
        </w:rPr>
      </w:pPr>
    </w:p>
    <w:p w14:paraId="2E08BC85" w14:textId="77777777" w:rsidR="002D798B" w:rsidRPr="00925356" w:rsidRDefault="002D798B" w:rsidP="003B672F">
      <w:pPr>
        <w:numPr>
          <w:ilvl w:val="0"/>
          <w:numId w:val="76"/>
        </w:numPr>
        <w:spacing w:before="120" w:after="120"/>
        <w:ind w:left="714" w:hanging="357"/>
        <w:jc w:val="both"/>
      </w:pPr>
      <w:r w:rsidRPr="00925356">
        <w:t>What was the objective</w:t>
      </w:r>
      <w:r>
        <w:t xml:space="preserve"> </w:t>
      </w:r>
      <w:r w:rsidRPr="00925356">
        <w:t>of this project and what</w:t>
      </w:r>
      <w:r>
        <w:t xml:space="preserve"> </w:t>
      </w:r>
      <w:r w:rsidRPr="00925356">
        <w:t>was the specific role of</w:t>
      </w:r>
      <w:r>
        <w:t xml:space="preserve"> your organisation </w:t>
      </w:r>
      <w:r w:rsidRPr="00925356">
        <w:t>during project design/ implementation/ results monitoring?</w:t>
      </w:r>
    </w:p>
    <w:p w14:paraId="20350B2B" w14:textId="77777777" w:rsidR="002D798B" w:rsidRPr="00925356" w:rsidRDefault="002D798B" w:rsidP="003B672F">
      <w:pPr>
        <w:numPr>
          <w:ilvl w:val="0"/>
          <w:numId w:val="76"/>
        </w:numPr>
        <w:spacing w:before="120" w:after="120"/>
        <w:ind w:left="714" w:hanging="357"/>
        <w:jc w:val="both"/>
      </w:pPr>
      <w:r w:rsidRPr="00925356">
        <w:t>In your opinion, what were the main results of the project?</w:t>
      </w:r>
    </w:p>
    <w:p w14:paraId="2DFA23B9" w14:textId="77777777" w:rsidR="002D798B" w:rsidRPr="00925356" w:rsidRDefault="002D798B" w:rsidP="003B672F">
      <w:pPr>
        <w:numPr>
          <w:ilvl w:val="0"/>
          <w:numId w:val="76"/>
        </w:numPr>
        <w:spacing w:before="120" w:after="120"/>
        <w:ind w:left="714" w:hanging="357"/>
        <w:jc w:val="both"/>
      </w:pPr>
      <w:r w:rsidRPr="00925356">
        <w:t>What are some examples of good practices that can be identified as success stories and/ or can be used to inform future similar initiatives?</w:t>
      </w:r>
    </w:p>
    <w:p w14:paraId="70394566" w14:textId="77777777" w:rsidR="002D798B" w:rsidRPr="00925356" w:rsidRDefault="002D798B" w:rsidP="003B672F">
      <w:pPr>
        <w:numPr>
          <w:ilvl w:val="0"/>
          <w:numId w:val="76"/>
        </w:numPr>
        <w:spacing w:before="120" w:after="120"/>
        <w:ind w:left="714" w:hanging="357"/>
        <w:jc w:val="both"/>
      </w:pPr>
      <w:r w:rsidRPr="00925356">
        <w:t>What were the main challenges to project implementation and results achievement? How, if at all, were these challenges resolved?</w:t>
      </w:r>
    </w:p>
    <w:p w14:paraId="6028480C" w14:textId="77777777" w:rsidR="002D798B" w:rsidRPr="00925356" w:rsidRDefault="002D798B" w:rsidP="003B672F">
      <w:pPr>
        <w:numPr>
          <w:ilvl w:val="0"/>
          <w:numId w:val="76"/>
        </w:numPr>
        <w:spacing w:before="120" w:after="120"/>
        <w:ind w:left="714" w:hanging="357"/>
        <w:jc w:val="both"/>
      </w:pPr>
      <w:r w:rsidRPr="00925356">
        <w:t>In what way, if at all, did the project integrate considerations for gender equality; the use of a human rights-based approach; and disability inclusiveness?</w:t>
      </w:r>
    </w:p>
    <w:p w14:paraId="0460E714" w14:textId="77777777" w:rsidR="002D798B" w:rsidRPr="00925356" w:rsidRDefault="002D798B" w:rsidP="003B672F">
      <w:pPr>
        <w:numPr>
          <w:ilvl w:val="0"/>
          <w:numId w:val="76"/>
        </w:numPr>
        <w:spacing w:before="120" w:after="120"/>
        <w:ind w:left="714" w:hanging="357"/>
        <w:jc w:val="both"/>
      </w:pPr>
      <w:r w:rsidRPr="00925356">
        <w:t>What are the main</w:t>
      </w:r>
      <w:r>
        <w:t xml:space="preserve"> </w:t>
      </w:r>
      <w:r w:rsidRPr="00925356">
        <w:t>lessons and recommendations that have emerged from your project involvement?</w:t>
      </w:r>
    </w:p>
    <w:p w14:paraId="148DA144" w14:textId="77777777" w:rsidR="002D798B" w:rsidRPr="00925356" w:rsidRDefault="002D798B" w:rsidP="003B672F">
      <w:pPr>
        <w:numPr>
          <w:ilvl w:val="0"/>
          <w:numId w:val="76"/>
        </w:numPr>
        <w:spacing w:before="120" w:after="120"/>
        <w:ind w:left="714" w:hanging="357"/>
        <w:jc w:val="both"/>
      </w:pPr>
      <w:r w:rsidRPr="00925356">
        <w:t>What are your expectations for this evaluation?</w:t>
      </w:r>
    </w:p>
    <w:p w14:paraId="18706D9F" w14:textId="77777777" w:rsidR="002D798B" w:rsidRPr="00304E58" w:rsidRDefault="002D798B" w:rsidP="002D798B">
      <w:pPr>
        <w:spacing w:before="120" w:after="120"/>
        <w:rPr>
          <w:b/>
          <w:bCs/>
        </w:rPr>
      </w:pPr>
    </w:p>
    <w:p w14:paraId="2C2A1DEB" w14:textId="77777777" w:rsidR="002D798B" w:rsidRPr="00304E58" w:rsidRDefault="002D798B" w:rsidP="002D798B">
      <w:pPr>
        <w:spacing w:before="120" w:after="120"/>
        <w:jc w:val="center"/>
        <w:rPr>
          <w:b/>
          <w:bCs/>
        </w:rPr>
      </w:pPr>
      <w:r w:rsidRPr="00304E58">
        <w:rPr>
          <w:b/>
          <w:bCs/>
        </w:rPr>
        <w:t>Thank you for your time and collaboration.</w:t>
      </w:r>
    </w:p>
    <w:p w14:paraId="342DF201" w14:textId="77777777" w:rsidR="002C5262" w:rsidRDefault="002C5262" w:rsidP="00DE3445">
      <w:pPr>
        <w:rPr>
          <w:rFonts w:cstheme="minorHAnsi"/>
        </w:rPr>
      </w:pPr>
    </w:p>
    <w:p w14:paraId="36457DD3" w14:textId="77777777" w:rsidR="002C5262" w:rsidRDefault="002C5262" w:rsidP="00DE3445">
      <w:pPr>
        <w:rPr>
          <w:rFonts w:cstheme="minorHAnsi"/>
        </w:rPr>
      </w:pPr>
    </w:p>
    <w:p w14:paraId="69E92F83" w14:textId="77777777" w:rsidR="00206AD6" w:rsidRDefault="00206AD6" w:rsidP="00DE3445">
      <w:pPr>
        <w:rPr>
          <w:rFonts w:cstheme="minorHAnsi"/>
        </w:rPr>
        <w:sectPr w:rsidR="00206AD6" w:rsidSect="00F666A1">
          <w:type w:val="continuous"/>
          <w:pgSz w:w="12240" w:h="15840" w:code="1"/>
          <w:pgMar w:top="1276" w:right="1276" w:bottom="1588" w:left="1276" w:header="720" w:footer="720" w:gutter="0"/>
          <w:cols w:num="2" w:space="720"/>
          <w:docGrid w:linePitch="360"/>
        </w:sectPr>
      </w:pPr>
    </w:p>
    <w:p w14:paraId="0F98655F" w14:textId="6FAEF468" w:rsidR="00AB61B9" w:rsidRDefault="007F4FB9" w:rsidP="00DF5787">
      <w:pPr>
        <w:pStyle w:val="FrontMatterH2"/>
        <w:sectPr w:rsidR="00AB61B9" w:rsidSect="00F666A1">
          <w:type w:val="continuous"/>
          <w:pgSz w:w="12240" w:h="15840" w:code="1"/>
          <w:pgMar w:top="1276" w:right="1276" w:bottom="1588" w:left="1276" w:header="720" w:footer="720" w:gutter="0"/>
          <w:cols w:num="2" w:space="720"/>
          <w:docGrid w:linePitch="360"/>
        </w:sectPr>
      </w:pPr>
      <w:r>
        <w:lastRenderedPageBreak/>
        <w:t>Data Generation Pha</w:t>
      </w:r>
      <w:r w:rsidR="00B451EE">
        <w:t>s</w:t>
      </w:r>
      <w:r>
        <w:t xml:space="preserve">e </w:t>
      </w:r>
    </w:p>
    <w:p w14:paraId="0017DD62" w14:textId="19F37630" w:rsidR="00DE3445" w:rsidRPr="00296604" w:rsidRDefault="00DE3445" w:rsidP="00DF5787">
      <w:pPr>
        <w:pStyle w:val="FrontMatterH2"/>
      </w:pPr>
      <w:r w:rsidRPr="00296604">
        <w:t xml:space="preserve">Interview Protocol: </w:t>
      </w:r>
      <w:r w:rsidR="009054E2">
        <w:t xml:space="preserve">Lead </w:t>
      </w:r>
      <w:r w:rsidR="00F96CD9" w:rsidRPr="00296604">
        <w:t>Executing Entity (</w:t>
      </w:r>
      <w:r w:rsidR="000B36F9">
        <w:t>UNDESA-FSDO</w:t>
      </w:r>
      <w:r w:rsidR="00F96CD9" w:rsidRPr="00296604">
        <w:t xml:space="preserve">)/ </w:t>
      </w:r>
      <w:r w:rsidR="00965D7D">
        <w:t>Other Divisions within UNDESA</w:t>
      </w:r>
    </w:p>
    <w:p w14:paraId="2E94B0B9" w14:textId="77777777" w:rsidR="00DE3445" w:rsidRPr="00065117" w:rsidRDefault="00DE3445" w:rsidP="00E70DAB">
      <w:pPr>
        <w:pStyle w:val="FrontMatterH3"/>
        <w:rPr>
          <w:color w:val="auto"/>
        </w:rPr>
      </w:pPr>
      <w:r w:rsidRPr="00065117">
        <w:rPr>
          <w:color w:val="auto"/>
        </w:rPr>
        <w:t>Introduction:</w:t>
      </w:r>
    </w:p>
    <w:p w14:paraId="05E4C51E" w14:textId="33096B44" w:rsidR="00965D7D" w:rsidRPr="002D798B" w:rsidRDefault="00965D7D" w:rsidP="00965D7D">
      <w:pPr>
        <w:autoSpaceDE w:val="0"/>
        <w:autoSpaceDN w:val="0"/>
        <w:adjustRightInd w:val="0"/>
        <w:spacing w:before="120" w:after="120"/>
        <w:jc w:val="both"/>
      </w:pPr>
      <w:r w:rsidRPr="002D798B">
        <w:t xml:space="preserve">This external evaluation has been commissioned by </w:t>
      </w:r>
      <w:r w:rsidR="000B36F9">
        <w:t>UNDESA-FSDO</w:t>
      </w:r>
      <w:r w:rsidRPr="002D798B">
        <w:t xml:space="preserve"> to assess the following project: DA13 INFF Project 2124A - Towards Integrated National Financing Framework. The project was funded under the 13</w:t>
      </w:r>
      <w:r w:rsidRPr="002D798B">
        <w:rPr>
          <w:vertAlign w:val="superscript"/>
        </w:rPr>
        <w:t>th</w:t>
      </w:r>
      <w:r w:rsidRPr="002D798B">
        <w:t xml:space="preserve"> tranche of the Development Account, and was implemented jointly, by </w:t>
      </w:r>
      <w:r w:rsidR="000B36F9">
        <w:t>UNDESA-FSDO</w:t>
      </w:r>
      <w:r w:rsidRPr="002D798B">
        <w:t xml:space="preserve"> and six UN </w:t>
      </w:r>
      <w:r w:rsidR="00DE21FA">
        <w:t>executing entities</w:t>
      </w:r>
      <w:r w:rsidRPr="002D798B">
        <w:t>: UNECA; UNECE; UNECLAC UNESCAP; UNESCWA and UNCTAD. During the period of implementation, January 2021 to December 2024, the project was used to strengthen the capacities of 10 countries to mobilise and align financing with sustainable development priorities. The target project countries were located in five UN regions: Africa (Burkina Faso and Zambia; Asia and the Pacific (Pakistan and Samoa); Europe (Belarus and Kyrgyzstan); Latin America and the Caribbean (Costa Rica and Dominican Republic); and Western Asia (Egypt and Jordan).</w:t>
      </w:r>
    </w:p>
    <w:p w14:paraId="346AC852" w14:textId="77777777" w:rsidR="00965D7D" w:rsidRPr="002D798B" w:rsidRDefault="00965D7D" w:rsidP="00965D7D">
      <w:pPr>
        <w:spacing w:before="120" w:after="120"/>
        <w:jc w:val="both"/>
        <w:rPr>
          <w:rFonts w:eastAsia="Times New Roman" w:cs="Calibri"/>
        </w:rPr>
      </w:pPr>
      <w:r w:rsidRPr="002D798B">
        <w:t xml:space="preserve">As its main objective, the evaluation is being used to facilitate accountability and organisational learning by assessing project performance across six criteria (relevance; coherence; effectiveness; efficiency; impact and sustainability). The evaluation will also be used to identify lessons learned from project design and implementation, including </w:t>
      </w:r>
      <w:r w:rsidRPr="002D798B">
        <w:rPr>
          <w:rFonts w:eastAsia="Times New Roman" w:cs="Calibri"/>
        </w:rPr>
        <w:t>successful strategies; challenges encountered; and good practices. It will further provide recommendations to inform future similar interventions.</w:t>
      </w:r>
    </w:p>
    <w:p w14:paraId="7F93C302" w14:textId="77777777" w:rsidR="00965D7D" w:rsidRPr="002D798B" w:rsidRDefault="00965D7D" w:rsidP="00965D7D">
      <w:pPr>
        <w:spacing w:before="120" w:after="120"/>
        <w:jc w:val="both"/>
      </w:pPr>
      <w:r w:rsidRPr="002D798B">
        <w:rPr>
          <w:rFonts w:cs="Calibri"/>
        </w:rPr>
        <w:t xml:space="preserve">To increase the accuracy of the evaluation results, all partner agencies and all categories of project stakeholders are being provided with the opportunity to share their views on their individual project experience. Participation in this exercise is voluntary and will </w:t>
      </w:r>
      <w:r w:rsidRPr="002D798B">
        <w:t>last for approximately 45 – 60 minutes. All discussions will be confidential and there is no risk to participation. The evaluator will only share anonymised and generalised findings that cannot be used to identify individual participants.</w:t>
      </w:r>
    </w:p>
    <w:p w14:paraId="62AD2008" w14:textId="77777777" w:rsidR="00965D7D" w:rsidRPr="002D798B" w:rsidRDefault="00965D7D" w:rsidP="00965D7D">
      <w:pPr>
        <w:pStyle w:val="Reporttext"/>
        <w:spacing w:after="120" w:line="259" w:lineRule="auto"/>
        <w:rPr>
          <w:rFonts w:asciiTheme="minorHAnsi" w:hAnsiTheme="minorHAnsi" w:cs="Calibri"/>
          <w:sz w:val="20"/>
          <w:lang w:val="en-GB"/>
        </w:rPr>
      </w:pPr>
      <w:r w:rsidRPr="002D798B">
        <w:rPr>
          <w:rFonts w:asciiTheme="minorHAnsi" w:hAnsiTheme="minorHAnsi" w:cs="Calibri"/>
          <w:sz w:val="20"/>
          <w:lang w:val="en-GB"/>
        </w:rPr>
        <w:t xml:space="preserve">For further information about the evaluation, please contact </w:t>
      </w:r>
      <w:r w:rsidRPr="002D798B">
        <w:rPr>
          <w:rFonts w:asciiTheme="minorHAnsi" w:hAnsiTheme="minorHAnsi" w:cs="Calibri"/>
          <w:sz w:val="20"/>
        </w:rPr>
        <w:t xml:space="preserve">the evaluation coordinator, Mr Peter Chowla, at </w:t>
      </w:r>
      <w:hyperlink r:id="rId136" w:history="1">
        <w:r w:rsidRPr="002D798B">
          <w:rPr>
            <w:rStyle w:val="Hyperlink"/>
            <w:rFonts w:asciiTheme="minorHAnsi" w:hAnsiTheme="minorHAnsi" w:cs="Calibri"/>
            <w:sz w:val="20"/>
          </w:rPr>
          <w:t>chowla@un.org</w:t>
        </w:r>
      </w:hyperlink>
      <w:r w:rsidRPr="002D798B">
        <w:rPr>
          <w:rFonts w:asciiTheme="minorHAnsi" w:hAnsiTheme="minorHAnsi" w:cs="Calibri"/>
          <w:sz w:val="20"/>
        </w:rPr>
        <w:t xml:space="preserve"> or the Programme Management Assistant, Mr George Meladze, at </w:t>
      </w:r>
      <w:hyperlink r:id="rId137" w:history="1">
        <w:r w:rsidRPr="002D798B">
          <w:rPr>
            <w:rStyle w:val="Hyperlink"/>
            <w:rFonts w:asciiTheme="minorHAnsi" w:hAnsiTheme="minorHAnsi" w:cs="Calibri"/>
            <w:sz w:val="20"/>
          </w:rPr>
          <w:t>meladze@un.org</w:t>
        </w:r>
      </w:hyperlink>
      <w:r w:rsidRPr="002D798B">
        <w:rPr>
          <w:rFonts w:asciiTheme="minorHAnsi" w:hAnsiTheme="minorHAnsi" w:cs="Calibri"/>
          <w:sz w:val="20"/>
        </w:rPr>
        <w:t xml:space="preserve">. </w:t>
      </w:r>
      <w:r w:rsidRPr="002D798B">
        <w:rPr>
          <w:rFonts w:asciiTheme="minorHAnsi" w:hAnsiTheme="minorHAnsi"/>
          <w:sz w:val="20"/>
        </w:rPr>
        <w:t>By proceeding with this discussion, your consent to participate in the evaluation will be documented.</w:t>
      </w:r>
    </w:p>
    <w:p w14:paraId="26B2B9EF" w14:textId="77777777" w:rsidR="00965D7D" w:rsidRPr="002D798B" w:rsidRDefault="00965D7D" w:rsidP="00965D7D">
      <w:pPr>
        <w:spacing w:before="120" w:after="120"/>
        <w:jc w:val="both"/>
      </w:pPr>
      <w:r w:rsidRPr="002D798B">
        <w:t>Thank you, in advance, for your time and cooperation. Before we begin, do you have any questions?</w:t>
      </w:r>
    </w:p>
    <w:p w14:paraId="0F90FE99" w14:textId="5BD7F606" w:rsidR="00965D7D" w:rsidRDefault="00965D7D" w:rsidP="00965D7D">
      <w:pPr>
        <w:rPr>
          <w:rFonts w:cstheme="minorHAnsi"/>
        </w:rPr>
      </w:pPr>
    </w:p>
    <w:p w14:paraId="3F63076F" w14:textId="77777777" w:rsidR="00FD05B1" w:rsidRPr="009846B4" w:rsidRDefault="00FD05B1" w:rsidP="009846B4">
      <w:pPr>
        <w:spacing w:before="120" w:after="120"/>
        <w:jc w:val="both"/>
        <w:rPr>
          <w:b/>
          <w:bCs/>
        </w:rPr>
      </w:pPr>
      <w:r w:rsidRPr="009846B4">
        <w:rPr>
          <w:b/>
          <w:bCs/>
        </w:rPr>
        <w:t>Background:</w:t>
      </w:r>
    </w:p>
    <w:p w14:paraId="5520F674" w14:textId="77777777" w:rsidR="00FD05B1" w:rsidRPr="009846B4" w:rsidRDefault="00FD05B1" w:rsidP="003B672F">
      <w:pPr>
        <w:pStyle w:val="ListParagraph"/>
        <w:numPr>
          <w:ilvl w:val="0"/>
          <w:numId w:val="67"/>
        </w:numPr>
        <w:spacing w:before="120" w:after="120"/>
        <w:contextualSpacing w:val="0"/>
        <w:jc w:val="both"/>
      </w:pPr>
      <w:r w:rsidRPr="009846B4">
        <w:t>What is your job title? How long have you been in this position?</w:t>
      </w:r>
    </w:p>
    <w:p w14:paraId="6C9BA4C4" w14:textId="77777777" w:rsidR="00FD05B1" w:rsidRPr="009846B4" w:rsidRDefault="00FD05B1" w:rsidP="003B672F">
      <w:pPr>
        <w:pStyle w:val="ListParagraph"/>
        <w:numPr>
          <w:ilvl w:val="0"/>
          <w:numId w:val="67"/>
        </w:numPr>
        <w:spacing w:before="120" w:after="120"/>
        <w:ind w:left="714" w:hanging="357"/>
        <w:contextualSpacing w:val="0"/>
        <w:jc w:val="both"/>
      </w:pPr>
      <w:r w:rsidRPr="009846B4">
        <w:t>What are your current responsibilities?</w:t>
      </w:r>
    </w:p>
    <w:p w14:paraId="2A0CF13C" w14:textId="77777777" w:rsidR="00FD05B1" w:rsidRPr="009846B4" w:rsidRDefault="00FD05B1" w:rsidP="003B672F">
      <w:pPr>
        <w:pStyle w:val="ListParagraph"/>
        <w:numPr>
          <w:ilvl w:val="0"/>
          <w:numId w:val="67"/>
        </w:numPr>
        <w:spacing w:before="120" w:after="120"/>
        <w:contextualSpacing w:val="0"/>
        <w:jc w:val="both"/>
      </w:pPr>
      <w:r w:rsidRPr="009846B4">
        <w:t>Please describe your involvement in the project?</w:t>
      </w:r>
    </w:p>
    <w:p w14:paraId="4D8F525A" w14:textId="77777777" w:rsidR="00FD05B1" w:rsidRPr="009846B4" w:rsidRDefault="00FD05B1" w:rsidP="009846B4">
      <w:pPr>
        <w:spacing w:before="120" w:after="120"/>
        <w:jc w:val="both"/>
        <w:rPr>
          <w:b/>
          <w:bCs/>
        </w:rPr>
      </w:pPr>
      <w:r w:rsidRPr="009846B4">
        <w:rPr>
          <w:b/>
          <w:bCs/>
        </w:rPr>
        <w:t>Relevance:</w:t>
      </w:r>
    </w:p>
    <w:p w14:paraId="0E573272" w14:textId="77777777" w:rsidR="00FD05B1" w:rsidRPr="009846B4" w:rsidRDefault="00FD05B1" w:rsidP="003B672F">
      <w:pPr>
        <w:pStyle w:val="ListParagraph"/>
        <w:numPr>
          <w:ilvl w:val="0"/>
          <w:numId w:val="70"/>
        </w:numPr>
        <w:spacing w:before="120" w:after="120"/>
        <w:ind w:left="714" w:hanging="357"/>
        <w:contextualSpacing w:val="0"/>
        <w:jc w:val="both"/>
      </w:pPr>
      <w:r w:rsidRPr="009846B4">
        <w:t>In your opinion, what were the specific capacity needs and challenges of the project countries in relation to development financing? How, if at all, did this project address these capacity needs and challenges? Please provide examples to support your response.</w:t>
      </w:r>
    </w:p>
    <w:p w14:paraId="4236FA88" w14:textId="395A8B6D" w:rsidR="00FD05B1" w:rsidRPr="009846B4" w:rsidRDefault="00FD05B1" w:rsidP="003B672F">
      <w:pPr>
        <w:pStyle w:val="ListParagraph"/>
        <w:numPr>
          <w:ilvl w:val="0"/>
          <w:numId w:val="70"/>
        </w:numPr>
        <w:spacing w:before="120" w:after="120"/>
        <w:contextualSpacing w:val="0"/>
        <w:jc w:val="both"/>
      </w:pPr>
      <w:r w:rsidRPr="009846B4">
        <w:t xml:space="preserve">What was the alignment between the project and the strategic priorities of </w:t>
      </w:r>
      <w:r w:rsidR="000B36F9">
        <w:t>UNDESA-FSDO</w:t>
      </w:r>
      <w:r w:rsidRPr="009846B4">
        <w:t xml:space="preserve">? The </w:t>
      </w:r>
      <w:r w:rsidR="00DE21FA">
        <w:t>executing entities</w:t>
      </w:r>
      <w:r w:rsidRPr="009846B4">
        <w:t xml:space="preserve">? The UN Co-operating entities? </w:t>
      </w:r>
    </w:p>
    <w:p w14:paraId="5236194F" w14:textId="77777777" w:rsidR="00FD05B1" w:rsidRPr="009846B4" w:rsidRDefault="00FD05B1" w:rsidP="009846B4">
      <w:pPr>
        <w:spacing w:before="120" w:after="120"/>
        <w:jc w:val="both"/>
        <w:rPr>
          <w:b/>
          <w:bCs/>
        </w:rPr>
      </w:pPr>
      <w:r w:rsidRPr="009846B4">
        <w:rPr>
          <w:b/>
          <w:bCs/>
        </w:rPr>
        <w:t>Coherence:</w:t>
      </w:r>
    </w:p>
    <w:p w14:paraId="0075C6BE" w14:textId="77777777" w:rsidR="00FD05B1" w:rsidRPr="009846B4" w:rsidRDefault="00FD05B1" w:rsidP="003B672F">
      <w:pPr>
        <w:pStyle w:val="ListParagraph"/>
        <w:numPr>
          <w:ilvl w:val="0"/>
          <w:numId w:val="71"/>
        </w:numPr>
        <w:spacing w:before="120" w:after="120"/>
        <w:ind w:left="714" w:hanging="357"/>
        <w:contextualSpacing w:val="0"/>
        <w:jc w:val="both"/>
      </w:pPr>
      <w:r w:rsidRPr="009846B4">
        <w:t xml:space="preserve">Did the project complement other interventions by UNDESA within the target countries/ regions or was there a duplication of efforts? </w:t>
      </w:r>
      <w:r w:rsidRPr="009846B4">
        <w:rPr>
          <w:rFonts w:cstheme="minorHAnsi"/>
        </w:rPr>
        <w:t>Please explain your response.</w:t>
      </w:r>
    </w:p>
    <w:p w14:paraId="41560EBC" w14:textId="77777777" w:rsidR="00FD05B1" w:rsidRPr="009846B4" w:rsidRDefault="00FD05B1" w:rsidP="003B672F">
      <w:pPr>
        <w:pStyle w:val="ListParagraph"/>
        <w:numPr>
          <w:ilvl w:val="0"/>
          <w:numId w:val="71"/>
        </w:numPr>
        <w:spacing w:before="120" w:after="120"/>
        <w:ind w:left="714" w:hanging="357"/>
        <w:contextualSpacing w:val="0"/>
        <w:jc w:val="both"/>
      </w:pPr>
      <w:r w:rsidRPr="009846B4">
        <w:t>In your opinion, did the project complement or duplicate any initiatives by other development actors within the target countries/ regions? Please explain your response.</w:t>
      </w:r>
    </w:p>
    <w:p w14:paraId="1D80267B" w14:textId="77777777" w:rsidR="00FD05B1" w:rsidRPr="009846B4" w:rsidRDefault="00FD05B1" w:rsidP="003B672F">
      <w:pPr>
        <w:pStyle w:val="ListParagraph"/>
        <w:numPr>
          <w:ilvl w:val="0"/>
          <w:numId w:val="71"/>
        </w:numPr>
        <w:spacing w:before="120" w:after="120"/>
        <w:ind w:left="714" w:hanging="357"/>
        <w:contextualSpacing w:val="0"/>
        <w:jc w:val="both"/>
      </w:pPr>
      <w:r w:rsidRPr="009846B4">
        <w:lastRenderedPageBreak/>
        <w:t xml:space="preserve">In what way, if at all, did the project respond </w:t>
      </w:r>
      <w:r w:rsidRPr="009846B4">
        <w:rPr>
          <w:rFonts w:cstheme="minorHAnsi"/>
        </w:rPr>
        <w:t xml:space="preserve">to the identified/ expressed needs of non-project countries within the target regions? </w:t>
      </w:r>
    </w:p>
    <w:p w14:paraId="5850F601" w14:textId="77777777" w:rsidR="00FD05B1" w:rsidRPr="009846B4" w:rsidRDefault="00FD05B1" w:rsidP="009846B4">
      <w:pPr>
        <w:spacing w:before="120" w:after="120"/>
        <w:jc w:val="both"/>
        <w:rPr>
          <w:b/>
          <w:bCs/>
        </w:rPr>
      </w:pPr>
      <w:r w:rsidRPr="009846B4">
        <w:rPr>
          <w:b/>
          <w:bCs/>
        </w:rPr>
        <w:t>Effectiveness:</w:t>
      </w:r>
    </w:p>
    <w:p w14:paraId="34FA5C7B"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 xml:space="preserve">What, in your opinion, are the main results of this project? </w:t>
      </w:r>
    </w:p>
    <w:p w14:paraId="03BAA58A"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 xml:space="preserve">How, if at all, did the project contribute towards the strengthening of national capacity in development financing strategies within the target countries? </w:t>
      </w:r>
    </w:p>
    <w:p w14:paraId="2A6D6438" w14:textId="77777777" w:rsidR="00FD05B1" w:rsidRPr="009846B4" w:rsidRDefault="00FD05B1" w:rsidP="003B672F">
      <w:pPr>
        <w:pStyle w:val="ListParagraph"/>
        <w:numPr>
          <w:ilvl w:val="1"/>
          <w:numId w:val="47"/>
        </w:numPr>
        <w:spacing w:before="120" w:after="120"/>
        <w:contextualSpacing w:val="0"/>
        <w:jc w:val="both"/>
      </w:pPr>
      <w:r w:rsidRPr="009846B4">
        <w:t xml:space="preserve">Was there any alignment between these strategies and the national development plans? </w:t>
      </w:r>
    </w:p>
    <w:p w14:paraId="41AA7DF4" w14:textId="77777777" w:rsidR="00FD05B1" w:rsidRPr="009846B4" w:rsidRDefault="00FD05B1" w:rsidP="003B672F">
      <w:pPr>
        <w:pStyle w:val="ListParagraph"/>
        <w:numPr>
          <w:ilvl w:val="1"/>
          <w:numId w:val="47"/>
        </w:numPr>
        <w:spacing w:before="120" w:after="120"/>
        <w:contextualSpacing w:val="0"/>
        <w:jc w:val="both"/>
      </w:pPr>
      <w:r w:rsidRPr="009846B4">
        <w:t>In what way, if at all, did the strengthened capacity mitigate the impact of COVID-19 in the target countries?</w:t>
      </w:r>
    </w:p>
    <w:p w14:paraId="44AEC9AA" w14:textId="0F42BE1F" w:rsidR="00FD05B1" w:rsidRPr="009846B4" w:rsidRDefault="00FD05B1" w:rsidP="003B672F">
      <w:pPr>
        <w:pStyle w:val="ListParagraph"/>
        <w:numPr>
          <w:ilvl w:val="0"/>
          <w:numId w:val="47"/>
        </w:numPr>
        <w:spacing w:before="120" w:after="120"/>
        <w:ind w:left="714" w:hanging="357"/>
        <w:contextualSpacing w:val="0"/>
        <w:jc w:val="both"/>
      </w:pPr>
      <w:r w:rsidRPr="009846B4">
        <w:t xml:space="preserve">Did the project increase </w:t>
      </w:r>
      <w:r w:rsidR="006321A6">
        <w:t>knowledge-exchange</w:t>
      </w:r>
      <w:r w:rsidRPr="009846B4">
        <w:t xml:space="preserve"> and learning in the target countries on applying INFF concepts? Please provide examples to support your response.</w:t>
      </w:r>
    </w:p>
    <w:p w14:paraId="007B584D" w14:textId="6092C2E8" w:rsidR="00FD05B1" w:rsidRPr="009846B4" w:rsidRDefault="00FD05B1" w:rsidP="003B672F">
      <w:pPr>
        <w:pStyle w:val="ListParagraph"/>
        <w:numPr>
          <w:ilvl w:val="0"/>
          <w:numId w:val="47"/>
        </w:numPr>
        <w:spacing w:before="120" w:after="120"/>
        <w:ind w:left="714" w:hanging="357"/>
        <w:contextualSpacing w:val="0"/>
        <w:jc w:val="both"/>
      </w:pPr>
      <w:r w:rsidRPr="009846B4">
        <w:t>How, if at all did the project contribute towards the development and implementation of INFFs in non-project countries? In what way, if at all, did UN entities (</w:t>
      </w:r>
      <w:r w:rsidR="00DE21FA">
        <w:t>executing entities</w:t>
      </w:r>
      <w:r w:rsidRPr="009846B4">
        <w:t>/ co-operating entities) support this process?</w:t>
      </w:r>
    </w:p>
    <w:p w14:paraId="16F737C6"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Were there any factors that supported results achievement? If yes, what were these factors and how did they contribute towards results achievement?</w:t>
      </w:r>
    </w:p>
    <w:p w14:paraId="25236A71"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Were there any factors that impeded results achievement? If yes, what were these factors and how did they affect the project? How were these factors addressed?</w:t>
      </w:r>
    </w:p>
    <w:p w14:paraId="5AB74947" w14:textId="77777777" w:rsidR="00FD05B1" w:rsidRPr="009846B4" w:rsidRDefault="00FD05B1" w:rsidP="003B672F">
      <w:pPr>
        <w:pStyle w:val="ListParagraph"/>
        <w:numPr>
          <w:ilvl w:val="0"/>
          <w:numId w:val="47"/>
        </w:numPr>
        <w:spacing w:before="120" w:after="120"/>
        <w:ind w:left="714" w:hanging="357"/>
        <w:contextualSpacing w:val="0"/>
        <w:jc w:val="both"/>
      </w:pPr>
      <w:r w:rsidRPr="009846B4">
        <w:t>What, if any, were the unexpected results of the project and how were they addressed?</w:t>
      </w:r>
    </w:p>
    <w:p w14:paraId="44831148" w14:textId="77777777" w:rsidR="00FD05B1" w:rsidRPr="009846B4" w:rsidRDefault="00FD05B1" w:rsidP="009846B4">
      <w:pPr>
        <w:spacing w:before="120" w:after="120"/>
        <w:jc w:val="both"/>
        <w:rPr>
          <w:b/>
          <w:bCs/>
        </w:rPr>
      </w:pPr>
      <w:r w:rsidRPr="009846B4">
        <w:rPr>
          <w:b/>
          <w:bCs/>
        </w:rPr>
        <w:t>Efficiency:</w:t>
      </w:r>
    </w:p>
    <w:p w14:paraId="733AC946"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In your opinion, has this project provided value for money? Please explain your response.</w:t>
      </w:r>
    </w:p>
    <w:p w14:paraId="314885A1"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What has been the value added of the project?</w:t>
      </w:r>
    </w:p>
    <w:p w14:paraId="463B4D6D"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 xml:space="preserve">How, if at all, did the project design contribute towards results achievement? </w:t>
      </w:r>
    </w:p>
    <w:p w14:paraId="6C162390"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Is there any aspect of the project that could have been designed differently to support results achievement? Please provide examples to explain your response.</w:t>
      </w:r>
    </w:p>
    <w:p w14:paraId="285F4AC4" w14:textId="77777777" w:rsidR="00FD05B1" w:rsidRPr="009846B4" w:rsidRDefault="00FD05B1" w:rsidP="003B672F">
      <w:pPr>
        <w:pStyle w:val="ListParagraph"/>
        <w:numPr>
          <w:ilvl w:val="0"/>
          <w:numId w:val="72"/>
        </w:numPr>
        <w:spacing w:before="120" w:after="120"/>
        <w:ind w:left="714" w:hanging="357"/>
        <w:contextualSpacing w:val="0"/>
        <w:jc w:val="both"/>
      </w:pPr>
      <w:r w:rsidRPr="009846B4">
        <w:t>How successful was the project in addressing risks/ challenges to implementation and results achievement? Please provide examples to explain your response.</w:t>
      </w:r>
    </w:p>
    <w:p w14:paraId="6AC419FE" w14:textId="77777777" w:rsidR="00FD05B1" w:rsidRPr="009846B4" w:rsidRDefault="00FD05B1" w:rsidP="009846B4">
      <w:pPr>
        <w:spacing w:before="120" w:after="120"/>
        <w:jc w:val="both"/>
        <w:rPr>
          <w:b/>
          <w:bCs/>
        </w:rPr>
      </w:pPr>
      <w:r w:rsidRPr="009846B4">
        <w:rPr>
          <w:b/>
          <w:bCs/>
        </w:rPr>
        <w:t>Cross-cutting theme: Gender:</w:t>
      </w:r>
    </w:p>
    <w:p w14:paraId="0026087C"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In your opinion, how were gender considerations integrated into the project?</w:t>
      </w:r>
    </w:p>
    <w:p w14:paraId="4E201D0A"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What measures should be taken in future projects to ensure that gender considerations are fully integrated into the projects?</w:t>
      </w:r>
    </w:p>
    <w:p w14:paraId="4106F7FA" w14:textId="77777777" w:rsidR="00FD05B1" w:rsidRPr="009846B4" w:rsidRDefault="00FD05B1" w:rsidP="009846B4">
      <w:pPr>
        <w:spacing w:before="120" w:after="120"/>
        <w:jc w:val="both"/>
        <w:rPr>
          <w:b/>
          <w:bCs/>
        </w:rPr>
      </w:pPr>
      <w:r w:rsidRPr="009846B4">
        <w:rPr>
          <w:b/>
          <w:bCs/>
        </w:rPr>
        <w:t>Cross-cutting theme: Human rights:</w:t>
      </w:r>
    </w:p>
    <w:p w14:paraId="436416E6"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In your opinion, how were human rights considerations integrated into the project?</w:t>
      </w:r>
    </w:p>
    <w:p w14:paraId="71CF50AA"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What measures should be taken in future projects to ensure that human rights considerations are fully integrated into the projects?</w:t>
      </w:r>
    </w:p>
    <w:p w14:paraId="3956852A" w14:textId="77777777" w:rsidR="00FD05B1" w:rsidRPr="009846B4" w:rsidRDefault="00FD05B1" w:rsidP="009846B4">
      <w:pPr>
        <w:spacing w:before="120" w:after="120"/>
        <w:jc w:val="both"/>
        <w:rPr>
          <w:b/>
          <w:bCs/>
        </w:rPr>
      </w:pPr>
      <w:r w:rsidRPr="009846B4">
        <w:rPr>
          <w:b/>
          <w:bCs/>
        </w:rPr>
        <w:t>Cross-cutting theme: Disability inclusion:</w:t>
      </w:r>
    </w:p>
    <w:p w14:paraId="473F7C64"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In your opinion, how were considerations for disability inclusion integrated into the project?</w:t>
      </w:r>
    </w:p>
    <w:p w14:paraId="6993E3E3" w14:textId="77777777" w:rsidR="00FD05B1" w:rsidRPr="009846B4" w:rsidRDefault="00FD05B1" w:rsidP="003B672F">
      <w:pPr>
        <w:pStyle w:val="ListParagraph"/>
        <w:numPr>
          <w:ilvl w:val="0"/>
          <w:numId w:val="73"/>
        </w:numPr>
        <w:spacing w:before="120" w:after="120"/>
        <w:ind w:left="714" w:hanging="357"/>
        <w:contextualSpacing w:val="0"/>
        <w:jc w:val="both"/>
      </w:pPr>
      <w:r w:rsidRPr="009846B4">
        <w:t>What measures should be taken in future projects to ensure that considerations for disability inclusion are fully integrated into the projects?</w:t>
      </w:r>
    </w:p>
    <w:p w14:paraId="699A7A51" w14:textId="77777777" w:rsidR="00FD05B1" w:rsidRPr="009846B4" w:rsidRDefault="00FD05B1" w:rsidP="009846B4">
      <w:pPr>
        <w:spacing w:before="120" w:after="120"/>
        <w:jc w:val="both"/>
        <w:rPr>
          <w:b/>
          <w:bCs/>
        </w:rPr>
      </w:pPr>
      <w:r w:rsidRPr="009846B4">
        <w:rPr>
          <w:b/>
          <w:bCs/>
        </w:rPr>
        <w:t>Impact:</w:t>
      </w:r>
    </w:p>
    <w:p w14:paraId="6653631E" w14:textId="77777777" w:rsidR="00FD05B1" w:rsidRPr="009846B4" w:rsidRDefault="00FD05B1" w:rsidP="003B672F">
      <w:pPr>
        <w:pStyle w:val="ListParagraph"/>
        <w:numPr>
          <w:ilvl w:val="0"/>
          <w:numId w:val="74"/>
        </w:numPr>
        <w:spacing w:before="120" w:after="120"/>
        <w:ind w:left="714" w:hanging="357"/>
        <w:contextualSpacing w:val="0"/>
        <w:jc w:val="both"/>
      </w:pPr>
      <w:r w:rsidRPr="009846B4">
        <w:t>How, if at all, did the project contribute towards strengthened capacities in the target countries to mobilise development financing? The alignment of development financing with national sustainable development capacities?</w:t>
      </w:r>
    </w:p>
    <w:p w14:paraId="280E731B" w14:textId="77777777" w:rsidR="00FD05B1" w:rsidRPr="009846B4" w:rsidRDefault="00FD05B1" w:rsidP="003B672F">
      <w:pPr>
        <w:pStyle w:val="ListParagraph"/>
        <w:numPr>
          <w:ilvl w:val="0"/>
          <w:numId w:val="74"/>
        </w:numPr>
        <w:spacing w:before="120" w:after="120"/>
        <w:ind w:left="714" w:hanging="357"/>
        <w:contextualSpacing w:val="0"/>
        <w:jc w:val="both"/>
      </w:pPr>
      <w:r w:rsidRPr="009846B4">
        <w:lastRenderedPageBreak/>
        <w:t>In your opinion, what are the factors that supported progress towards the expected project impact? The factors that hindered progress towards the expected impact? Please explain your response.</w:t>
      </w:r>
    </w:p>
    <w:p w14:paraId="4D629A4A" w14:textId="77777777" w:rsidR="00FD05B1" w:rsidRPr="009846B4" w:rsidRDefault="00FD05B1" w:rsidP="003B672F">
      <w:pPr>
        <w:pStyle w:val="ListParagraph"/>
        <w:numPr>
          <w:ilvl w:val="0"/>
          <w:numId w:val="74"/>
        </w:numPr>
        <w:spacing w:before="120" w:after="120"/>
        <w:ind w:left="714" w:hanging="357"/>
        <w:contextualSpacing w:val="0"/>
        <w:jc w:val="both"/>
      </w:pPr>
      <w:r w:rsidRPr="009846B4">
        <w:t>Did the project contribute towards any significant unintended change, whether positive or negative? Please provide examples to explain your response</w:t>
      </w:r>
    </w:p>
    <w:p w14:paraId="5AC5EDA9" w14:textId="77777777" w:rsidR="00FD05B1" w:rsidRPr="009846B4" w:rsidRDefault="00FD05B1" w:rsidP="009846B4">
      <w:pPr>
        <w:spacing w:before="120" w:after="120"/>
        <w:jc w:val="both"/>
        <w:rPr>
          <w:b/>
          <w:bCs/>
        </w:rPr>
      </w:pPr>
      <w:r w:rsidRPr="009846B4">
        <w:rPr>
          <w:b/>
          <w:bCs/>
        </w:rPr>
        <w:t>Sustainability:</w:t>
      </w:r>
    </w:p>
    <w:p w14:paraId="763B51FF" w14:textId="77777777" w:rsidR="00FD05B1" w:rsidRPr="009846B4" w:rsidRDefault="00FD05B1" w:rsidP="003B672F">
      <w:pPr>
        <w:pStyle w:val="ListParagraph"/>
        <w:numPr>
          <w:ilvl w:val="0"/>
          <w:numId w:val="75"/>
        </w:numPr>
        <w:spacing w:before="120" w:after="120"/>
        <w:contextualSpacing w:val="0"/>
        <w:jc w:val="both"/>
      </w:pPr>
      <w:r w:rsidRPr="009846B4">
        <w:t xml:space="preserve">What measures are place within the target countries to sustain the results of the project </w:t>
      </w:r>
      <w:r w:rsidRPr="009846B4">
        <w:rPr>
          <w:rFonts w:cstheme="minorHAnsi"/>
        </w:rPr>
        <w:t>beyond its end-date? What has been the contribution of the UN entities (implementing/ co-operating entities)?</w:t>
      </w:r>
    </w:p>
    <w:p w14:paraId="5CC5892A" w14:textId="77777777" w:rsidR="00FD05B1" w:rsidRPr="009846B4" w:rsidRDefault="00FD05B1" w:rsidP="009846B4">
      <w:pPr>
        <w:spacing w:before="120" w:after="120"/>
        <w:jc w:val="both"/>
        <w:rPr>
          <w:b/>
          <w:bCs/>
        </w:rPr>
      </w:pPr>
      <w:r w:rsidRPr="009846B4">
        <w:rPr>
          <w:b/>
          <w:bCs/>
        </w:rPr>
        <w:t>Lessons learned</w:t>
      </w:r>
    </w:p>
    <w:p w14:paraId="212BEEE5" w14:textId="77777777" w:rsidR="00FD05B1" w:rsidRPr="009846B4" w:rsidRDefault="00FD05B1" w:rsidP="003B672F">
      <w:pPr>
        <w:pStyle w:val="ListParagraph"/>
        <w:numPr>
          <w:ilvl w:val="0"/>
          <w:numId w:val="68"/>
        </w:numPr>
        <w:spacing w:before="120" w:after="120"/>
        <w:contextualSpacing w:val="0"/>
        <w:jc w:val="both"/>
      </w:pPr>
      <w:r w:rsidRPr="009846B4">
        <w:t>In your opinion, which elements of the project worked well? Please explain your response.</w:t>
      </w:r>
    </w:p>
    <w:p w14:paraId="2D788A7A" w14:textId="77777777" w:rsidR="00FD05B1" w:rsidRPr="009846B4" w:rsidRDefault="00FD05B1" w:rsidP="003B672F">
      <w:pPr>
        <w:pStyle w:val="ListParagraph"/>
        <w:numPr>
          <w:ilvl w:val="0"/>
          <w:numId w:val="68"/>
        </w:numPr>
        <w:spacing w:before="120" w:after="120"/>
        <w:ind w:left="714" w:hanging="357"/>
        <w:contextualSpacing w:val="0"/>
        <w:jc w:val="both"/>
      </w:pPr>
      <w:r w:rsidRPr="009846B4">
        <w:t>Which elements of the project need to be strengthened in future similar initiatives? Please explain your response.</w:t>
      </w:r>
    </w:p>
    <w:p w14:paraId="04654882" w14:textId="77777777" w:rsidR="00FD05B1" w:rsidRPr="009846B4" w:rsidRDefault="00FD05B1" w:rsidP="009846B4">
      <w:pPr>
        <w:spacing w:before="120" w:after="120"/>
        <w:jc w:val="both"/>
        <w:rPr>
          <w:b/>
          <w:bCs/>
        </w:rPr>
      </w:pPr>
      <w:r w:rsidRPr="009846B4">
        <w:rPr>
          <w:b/>
          <w:bCs/>
        </w:rPr>
        <w:t>Recommendations:</w:t>
      </w:r>
    </w:p>
    <w:p w14:paraId="3C9B6311" w14:textId="77777777" w:rsidR="00FD05B1" w:rsidRPr="009846B4" w:rsidRDefault="00FD05B1" w:rsidP="003B672F">
      <w:pPr>
        <w:pStyle w:val="ListParagraph"/>
        <w:numPr>
          <w:ilvl w:val="0"/>
          <w:numId w:val="69"/>
        </w:numPr>
        <w:spacing w:before="120" w:after="120"/>
        <w:ind w:left="714" w:hanging="357"/>
        <w:contextualSpacing w:val="0"/>
        <w:jc w:val="both"/>
      </w:pPr>
      <w:r w:rsidRPr="009846B4">
        <w:t>What are your recommendations for future similar projects/ a future phase of project implementation?</w:t>
      </w:r>
    </w:p>
    <w:p w14:paraId="303453BA" w14:textId="77777777" w:rsidR="00FD05B1" w:rsidRPr="009846B4" w:rsidRDefault="00FD05B1" w:rsidP="009846B4">
      <w:pPr>
        <w:spacing w:before="120" w:after="120"/>
        <w:jc w:val="both"/>
        <w:rPr>
          <w:b/>
          <w:bCs/>
        </w:rPr>
      </w:pPr>
      <w:r w:rsidRPr="009846B4">
        <w:rPr>
          <w:b/>
          <w:bCs/>
        </w:rPr>
        <w:t>Close:</w:t>
      </w:r>
    </w:p>
    <w:p w14:paraId="627CC429" w14:textId="77777777" w:rsidR="00FD05B1" w:rsidRPr="009846B4" w:rsidRDefault="00FD05B1" w:rsidP="003B672F">
      <w:pPr>
        <w:pStyle w:val="ListParagraph"/>
        <w:numPr>
          <w:ilvl w:val="0"/>
          <w:numId w:val="69"/>
        </w:numPr>
        <w:spacing w:before="120" w:after="120"/>
        <w:contextualSpacing w:val="0"/>
        <w:jc w:val="both"/>
      </w:pPr>
      <w:r w:rsidRPr="009846B4">
        <w:t xml:space="preserve">Are there any additional comments or suggestions you wish to make? </w:t>
      </w:r>
    </w:p>
    <w:p w14:paraId="677E3E92" w14:textId="77777777" w:rsidR="00FD05B1" w:rsidRPr="009846B4" w:rsidRDefault="00FD05B1" w:rsidP="009846B4">
      <w:pPr>
        <w:spacing w:before="120" w:after="120"/>
        <w:jc w:val="both"/>
      </w:pPr>
    </w:p>
    <w:p w14:paraId="71335388" w14:textId="77777777" w:rsidR="00FD05B1" w:rsidRPr="009846B4" w:rsidRDefault="00FD05B1" w:rsidP="009846B4">
      <w:pPr>
        <w:spacing w:before="120" w:after="120"/>
        <w:jc w:val="both"/>
      </w:pPr>
    </w:p>
    <w:p w14:paraId="59188935" w14:textId="77777777" w:rsidR="00FD05B1" w:rsidRPr="009846B4" w:rsidRDefault="00FD05B1" w:rsidP="009846B4">
      <w:pPr>
        <w:spacing w:before="120" w:after="120"/>
        <w:jc w:val="both"/>
      </w:pPr>
    </w:p>
    <w:p w14:paraId="1D549963" w14:textId="77777777" w:rsidR="00FD05B1" w:rsidRPr="009846B4" w:rsidRDefault="00FD05B1" w:rsidP="00DB4B02">
      <w:pPr>
        <w:spacing w:before="120" w:after="120"/>
        <w:jc w:val="center"/>
        <w:rPr>
          <w:b/>
          <w:bCs/>
        </w:rPr>
      </w:pPr>
      <w:r w:rsidRPr="009846B4">
        <w:rPr>
          <w:b/>
          <w:bCs/>
        </w:rPr>
        <w:t>Thank you for your time and cooperation.</w:t>
      </w:r>
    </w:p>
    <w:p w14:paraId="518D2A5A" w14:textId="77777777" w:rsidR="00FD05B1" w:rsidRDefault="00FD05B1" w:rsidP="00FD05B1"/>
    <w:p w14:paraId="2F9EB229" w14:textId="77777777" w:rsidR="00FD05B1" w:rsidRDefault="00FD05B1" w:rsidP="00FD05B1"/>
    <w:p w14:paraId="4169B6D8" w14:textId="77777777" w:rsidR="00AB61B9" w:rsidRDefault="00AB61B9" w:rsidP="00FD05B1">
      <w:pPr>
        <w:sectPr w:rsidR="00AB61B9" w:rsidSect="00F666A1">
          <w:type w:val="continuous"/>
          <w:pgSz w:w="12240" w:h="15840" w:code="1"/>
          <w:pgMar w:top="1276" w:right="1276" w:bottom="1588" w:left="1276" w:header="720" w:footer="720" w:gutter="0"/>
          <w:cols w:num="2" w:space="720"/>
          <w:docGrid w:linePitch="360"/>
        </w:sectPr>
      </w:pPr>
    </w:p>
    <w:p w14:paraId="7625A535" w14:textId="77777777" w:rsidR="00FD05B1" w:rsidRDefault="00FD05B1" w:rsidP="00FD05B1"/>
    <w:p w14:paraId="1D3FEC0D" w14:textId="77777777" w:rsidR="00FD05B1" w:rsidRDefault="00FD05B1" w:rsidP="00FD05B1">
      <w:r>
        <w:br w:type="page"/>
      </w:r>
    </w:p>
    <w:p w14:paraId="73831BB9" w14:textId="77777777" w:rsidR="00AB61B9" w:rsidRDefault="00AB61B9" w:rsidP="00DB4B02">
      <w:pPr>
        <w:pStyle w:val="FrontMatterH2"/>
        <w:sectPr w:rsidR="00AB61B9" w:rsidSect="00F666A1">
          <w:type w:val="continuous"/>
          <w:pgSz w:w="12240" w:h="15840" w:code="1"/>
          <w:pgMar w:top="1276" w:right="1276" w:bottom="1588" w:left="1276" w:header="720" w:footer="720" w:gutter="0"/>
          <w:cols w:space="720"/>
          <w:docGrid w:linePitch="360"/>
        </w:sectPr>
      </w:pPr>
    </w:p>
    <w:p w14:paraId="754B192F" w14:textId="77777777" w:rsidR="006B735C" w:rsidRDefault="00DB4B02" w:rsidP="00DB4B02">
      <w:pPr>
        <w:pStyle w:val="FrontMatterH2"/>
        <w:sectPr w:rsidR="006B735C" w:rsidSect="00F666A1">
          <w:type w:val="continuous"/>
          <w:pgSz w:w="12240" w:h="15840" w:code="1"/>
          <w:pgMar w:top="1276" w:right="1276" w:bottom="1588" w:left="1276" w:header="720" w:footer="720" w:gutter="0"/>
          <w:cols w:num="2" w:space="720"/>
          <w:docGrid w:linePitch="360"/>
        </w:sectPr>
      </w:pPr>
      <w:r w:rsidRPr="00296604">
        <w:lastRenderedPageBreak/>
        <w:t>Interview Protocol: Executing Entit</w:t>
      </w:r>
      <w:r w:rsidR="00D81C36">
        <w:t>ies</w:t>
      </w:r>
      <w:r w:rsidRPr="00296604">
        <w:t xml:space="preserve">/ </w:t>
      </w:r>
      <w:r w:rsidR="00D81C36">
        <w:t>Co-operating Entities</w:t>
      </w:r>
    </w:p>
    <w:p w14:paraId="48476D76" w14:textId="77777777" w:rsidR="00DB4B02" w:rsidRPr="00065117" w:rsidRDefault="00DB4B02" w:rsidP="00D81C36">
      <w:pPr>
        <w:pStyle w:val="FrontMatterH3"/>
        <w:spacing w:before="120" w:line="259" w:lineRule="auto"/>
        <w:jc w:val="both"/>
        <w:rPr>
          <w:color w:val="auto"/>
          <w:sz w:val="20"/>
          <w:szCs w:val="20"/>
        </w:rPr>
      </w:pPr>
      <w:r w:rsidRPr="00065117">
        <w:rPr>
          <w:color w:val="auto"/>
          <w:sz w:val="20"/>
          <w:szCs w:val="20"/>
        </w:rPr>
        <w:t>Introduction:</w:t>
      </w:r>
    </w:p>
    <w:p w14:paraId="773F1D5B" w14:textId="7BF7B8DF" w:rsidR="00DB4B02" w:rsidRPr="00D81C36" w:rsidRDefault="00DB4B02" w:rsidP="00D81C36">
      <w:pPr>
        <w:autoSpaceDE w:val="0"/>
        <w:autoSpaceDN w:val="0"/>
        <w:adjustRightInd w:val="0"/>
        <w:spacing w:before="120" w:after="120"/>
        <w:jc w:val="both"/>
      </w:pPr>
      <w:r w:rsidRPr="00D81C36">
        <w:t xml:space="preserve">This external evaluation has been commissioned by </w:t>
      </w:r>
      <w:r w:rsidR="000B36F9">
        <w:t>UNDESA-FSDO</w:t>
      </w:r>
      <w:r w:rsidRPr="00D81C36">
        <w:t xml:space="preserve"> to assess the following project: DA13 INFF Project 2124A - Towards Integrated National Financing Framework. The project was funded under the 13</w:t>
      </w:r>
      <w:r w:rsidRPr="00D81C36">
        <w:rPr>
          <w:vertAlign w:val="superscript"/>
        </w:rPr>
        <w:t>th</w:t>
      </w:r>
      <w:r w:rsidRPr="00D81C36">
        <w:t xml:space="preserve"> tranche of the Development Account, and was implemented jointly, by </w:t>
      </w:r>
      <w:r w:rsidR="000B36F9">
        <w:t>UNDESA-FSDO</w:t>
      </w:r>
      <w:r w:rsidRPr="00D81C36">
        <w:t xml:space="preserve"> and six UN </w:t>
      </w:r>
      <w:r w:rsidR="00DE21FA">
        <w:t>executing entities</w:t>
      </w:r>
      <w:r w:rsidRPr="00D81C36">
        <w:t>: UNECA; UNECE; UNECLAC UNESCAP; UNESCWA and UNCTAD. During the period of implementation, January 2021 to December 2024, the project was used to strengthen the capacities of 10 countries to mobilise and align financing with sustainable development priorities. The target project countries were located in five UN regions: Africa (Burkina Faso and Zambia; Asia and the Pacific (Pakistan and Samoa); Europe (Belarus and Kyrgyzstan); Latin America and the Caribbean (Costa Rica and Dominican Republic); and Western Asia (Egypt and Jordan).</w:t>
      </w:r>
    </w:p>
    <w:p w14:paraId="4B5635ED" w14:textId="77777777" w:rsidR="00DB4B02" w:rsidRPr="00D81C36" w:rsidRDefault="00DB4B02" w:rsidP="00D81C36">
      <w:pPr>
        <w:spacing w:before="120" w:after="120"/>
        <w:jc w:val="both"/>
        <w:rPr>
          <w:rFonts w:eastAsia="Times New Roman" w:cs="Calibri"/>
        </w:rPr>
      </w:pPr>
      <w:r w:rsidRPr="00D81C36">
        <w:t xml:space="preserve">As its main objective, the evaluation is being used to facilitate accountability and organisational learning by assessing project performance across six criteria (relevance; coherence; effectiveness; efficiency; impact and sustainability). The evaluation will also be used to identify lessons learned from project design and implementation, including </w:t>
      </w:r>
      <w:r w:rsidRPr="00D81C36">
        <w:rPr>
          <w:rFonts w:eastAsia="Times New Roman" w:cs="Calibri"/>
        </w:rPr>
        <w:t>successful strategies; challenges encountered; and good practices. It will further provide recommendations to inform future similar interventions.</w:t>
      </w:r>
    </w:p>
    <w:p w14:paraId="455FA754" w14:textId="77777777" w:rsidR="00DB4B02" w:rsidRPr="00D81C36" w:rsidRDefault="00DB4B02" w:rsidP="00D81C36">
      <w:pPr>
        <w:spacing w:before="120" w:after="120"/>
        <w:jc w:val="both"/>
      </w:pPr>
      <w:r w:rsidRPr="00D81C36">
        <w:rPr>
          <w:rFonts w:cs="Calibri"/>
        </w:rPr>
        <w:t xml:space="preserve">To increase the accuracy of the evaluation results, all partner agencies and all categories of project stakeholders are being provided with the opportunity to share their views on their individual project experience. Participation in this exercise is voluntary and will </w:t>
      </w:r>
      <w:r w:rsidRPr="00D81C36">
        <w:t>last for approximately 45 – 60 minutes. All discussions will be confidential and there is no risk to participation. The evaluator will only share anonymised and generalised findings that cannot be used to identify individual participants.</w:t>
      </w:r>
    </w:p>
    <w:p w14:paraId="01A32061" w14:textId="77777777" w:rsidR="00DB4B02" w:rsidRPr="00D81C36" w:rsidRDefault="00DB4B02" w:rsidP="00D81C36">
      <w:pPr>
        <w:pStyle w:val="Reporttext"/>
        <w:spacing w:after="120" w:line="259" w:lineRule="auto"/>
        <w:rPr>
          <w:rFonts w:asciiTheme="minorHAnsi" w:hAnsiTheme="minorHAnsi" w:cs="Calibri"/>
          <w:sz w:val="20"/>
          <w:lang w:val="en-GB"/>
        </w:rPr>
      </w:pPr>
      <w:r w:rsidRPr="00D81C36">
        <w:rPr>
          <w:rFonts w:asciiTheme="minorHAnsi" w:hAnsiTheme="minorHAnsi" w:cs="Calibri"/>
          <w:sz w:val="20"/>
          <w:lang w:val="en-GB"/>
        </w:rPr>
        <w:t xml:space="preserve">For further information about the evaluation, please contact </w:t>
      </w:r>
      <w:r w:rsidRPr="00D81C36">
        <w:rPr>
          <w:rFonts w:asciiTheme="minorHAnsi" w:hAnsiTheme="minorHAnsi" w:cs="Calibri"/>
          <w:sz w:val="20"/>
        </w:rPr>
        <w:t xml:space="preserve">the evaluation coordinator, Mr Peter Chowla, at </w:t>
      </w:r>
      <w:hyperlink r:id="rId138" w:history="1">
        <w:r w:rsidRPr="00D81C36">
          <w:rPr>
            <w:rStyle w:val="Hyperlink"/>
            <w:rFonts w:asciiTheme="minorHAnsi" w:hAnsiTheme="minorHAnsi" w:cs="Calibri"/>
            <w:sz w:val="20"/>
          </w:rPr>
          <w:t>chowla@un.org</w:t>
        </w:r>
      </w:hyperlink>
      <w:r w:rsidRPr="00D81C36">
        <w:rPr>
          <w:rFonts w:asciiTheme="minorHAnsi" w:hAnsiTheme="minorHAnsi" w:cs="Calibri"/>
          <w:sz w:val="20"/>
        </w:rPr>
        <w:t xml:space="preserve"> or the Programme Management Assistant, Mr George Meladze, at </w:t>
      </w:r>
      <w:hyperlink r:id="rId139" w:history="1">
        <w:r w:rsidRPr="00D81C36">
          <w:rPr>
            <w:rStyle w:val="Hyperlink"/>
            <w:rFonts w:asciiTheme="minorHAnsi" w:hAnsiTheme="minorHAnsi" w:cs="Calibri"/>
            <w:sz w:val="20"/>
          </w:rPr>
          <w:t>meladze@un.org</w:t>
        </w:r>
      </w:hyperlink>
      <w:r w:rsidRPr="00D81C36">
        <w:rPr>
          <w:rFonts w:asciiTheme="minorHAnsi" w:hAnsiTheme="minorHAnsi" w:cs="Calibri"/>
          <w:sz w:val="20"/>
        </w:rPr>
        <w:t xml:space="preserve">. </w:t>
      </w:r>
      <w:r w:rsidRPr="00D81C36">
        <w:rPr>
          <w:rFonts w:asciiTheme="minorHAnsi" w:hAnsiTheme="minorHAnsi"/>
          <w:sz w:val="20"/>
        </w:rPr>
        <w:t xml:space="preserve">By proceeding with this </w:t>
      </w:r>
      <w:r w:rsidRPr="00D81C36">
        <w:rPr>
          <w:rFonts w:asciiTheme="minorHAnsi" w:hAnsiTheme="minorHAnsi"/>
          <w:sz w:val="20"/>
        </w:rPr>
        <w:t>discussion, your consent to participate in the evaluation will be documented.</w:t>
      </w:r>
    </w:p>
    <w:p w14:paraId="6A1DDB10" w14:textId="77777777" w:rsidR="00DB4B02" w:rsidRPr="00D81C36" w:rsidRDefault="00DB4B02" w:rsidP="00D81C36">
      <w:pPr>
        <w:spacing w:before="120" w:after="120"/>
        <w:jc w:val="both"/>
      </w:pPr>
      <w:r w:rsidRPr="00D81C36">
        <w:t>Thank you, in advance, for your time and cooperation. Before we begin, do you have any questions?</w:t>
      </w:r>
    </w:p>
    <w:p w14:paraId="58B08D9D" w14:textId="07062465" w:rsidR="00FD05B1" w:rsidRPr="00D81C36" w:rsidRDefault="00FD05B1" w:rsidP="00D81C36">
      <w:pPr>
        <w:spacing w:before="120" w:after="120"/>
        <w:jc w:val="both"/>
        <w:rPr>
          <w:b/>
          <w:bCs/>
        </w:rPr>
      </w:pPr>
      <w:r w:rsidRPr="00D81C36">
        <w:rPr>
          <w:b/>
          <w:bCs/>
        </w:rPr>
        <w:t>Background:</w:t>
      </w:r>
    </w:p>
    <w:p w14:paraId="083593BC" w14:textId="77777777" w:rsidR="00FD05B1" w:rsidRPr="00D81C36" w:rsidRDefault="00FD05B1" w:rsidP="003B672F">
      <w:pPr>
        <w:pStyle w:val="ListParagraph"/>
        <w:numPr>
          <w:ilvl w:val="0"/>
          <w:numId w:val="67"/>
        </w:numPr>
        <w:spacing w:before="120" w:after="120"/>
        <w:contextualSpacing w:val="0"/>
        <w:jc w:val="both"/>
      </w:pPr>
      <w:r w:rsidRPr="00D81C36">
        <w:t>What is your job title? How long have you been in this position?</w:t>
      </w:r>
    </w:p>
    <w:p w14:paraId="0A7142A8" w14:textId="77777777" w:rsidR="00FD05B1" w:rsidRPr="00D81C36" w:rsidRDefault="00FD05B1" w:rsidP="003B672F">
      <w:pPr>
        <w:pStyle w:val="ListParagraph"/>
        <w:numPr>
          <w:ilvl w:val="0"/>
          <w:numId w:val="67"/>
        </w:numPr>
        <w:spacing w:before="120" w:after="120"/>
        <w:ind w:left="714" w:hanging="357"/>
        <w:contextualSpacing w:val="0"/>
        <w:jc w:val="both"/>
      </w:pPr>
      <w:r w:rsidRPr="00D81C36">
        <w:t>What are your current responsibilities?</w:t>
      </w:r>
    </w:p>
    <w:p w14:paraId="3616D2B7" w14:textId="77777777" w:rsidR="00FD05B1" w:rsidRPr="00D81C36" w:rsidRDefault="00FD05B1" w:rsidP="003B672F">
      <w:pPr>
        <w:pStyle w:val="ListParagraph"/>
        <w:numPr>
          <w:ilvl w:val="0"/>
          <w:numId w:val="67"/>
        </w:numPr>
        <w:spacing w:before="120" w:after="120"/>
        <w:contextualSpacing w:val="0"/>
        <w:jc w:val="both"/>
      </w:pPr>
      <w:r w:rsidRPr="00D81C36">
        <w:t>Please describe your involvement in the project?</w:t>
      </w:r>
    </w:p>
    <w:p w14:paraId="249E8C5A" w14:textId="77777777" w:rsidR="00FD05B1" w:rsidRPr="00D81C36" w:rsidRDefault="00FD05B1" w:rsidP="00D81C36">
      <w:pPr>
        <w:spacing w:before="120" w:after="120"/>
        <w:jc w:val="both"/>
        <w:rPr>
          <w:b/>
          <w:bCs/>
        </w:rPr>
      </w:pPr>
      <w:r w:rsidRPr="00D81C36">
        <w:rPr>
          <w:b/>
          <w:bCs/>
        </w:rPr>
        <w:t>Relevance:</w:t>
      </w:r>
    </w:p>
    <w:p w14:paraId="717B1250" w14:textId="77777777" w:rsidR="00FD05B1" w:rsidRPr="00D81C36" w:rsidRDefault="00FD05B1" w:rsidP="003B672F">
      <w:pPr>
        <w:pStyle w:val="ListParagraph"/>
        <w:numPr>
          <w:ilvl w:val="0"/>
          <w:numId w:val="70"/>
        </w:numPr>
        <w:spacing w:before="120" w:after="120"/>
        <w:ind w:left="714" w:hanging="357"/>
        <w:contextualSpacing w:val="0"/>
        <w:jc w:val="both"/>
      </w:pPr>
      <w:r w:rsidRPr="00D81C36">
        <w:t>In your opinion, what were the specific capacity needs and challenges of the project countries in relation to development financing? How, if at all, did this project address these capacity needs and challenges? Please provide examples to support your response.</w:t>
      </w:r>
    </w:p>
    <w:p w14:paraId="197A7B0E" w14:textId="77777777" w:rsidR="00FD05B1" w:rsidRPr="00D81C36" w:rsidRDefault="00FD05B1" w:rsidP="003B672F">
      <w:pPr>
        <w:pStyle w:val="ListParagraph"/>
        <w:numPr>
          <w:ilvl w:val="0"/>
          <w:numId w:val="70"/>
        </w:numPr>
        <w:spacing w:before="120" w:after="120"/>
        <w:contextualSpacing w:val="0"/>
        <w:jc w:val="both"/>
      </w:pPr>
      <w:r w:rsidRPr="00D81C36">
        <w:t xml:space="preserve">What was the alignment between the project and the strategic priorities of your Agency? </w:t>
      </w:r>
    </w:p>
    <w:p w14:paraId="0ACF8275" w14:textId="77777777" w:rsidR="00FD05B1" w:rsidRPr="00D81C36" w:rsidRDefault="00FD05B1" w:rsidP="00D81C36">
      <w:pPr>
        <w:spacing w:before="120" w:after="120"/>
        <w:jc w:val="both"/>
        <w:rPr>
          <w:b/>
          <w:bCs/>
        </w:rPr>
      </w:pPr>
      <w:r w:rsidRPr="00D81C36">
        <w:rPr>
          <w:b/>
          <w:bCs/>
        </w:rPr>
        <w:t>Coherence:</w:t>
      </w:r>
    </w:p>
    <w:p w14:paraId="55CC8916" w14:textId="77777777" w:rsidR="00FD05B1" w:rsidRPr="00D81C36" w:rsidRDefault="00FD05B1" w:rsidP="003B672F">
      <w:pPr>
        <w:pStyle w:val="ListParagraph"/>
        <w:numPr>
          <w:ilvl w:val="0"/>
          <w:numId w:val="71"/>
        </w:numPr>
        <w:spacing w:before="120" w:after="120"/>
        <w:ind w:left="714" w:hanging="357"/>
        <w:contextualSpacing w:val="0"/>
        <w:jc w:val="both"/>
      </w:pPr>
      <w:r w:rsidRPr="00D81C36">
        <w:t xml:space="preserve">Did the project complement other interventions by your Agency within the target countries/ regions or was there a duplication of efforts? </w:t>
      </w:r>
      <w:r w:rsidRPr="00D81C36">
        <w:rPr>
          <w:rFonts w:cstheme="minorHAnsi"/>
        </w:rPr>
        <w:t>Please explain your response.</w:t>
      </w:r>
    </w:p>
    <w:p w14:paraId="22B3EEE1" w14:textId="77777777" w:rsidR="00FD05B1" w:rsidRPr="00D81C36" w:rsidRDefault="00FD05B1" w:rsidP="003B672F">
      <w:pPr>
        <w:pStyle w:val="ListParagraph"/>
        <w:numPr>
          <w:ilvl w:val="0"/>
          <w:numId w:val="71"/>
        </w:numPr>
        <w:spacing w:before="120" w:after="120"/>
        <w:ind w:left="714" w:hanging="357"/>
        <w:contextualSpacing w:val="0"/>
        <w:jc w:val="both"/>
      </w:pPr>
      <w:r w:rsidRPr="00D81C36">
        <w:t>In your opinion, did the project complement or duplicate any initiatives by other development actors within the target countries/ regions? Please explain your response.</w:t>
      </w:r>
    </w:p>
    <w:p w14:paraId="6BDFF811" w14:textId="77777777" w:rsidR="00FD05B1" w:rsidRPr="00D81C36" w:rsidRDefault="00FD05B1" w:rsidP="003B672F">
      <w:pPr>
        <w:pStyle w:val="ListParagraph"/>
        <w:numPr>
          <w:ilvl w:val="0"/>
          <w:numId w:val="71"/>
        </w:numPr>
        <w:spacing w:before="120" w:after="120"/>
        <w:ind w:left="714" w:hanging="357"/>
        <w:contextualSpacing w:val="0"/>
        <w:jc w:val="both"/>
      </w:pPr>
      <w:r w:rsidRPr="00D81C36">
        <w:t xml:space="preserve">In what way, if at all, did the project respond </w:t>
      </w:r>
      <w:r w:rsidRPr="00D81C36">
        <w:rPr>
          <w:rFonts w:cstheme="minorHAnsi"/>
        </w:rPr>
        <w:t xml:space="preserve">to the identified/ expressed needs of non-project countries within the target regions? </w:t>
      </w:r>
    </w:p>
    <w:p w14:paraId="0A3C8536" w14:textId="77777777" w:rsidR="00FD05B1" w:rsidRPr="00D81C36" w:rsidRDefault="00FD05B1" w:rsidP="00D81C36">
      <w:pPr>
        <w:spacing w:before="120" w:after="120"/>
        <w:jc w:val="both"/>
        <w:rPr>
          <w:b/>
          <w:bCs/>
        </w:rPr>
      </w:pPr>
      <w:r w:rsidRPr="00D81C36">
        <w:rPr>
          <w:b/>
          <w:bCs/>
        </w:rPr>
        <w:t>Effectiveness:</w:t>
      </w:r>
    </w:p>
    <w:p w14:paraId="4ECF24C9"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 xml:space="preserve">What, in your opinion, are the main results of this project? </w:t>
      </w:r>
    </w:p>
    <w:p w14:paraId="7BC30763" w14:textId="77777777" w:rsidR="00FD05B1" w:rsidRPr="00D81C36" w:rsidRDefault="00FD05B1" w:rsidP="003B672F">
      <w:pPr>
        <w:pStyle w:val="ListParagraph"/>
        <w:numPr>
          <w:ilvl w:val="0"/>
          <w:numId w:val="47"/>
        </w:numPr>
        <w:spacing w:before="120" w:after="120"/>
        <w:ind w:left="714" w:hanging="357"/>
        <w:contextualSpacing w:val="0"/>
        <w:jc w:val="both"/>
      </w:pPr>
      <w:r w:rsidRPr="00D81C36">
        <w:lastRenderedPageBreak/>
        <w:t xml:space="preserve">How, if at all, did the project contribute towards the strengthening of national capacity in development financing strategies within the target countries? </w:t>
      </w:r>
    </w:p>
    <w:p w14:paraId="03FF4F0A" w14:textId="77777777" w:rsidR="00FD05B1" w:rsidRPr="00D81C36" w:rsidRDefault="00FD05B1" w:rsidP="003B672F">
      <w:pPr>
        <w:pStyle w:val="ListParagraph"/>
        <w:numPr>
          <w:ilvl w:val="1"/>
          <w:numId w:val="47"/>
        </w:numPr>
        <w:spacing w:before="120" w:after="120"/>
        <w:contextualSpacing w:val="0"/>
        <w:jc w:val="both"/>
      </w:pPr>
      <w:r w:rsidRPr="00D81C36">
        <w:t xml:space="preserve">Was there any alignment between these strategies and the national development plans? </w:t>
      </w:r>
    </w:p>
    <w:p w14:paraId="7487DFA9" w14:textId="77777777" w:rsidR="00FD05B1" w:rsidRPr="00D81C36" w:rsidRDefault="00FD05B1" w:rsidP="003B672F">
      <w:pPr>
        <w:pStyle w:val="ListParagraph"/>
        <w:numPr>
          <w:ilvl w:val="1"/>
          <w:numId w:val="47"/>
        </w:numPr>
        <w:spacing w:before="120" w:after="120"/>
        <w:contextualSpacing w:val="0"/>
        <w:jc w:val="both"/>
      </w:pPr>
      <w:r w:rsidRPr="00D81C36">
        <w:t>In what way, if at all, did the strengthened capacity mitigate the impact of COVID-19 in the target countries?</w:t>
      </w:r>
    </w:p>
    <w:p w14:paraId="1B9C5CF8" w14:textId="096C70BB" w:rsidR="00FD05B1" w:rsidRPr="00D81C36" w:rsidRDefault="00FD05B1" w:rsidP="003B672F">
      <w:pPr>
        <w:pStyle w:val="ListParagraph"/>
        <w:numPr>
          <w:ilvl w:val="0"/>
          <w:numId w:val="47"/>
        </w:numPr>
        <w:spacing w:before="120" w:after="120"/>
        <w:ind w:left="714" w:hanging="357"/>
        <w:contextualSpacing w:val="0"/>
        <w:jc w:val="both"/>
      </w:pPr>
      <w:r w:rsidRPr="00D81C36">
        <w:t xml:space="preserve">Did the project increase </w:t>
      </w:r>
      <w:r w:rsidR="006321A6">
        <w:t>knowledge-exchange</w:t>
      </w:r>
      <w:r w:rsidRPr="00D81C36">
        <w:t xml:space="preserve"> and learning in the target countries on applying INFF concepts? Please provide examples to support your response.</w:t>
      </w:r>
    </w:p>
    <w:p w14:paraId="58A75243"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How, if at all did the project contribute towards the development and implementation of INFFs in non-project countries? In what way, if at all, did your Agency support this process?</w:t>
      </w:r>
    </w:p>
    <w:p w14:paraId="260BA8B6"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Were there any factors that supported results achievement? If yes, what were these factors and how did they contribute towards results achievement?</w:t>
      </w:r>
    </w:p>
    <w:p w14:paraId="285415D3"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Were there any factors that impeded results achievement? If yes, what were these factors and how did they affect the project? How were these factors addressed?</w:t>
      </w:r>
    </w:p>
    <w:p w14:paraId="3CD612F9" w14:textId="77777777" w:rsidR="00FD05B1" w:rsidRPr="00D81C36" w:rsidRDefault="00FD05B1" w:rsidP="003B672F">
      <w:pPr>
        <w:pStyle w:val="ListParagraph"/>
        <w:numPr>
          <w:ilvl w:val="0"/>
          <w:numId w:val="47"/>
        </w:numPr>
        <w:spacing w:before="120" w:after="120"/>
        <w:ind w:left="714" w:hanging="357"/>
        <w:contextualSpacing w:val="0"/>
        <w:jc w:val="both"/>
      </w:pPr>
      <w:r w:rsidRPr="00D81C36">
        <w:t>What, if any, were the unexpected results of the project and how were they addressed?</w:t>
      </w:r>
    </w:p>
    <w:p w14:paraId="7BA2B3B1" w14:textId="77777777" w:rsidR="00FD05B1" w:rsidRPr="00D81C36" w:rsidRDefault="00FD05B1" w:rsidP="00D81C36">
      <w:pPr>
        <w:spacing w:before="120" w:after="120"/>
        <w:jc w:val="both"/>
        <w:rPr>
          <w:b/>
          <w:bCs/>
        </w:rPr>
      </w:pPr>
      <w:r w:rsidRPr="00D81C36">
        <w:rPr>
          <w:b/>
          <w:bCs/>
        </w:rPr>
        <w:t>Efficiency:</w:t>
      </w:r>
    </w:p>
    <w:p w14:paraId="2BD49A51"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In your opinion, has this project provided value for money? Please explain your response.</w:t>
      </w:r>
    </w:p>
    <w:p w14:paraId="1630E993"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What has been the value added of the project?</w:t>
      </w:r>
    </w:p>
    <w:p w14:paraId="6D7D5F34"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 xml:space="preserve">How, if at all, did the project design contribute towards results achievement? </w:t>
      </w:r>
    </w:p>
    <w:p w14:paraId="7DBA2D92"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Is there any aspect of the project that could have been designed differently to support results achievement? Please provide examples to explain your response.</w:t>
      </w:r>
    </w:p>
    <w:p w14:paraId="6A733897" w14:textId="77777777" w:rsidR="00FD05B1" w:rsidRPr="00D81C36" w:rsidRDefault="00FD05B1" w:rsidP="003B672F">
      <w:pPr>
        <w:pStyle w:val="ListParagraph"/>
        <w:numPr>
          <w:ilvl w:val="0"/>
          <w:numId w:val="72"/>
        </w:numPr>
        <w:spacing w:before="120" w:after="120"/>
        <w:ind w:left="714" w:hanging="357"/>
        <w:contextualSpacing w:val="0"/>
        <w:jc w:val="both"/>
      </w:pPr>
      <w:r w:rsidRPr="00D81C36">
        <w:t>How successful was the project in addressing risks/ challenges to implementation and results achievement? Please provide examples to explain your response.</w:t>
      </w:r>
    </w:p>
    <w:p w14:paraId="614EF11D" w14:textId="77777777" w:rsidR="00FD05B1" w:rsidRPr="00D81C36" w:rsidRDefault="00FD05B1" w:rsidP="00D81C36">
      <w:pPr>
        <w:spacing w:before="120" w:after="120"/>
        <w:jc w:val="both"/>
        <w:rPr>
          <w:b/>
          <w:bCs/>
        </w:rPr>
      </w:pPr>
      <w:r w:rsidRPr="00D81C36">
        <w:rPr>
          <w:b/>
          <w:bCs/>
        </w:rPr>
        <w:t>Cross-cutting theme: Gender:</w:t>
      </w:r>
    </w:p>
    <w:p w14:paraId="2C84D3D5"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In your opinion, how were gender considerations integrated into the project?</w:t>
      </w:r>
    </w:p>
    <w:p w14:paraId="7EBF543D"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What measures should be taken in future projects to ensure that gender considerations are fully integrated into the projects?</w:t>
      </w:r>
    </w:p>
    <w:p w14:paraId="0D0F9B67" w14:textId="77777777" w:rsidR="00FD05B1" w:rsidRPr="00D81C36" w:rsidRDefault="00FD05B1" w:rsidP="00D81C36">
      <w:pPr>
        <w:spacing w:before="120" w:after="120"/>
        <w:jc w:val="both"/>
        <w:rPr>
          <w:b/>
          <w:bCs/>
        </w:rPr>
      </w:pPr>
      <w:r w:rsidRPr="00D81C36">
        <w:rPr>
          <w:b/>
          <w:bCs/>
        </w:rPr>
        <w:t>Cross-cutting theme: Human rights:</w:t>
      </w:r>
    </w:p>
    <w:p w14:paraId="2AC97FFB"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In your opinion, how were human rights considerations integrated into the project?</w:t>
      </w:r>
    </w:p>
    <w:p w14:paraId="0F3F978E"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What measures should be taken in future projects to ensure that human rights considerations are fully integrated into the projects?</w:t>
      </w:r>
    </w:p>
    <w:p w14:paraId="15A5CE1F" w14:textId="77777777" w:rsidR="00FD05B1" w:rsidRPr="00D81C36" w:rsidRDefault="00FD05B1" w:rsidP="00D81C36">
      <w:pPr>
        <w:spacing w:before="120" w:after="120"/>
        <w:jc w:val="both"/>
        <w:rPr>
          <w:b/>
          <w:bCs/>
        </w:rPr>
      </w:pPr>
      <w:r w:rsidRPr="00D81C36">
        <w:rPr>
          <w:b/>
          <w:bCs/>
        </w:rPr>
        <w:t>Cross-cutting theme: Disability inclusion:</w:t>
      </w:r>
    </w:p>
    <w:p w14:paraId="14E14332"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In your opinion, how were considerations for disability inclusion integrated into the project?</w:t>
      </w:r>
    </w:p>
    <w:p w14:paraId="20DB9707" w14:textId="77777777" w:rsidR="00FD05B1" w:rsidRPr="00D81C36" w:rsidRDefault="00FD05B1" w:rsidP="003B672F">
      <w:pPr>
        <w:pStyle w:val="ListParagraph"/>
        <w:numPr>
          <w:ilvl w:val="0"/>
          <w:numId w:val="73"/>
        </w:numPr>
        <w:spacing w:before="120" w:after="120"/>
        <w:ind w:left="714" w:hanging="357"/>
        <w:contextualSpacing w:val="0"/>
        <w:jc w:val="both"/>
      </w:pPr>
      <w:r w:rsidRPr="00D81C36">
        <w:t>What measures should be taken in future projects to ensure that considerations for disability inclusion are fully integrated into the projects?</w:t>
      </w:r>
    </w:p>
    <w:p w14:paraId="233DB46C" w14:textId="77777777" w:rsidR="00FD05B1" w:rsidRPr="00D81C36" w:rsidRDefault="00FD05B1" w:rsidP="00D81C36">
      <w:pPr>
        <w:spacing w:before="120" w:after="120"/>
        <w:jc w:val="both"/>
        <w:rPr>
          <w:b/>
          <w:bCs/>
        </w:rPr>
      </w:pPr>
      <w:r w:rsidRPr="00D81C36">
        <w:rPr>
          <w:b/>
          <w:bCs/>
        </w:rPr>
        <w:t>Impact:</w:t>
      </w:r>
    </w:p>
    <w:p w14:paraId="113F54A6" w14:textId="77777777" w:rsidR="00FD05B1" w:rsidRPr="00D81C36" w:rsidRDefault="00FD05B1" w:rsidP="003B672F">
      <w:pPr>
        <w:pStyle w:val="ListParagraph"/>
        <w:numPr>
          <w:ilvl w:val="0"/>
          <w:numId w:val="74"/>
        </w:numPr>
        <w:spacing w:before="120" w:after="120"/>
        <w:ind w:left="714" w:hanging="357"/>
        <w:contextualSpacing w:val="0"/>
        <w:jc w:val="both"/>
      </w:pPr>
      <w:r w:rsidRPr="00D81C36">
        <w:t>How, if at all, did the project contribute towards strengthened capacities in the target countries to mobilise development financing? The alignment of development financing with national sustainable development capacities?</w:t>
      </w:r>
    </w:p>
    <w:p w14:paraId="459F2DBC" w14:textId="77777777" w:rsidR="00FD05B1" w:rsidRPr="00D81C36" w:rsidRDefault="00FD05B1" w:rsidP="003B672F">
      <w:pPr>
        <w:pStyle w:val="ListParagraph"/>
        <w:numPr>
          <w:ilvl w:val="0"/>
          <w:numId w:val="74"/>
        </w:numPr>
        <w:spacing w:before="120" w:after="120"/>
        <w:ind w:left="714" w:hanging="357"/>
        <w:contextualSpacing w:val="0"/>
        <w:jc w:val="both"/>
      </w:pPr>
      <w:r w:rsidRPr="00D81C36">
        <w:t>In your opinion, what are the factors that supported progress towards the expected project impact? The factors that hindered progress towards the expected impact? Please explain your response.</w:t>
      </w:r>
    </w:p>
    <w:p w14:paraId="06AA5F70" w14:textId="77777777" w:rsidR="00FD05B1" w:rsidRPr="00D81C36" w:rsidRDefault="00FD05B1" w:rsidP="003B672F">
      <w:pPr>
        <w:pStyle w:val="ListParagraph"/>
        <w:numPr>
          <w:ilvl w:val="0"/>
          <w:numId w:val="74"/>
        </w:numPr>
        <w:spacing w:before="120" w:after="120"/>
        <w:ind w:left="714" w:hanging="357"/>
        <w:contextualSpacing w:val="0"/>
        <w:jc w:val="both"/>
      </w:pPr>
      <w:r w:rsidRPr="00D81C36">
        <w:t xml:space="preserve">Did the project contribute towards any significant unintended change, whether </w:t>
      </w:r>
      <w:r w:rsidRPr="00D81C36">
        <w:lastRenderedPageBreak/>
        <w:t>positive or negative? Please provide examples to explain your response</w:t>
      </w:r>
    </w:p>
    <w:p w14:paraId="511C12DE" w14:textId="77777777" w:rsidR="00FD05B1" w:rsidRPr="00D81C36" w:rsidRDefault="00FD05B1" w:rsidP="00D81C36">
      <w:pPr>
        <w:spacing w:before="120" w:after="120"/>
        <w:jc w:val="both"/>
        <w:rPr>
          <w:b/>
          <w:bCs/>
        </w:rPr>
      </w:pPr>
      <w:r w:rsidRPr="00D81C36">
        <w:rPr>
          <w:b/>
          <w:bCs/>
        </w:rPr>
        <w:t>Sustainability:</w:t>
      </w:r>
    </w:p>
    <w:p w14:paraId="3D0CBDEB" w14:textId="77777777" w:rsidR="00FD05B1" w:rsidRPr="00D81C36" w:rsidRDefault="00FD05B1" w:rsidP="003B672F">
      <w:pPr>
        <w:pStyle w:val="ListParagraph"/>
        <w:numPr>
          <w:ilvl w:val="0"/>
          <w:numId w:val="75"/>
        </w:numPr>
        <w:spacing w:before="120" w:after="120"/>
        <w:contextualSpacing w:val="0"/>
        <w:jc w:val="both"/>
      </w:pPr>
      <w:r w:rsidRPr="00D81C36">
        <w:t xml:space="preserve">What measures are place within the target countries to sustain the results of the project </w:t>
      </w:r>
      <w:r w:rsidRPr="00D81C36">
        <w:rPr>
          <w:rFonts w:cstheme="minorHAnsi"/>
        </w:rPr>
        <w:t>beyond its end-date? What has been the contribution of the UN entities (implementing/ co-operating entities)?</w:t>
      </w:r>
    </w:p>
    <w:p w14:paraId="2CDEB019" w14:textId="77777777" w:rsidR="00FD05B1" w:rsidRPr="00D81C36" w:rsidRDefault="00FD05B1" w:rsidP="00D81C36">
      <w:pPr>
        <w:spacing w:before="120" w:after="120"/>
        <w:jc w:val="both"/>
        <w:rPr>
          <w:b/>
          <w:bCs/>
        </w:rPr>
      </w:pPr>
      <w:r w:rsidRPr="00D81C36">
        <w:rPr>
          <w:b/>
          <w:bCs/>
        </w:rPr>
        <w:t>Lessons learned</w:t>
      </w:r>
    </w:p>
    <w:p w14:paraId="76166CBF" w14:textId="77777777" w:rsidR="00FD05B1" w:rsidRPr="00D81C36" w:rsidRDefault="00FD05B1" w:rsidP="003B672F">
      <w:pPr>
        <w:pStyle w:val="ListParagraph"/>
        <w:numPr>
          <w:ilvl w:val="0"/>
          <w:numId w:val="68"/>
        </w:numPr>
        <w:spacing w:before="120" w:after="120"/>
        <w:contextualSpacing w:val="0"/>
        <w:jc w:val="both"/>
      </w:pPr>
      <w:r w:rsidRPr="00D81C36">
        <w:t>In your opinion, which elements of the project worked well? Please explain your response.</w:t>
      </w:r>
    </w:p>
    <w:p w14:paraId="5556C808" w14:textId="77777777" w:rsidR="00FD05B1" w:rsidRPr="00D81C36" w:rsidRDefault="00FD05B1" w:rsidP="003B672F">
      <w:pPr>
        <w:pStyle w:val="ListParagraph"/>
        <w:numPr>
          <w:ilvl w:val="0"/>
          <w:numId w:val="68"/>
        </w:numPr>
        <w:spacing w:before="120" w:after="120"/>
        <w:ind w:left="714" w:hanging="357"/>
        <w:contextualSpacing w:val="0"/>
        <w:jc w:val="both"/>
      </w:pPr>
      <w:r w:rsidRPr="00D81C36">
        <w:t>Which elements of the project need to be strengthened in future similar initiatives? Please explain your response.</w:t>
      </w:r>
    </w:p>
    <w:p w14:paraId="7D44C36E" w14:textId="77777777" w:rsidR="00FD05B1" w:rsidRPr="00D81C36" w:rsidRDefault="00FD05B1" w:rsidP="00D81C36">
      <w:pPr>
        <w:spacing w:before="120" w:after="120"/>
        <w:jc w:val="both"/>
        <w:rPr>
          <w:b/>
          <w:bCs/>
        </w:rPr>
      </w:pPr>
      <w:r w:rsidRPr="00D81C36">
        <w:rPr>
          <w:b/>
          <w:bCs/>
        </w:rPr>
        <w:t>Recommendations:</w:t>
      </w:r>
    </w:p>
    <w:p w14:paraId="520A3BB6" w14:textId="77777777" w:rsidR="00FD05B1" w:rsidRPr="00D81C36" w:rsidRDefault="00FD05B1" w:rsidP="003B672F">
      <w:pPr>
        <w:pStyle w:val="ListParagraph"/>
        <w:numPr>
          <w:ilvl w:val="0"/>
          <w:numId w:val="69"/>
        </w:numPr>
        <w:spacing w:before="120" w:after="120"/>
        <w:ind w:left="714" w:hanging="357"/>
        <w:contextualSpacing w:val="0"/>
        <w:jc w:val="both"/>
      </w:pPr>
      <w:r w:rsidRPr="00D81C36">
        <w:t>What are your recommendations for future similar projects/ a future phase of project implementation?</w:t>
      </w:r>
    </w:p>
    <w:p w14:paraId="6DA18C8E" w14:textId="77777777" w:rsidR="00FD05B1" w:rsidRPr="00D81C36" w:rsidRDefault="00FD05B1" w:rsidP="00D81C36">
      <w:pPr>
        <w:spacing w:before="120" w:after="120"/>
        <w:jc w:val="both"/>
        <w:rPr>
          <w:b/>
          <w:bCs/>
        </w:rPr>
      </w:pPr>
      <w:r w:rsidRPr="00D81C36">
        <w:rPr>
          <w:b/>
          <w:bCs/>
        </w:rPr>
        <w:t>Close:</w:t>
      </w:r>
    </w:p>
    <w:p w14:paraId="699A22D0" w14:textId="77777777" w:rsidR="00FD05B1" w:rsidRPr="00D81C36" w:rsidRDefault="00FD05B1" w:rsidP="003B672F">
      <w:pPr>
        <w:pStyle w:val="ListParagraph"/>
        <w:numPr>
          <w:ilvl w:val="0"/>
          <w:numId w:val="69"/>
        </w:numPr>
        <w:spacing w:before="120" w:after="120"/>
        <w:contextualSpacing w:val="0"/>
        <w:jc w:val="both"/>
      </w:pPr>
      <w:r w:rsidRPr="00D81C36">
        <w:t xml:space="preserve">Are there any additional comments or suggestions you wish to make? </w:t>
      </w:r>
    </w:p>
    <w:p w14:paraId="7B507FB0" w14:textId="77777777" w:rsidR="00FD05B1" w:rsidRPr="00D81C36" w:rsidRDefault="00FD05B1" w:rsidP="00D81C36">
      <w:pPr>
        <w:spacing w:before="120" w:after="120"/>
        <w:jc w:val="both"/>
      </w:pPr>
    </w:p>
    <w:p w14:paraId="3415A75D" w14:textId="77777777" w:rsidR="00AB61B9" w:rsidRDefault="00FD05B1" w:rsidP="00D81C36">
      <w:pPr>
        <w:spacing w:before="120" w:after="120"/>
        <w:jc w:val="center"/>
        <w:rPr>
          <w:b/>
          <w:bCs/>
        </w:rPr>
      </w:pPr>
      <w:r w:rsidRPr="00D81C36">
        <w:rPr>
          <w:b/>
          <w:bCs/>
        </w:rPr>
        <w:t>Thank you for your time and cooperation.</w:t>
      </w:r>
    </w:p>
    <w:p w14:paraId="07CB766E" w14:textId="77777777" w:rsidR="00AB61B9" w:rsidRDefault="00AB61B9" w:rsidP="00D81C36">
      <w:pPr>
        <w:spacing w:before="120" w:after="120"/>
        <w:jc w:val="center"/>
        <w:sectPr w:rsidR="00AB61B9" w:rsidSect="00F666A1">
          <w:type w:val="continuous"/>
          <w:pgSz w:w="12240" w:h="15840" w:code="1"/>
          <w:pgMar w:top="1276" w:right="1276" w:bottom="1588" w:left="1276" w:header="720" w:footer="720" w:gutter="0"/>
          <w:cols w:num="2" w:space="720"/>
          <w:docGrid w:linePitch="360"/>
        </w:sectPr>
      </w:pPr>
    </w:p>
    <w:p w14:paraId="79FE2B48" w14:textId="159C9BE7" w:rsidR="00FD05B1" w:rsidRDefault="00FD05B1" w:rsidP="00D81C36">
      <w:pPr>
        <w:spacing w:before="120" w:after="120"/>
        <w:jc w:val="center"/>
      </w:pPr>
      <w:r>
        <w:br w:type="page"/>
      </w:r>
    </w:p>
    <w:p w14:paraId="2F78DC65" w14:textId="77777777" w:rsidR="006B735C" w:rsidRDefault="006B735C" w:rsidP="00065117">
      <w:pPr>
        <w:pStyle w:val="FrontMatterH2"/>
        <w:sectPr w:rsidR="006B735C" w:rsidSect="00F666A1">
          <w:type w:val="continuous"/>
          <w:pgSz w:w="12240" w:h="15840" w:code="1"/>
          <w:pgMar w:top="1276" w:right="1276" w:bottom="1588" w:left="1276" w:header="720" w:footer="720" w:gutter="0"/>
          <w:cols w:space="720"/>
          <w:docGrid w:linePitch="360"/>
        </w:sectPr>
      </w:pPr>
    </w:p>
    <w:p w14:paraId="1703CA86" w14:textId="77777777" w:rsidR="002F5A2C" w:rsidRDefault="00065117" w:rsidP="00065117">
      <w:pPr>
        <w:pStyle w:val="FrontMatterH2"/>
        <w:sectPr w:rsidR="002F5A2C" w:rsidSect="00F666A1">
          <w:type w:val="continuous"/>
          <w:pgSz w:w="12240" w:h="15840" w:code="1"/>
          <w:pgMar w:top="1276" w:right="1276" w:bottom="1588" w:left="1276" w:header="720" w:footer="720" w:gutter="0"/>
          <w:cols w:num="2" w:space="720"/>
          <w:docGrid w:linePitch="360"/>
        </w:sectPr>
      </w:pPr>
      <w:r w:rsidRPr="00296604">
        <w:lastRenderedPageBreak/>
        <w:t xml:space="preserve">Interview Protocol: </w:t>
      </w:r>
      <w:r>
        <w:t>Target Countries</w:t>
      </w:r>
      <w:r w:rsidRPr="00296604">
        <w:t xml:space="preserve">/ </w:t>
      </w:r>
      <w:r>
        <w:t>State Entities</w:t>
      </w:r>
    </w:p>
    <w:p w14:paraId="16243A0F" w14:textId="77777777" w:rsidR="00065117" w:rsidRPr="00065117" w:rsidRDefault="00065117" w:rsidP="00065117">
      <w:pPr>
        <w:pStyle w:val="FrontMatterH3"/>
        <w:spacing w:before="120" w:line="259" w:lineRule="auto"/>
        <w:jc w:val="both"/>
        <w:rPr>
          <w:sz w:val="20"/>
          <w:szCs w:val="20"/>
        </w:rPr>
      </w:pPr>
      <w:r w:rsidRPr="00065117">
        <w:rPr>
          <w:sz w:val="20"/>
          <w:szCs w:val="20"/>
        </w:rPr>
        <w:t>Introduction:</w:t>
      </w:r>
    </w:p>
    <w:p w14:paraId="7B53F7D3" w14:textId="5FA9E109" w:rsidR="00065117" w:rsidRPr="00065117" w:rsidRDefault="00065117" w:rsidP="00065117">
      <w:pPr>
        <w:autoSpaceDE w:val="0"/>
        <w:autoSpaceDN w:val="0"/>
        <w:adjustRightInd w:val="0"/>
        <w:spacing w:before="120" w:after="120"/>
        <w:jc w:val="both"/>
      </w:pPr>
      <w:r w:rsidRPr="00065117">
        <w:t xml:space="preserve">This external evaluation has been commissioned by </w:t>
      </w:r>
      <w:r w:rsidR="000B36F9">
        <w:t>UNDESA-FSDO</w:t>
      </w:r>
      <w:r w:rsidRPr="00065117">
        <w:t xml:space="preserve"> to assess the following project: DA13 INFF Project 2124A - Towards Integrated National Financing Framework. The project was funded under the 13</w:t>
      </w:r>
      <w:r w:rsidRPr="00065117">
        <w:rPr>
          <w:vertAlign w:val="superscript"/>
        </w:rPr>
        <w:t>th</w:t>
      </w:r>
      <w:r w:rsidRPr="00065117">
        <w:t xml:space="preserve"> tranche of the Development Account, and was implemented jointly, by </w:t>
      </w:r>
      <w:r w:rsidR="000B36F9">
        <w:t>UNDESA-FSDO</w:t>
      </w:r>
      <w:r w:rsidRPr="00065117">
        <w:t xml:space="preserve"> and six UN </w:t>
      </w:r>
      <w:r w:rsidR="00DE21FA">
        <w:t>executing entities</w:t>
      </w:r>
      <w:r w:rsidRPr="00065117">
        <w:t>: UNECA; UNECE; UNECLAC UNESCAP; UNESCWA and UNCTAD. During the period of implementation, January 2021 to December 2024, the project was used to strengthen the capacities of 10 countries to mobilise and align financing with sustainable development priorities. The target project countries were located in five UN regions: Africa (Burkina Faso and Zambia; Asia and the Pacific (Pakistan and Samoa); Europe (Belarus and Kyrgyzstan); Latin America and the Caribbean (Costa Rica and Dominican Republic); and Western Asia (Egypt and Jordan).</w:t>
      </w:r>
    </w:p>
    <w:p w14:paraId="5F575F2C" w14:textId="77777777" w:rsidR="00065117" w:rsidRPr="00065117" w:rsidRDefault="00065117" w:rsidP="00065117">
      <w:pPr>
        <w:spacing w:before="120" w:after="120"/>
        <w:jc w:val="both"/>
        <w:rPr>
          <w:rFonts w:eastAsia="Times New Roman" w:cs="Calibri"/>
        </w:rPr>
      </w:pPr>
      <w:r w:rsidRPr="00065117">
        <w:t xml:space="preserve">As its main objective, the evaluation is being used to facilitate accountability and organisational learning by assessing project performance across six criteria (relevance; coherence; effectiveness; efficiency; impact and sustainability). The evaluation will also be used to identify lessons learned from project design and implementation, including </w:t>
      </w:r>
      <w:r w:rsidRPr="00065117">
        <w:rPr>
          <w:rFonts w:eastAsia="Times New Roman" w:cs="Calibri"/>
        </w:rPr>
        <w:t>successful strategies; challenges encountered; and good practices. It will further provide recommendations to inform future similar interventions.</w:t>
      </w:r>
    </w:p>
    <w:p w14:paraId="35EB0F33" w14:textId="77777777" w:rsidR="00065117" w:rsidRPr="00065117" w:rsidRDefault="00065117" w:rsidP="00065117">
      <w:pPr>
        <w:spacing w:before="120" w:after="120"/>
        <w:jc w:val="both"/>
      </w:pPr>
      <w:r w:rsidRPr="00065117">
        <w:rPr>
          <w:rFonts w:cs="Calibri"/>
        </w:rPr>
        <w:t xml:space="preserve">To increase the accuracy of the evaluation results, all partner agencies and all categories of project stakeholders are being provided with the opportunity to share their views on their individual project experience. Participation in this exercise is voluntary and will </w:t>
      </w:r>
      <w:r w:rsidRPr="00065117">
        <w:t>last for approximately 45 – 60 minutes. All discussions will be confidential and there is no risk to participation. The evaluator will only share anonymised and generalised findings that cannot be used to identify individual participants.</w:t>
      </w:r>
    </w:p>
    <w:p w14:paraId="15B2E6CE" w14:textId="77777777" w:rsidR="00065117" w:rsidRPr="00065117" w:rsidRDefault="00065117" w:rsidP="00065117">
      <w:pPr>
        <w:pStyle w:val="Reporttext"/>
        <w:spacing w:after="120" w:line="259" w:lineRule="auto"/>
        <w:rPr>
          <w:rFonts w:asciiTheme="minorHAnsi" w:hAnsiTheme="minorHAnsi" w:cs="Calibri"/>
          <w:sz w:val="20"/>
          <w:lang w:val="en-GB"/>
        </w:rPr>
      </w:pPr>
      <w:r w:rsidRPr="00065117">
        <w:rPr>
          <w:rFonts w:asciiTheme="minorHAnsi" w:hAnsiTheme="minorHAnsi" w:cs="Calibri"/>
          <w:sz w:val="20"/>
          <w:lang w:val="en-GB"/>
        </w:rPr>
        <w:t xml:space="preserve">For further information about the evaluation, please contact </w:t>
      </w:r>
      <w:r w:rsidRPr="00065117">
        <w:rPr>
          <w:rFonts w:asciiTheme="minorHAnsi" w:hAnsiTheme="minorHAnsi" w:cs="Calibri"/>
          <w:sz w:val="20"/>
        </w:rPr>
        <w:t xml:space="preserve">the evaluation coordinator, Mr Peter Chowla, at </w:t>
      </w:r>
      <w:hyperlink r:id="rId140" w:history="1">
        <w:r w:rsidRPr="00065117">
          <w:rPr>
            <w:rStyle w:val="Hyperlink"/>
            <w:rFonts w:asciiTheme="minorHAnsi" w:hAnsiTheme="minorHAnsi" w:cs="Calibri"/>
            <w:sz w:val="20"/>
          </w:rPr>
          <w:t>chowla@un.org</w:t>
        </w:r>
      </w:hyperlink>
      <w:r w:rsidRPr="00065117">
        <w:rPr>
          <w:rFonts w:asciiTheme="minorHAnsi" w:hAnsiTheme="minorHAnsi" w:cs="Calibri"/>
          <w:sz w:val="20"/>
        </w:rPr>
        <w:t xml:space="preserve"> or the Programme Management Assistant, Mr George Meladze, at </w:t>
      </w:r>
      <w:hyperlink r:id="rId141" w:history="1">
        <w:r w:rsidRPr="00065117">
          <w:rPr>
            <w:rStyle w:val="Hyperlink"/>
            <w:rFonts w:asciiTheme="minorHAnsi" w:hAnsiTheme="minorHAnsi" w:cs="Calibri"/>
            <w:sz w:val="20"/>
          </w:rPr>
          <w:t>meladze@un.org</w:t>
        </w:r>
      </w:hyperlink>
      <w:r w:rsidRPr="00065117">
        <w:rPr>
          <w:rFonts w:asciiTheme="minorHAnsi" w:hAnsiTheme="minorHAnsi" w:cs="Calibri"/>
          <w:sz w:val="20"/>
        </w:rPr>
        <w:t xml:space="preserve">. </w:t>
      </w:r>
      <w:r w:rsidRPr="00065117">
        <w:rPr>
          <w:rFonts w:asciiTheme="minorHAnsi" w:hAnsiTheme="minorHAnsi"/>
          <w:sz w:val="20"/>
        </w:rPr>
        <w:t xml:space="preserve">By proceeding with this </w:t>
      </w:r>
      <w:r w:rsidRPr="00065117">
        <w:rPr>
          <w:rFonts w:asciiTheme="minorHAnsi" w:hAnsiTheme="minorHAnsi"/>
          <w:sz w:val="20"/>
        </w:rPr>
        <w:t>discussion, your consent to participate in the evaluation will be documented.</w:t>
      </w:r>
    </w:p>
    <w:p w14:paraId="0B4D270F" w14:textId="77777777" w:rsidR="00065117" w:rsidRPr="00065117" w:rsidRDefault="00065117" w:rsidP="00065117">
      <w:pPr>
        <w:spacing w:before="120" w:after="120"/>
        <w:jc w:val="both"/>
      </w:pPr>
      <w:r w:rsidRPr="00065117">
        <w:t>Thank you, in advance, for your time and cooperation. Before we begin, do you have any questions?</w:t>
      </w:r>
    </w:p>
    <w:p w14:paraId="5AB18F69" w14:textId="77777777" w:rsidR="00065117" w:rsidRPr="00065117" w:rsidRDefault="00065117" w:rsidP="00065117">
      <w:pPr>
        <w:spacing w:before="120" w:after="120"/>
        <w:jc w:val="both"/>
        <w:rPr>
          <w:b/>
          <w:bCs/>
        </w:rPr>
      </w:pPr>
      <w:r w:rsidRPr="00065117">
        <w:rPr>
          <w:b/>
          <w:bCs/>
        </w:rPr>
        <w:t>Background:</w:t>
      </w:r>
    </w:p>
    <w:p w14:paraId="68D79738" w14:textId="77777777" w:rsidR="00065117" w:rsidRPr="00065117" w:rsidRDefault="00065117" w:rsidP="003B672F">
      <w:pPr>
        <w:pStyle w:val="ListParagraph"/>
        <w:numPr>
          <w:ilvl w:val="0"/>
          <w:numId w:val="67"/>
        </w:numPr>
        <w:spacing w:before="120" w:after="120"/>
        <w:contextualSpacing w:val="0"/>
        <w:jc w:val="both"/>
      </w:pPr>
      <w:r w:rsidRPr="00065117">
        <w:t>What is your job title? How long have you been in this position?</w:t>
      </w:r>
    </w:p>
    <w:p w14:paraId="31D124A6" w14:textId="77777777" w:rsidR="00065117" w:rsidRPr="00065117" w:rsidRDefault="00065117" w:rsidP="003B672F">
      <w:pPr>
        <w:pStyle w:val="ListParagraph"/>
        <w:numPr>
          <w:ilvl w:val="0"/>
          <w:numId w:val="67"/>
        </w:numPr>
        <w:spacing w:before="120" w:after="120"/>
        <w:ind w:left="714" w:hanging="357"/>
        <w:contextualSpacing w:val="0"/>
        <w:jc w:val="both"/>
      </w:pPr>
      <w:r w:rsidRPr="00065117">
        <w:t>What are your current responsibilities?</w:t>
      </w:r>
    </w:p>
    <w:p w14:paraId="3F77BDF6" w14:textId="77777777" w:rsidR="00065117" w:rsidRPr="00065117" w:rsidRDefault="00065117" w:rsidP="003B672F">
      <w:pPr>
        <w:pStyle w:val="ListParagraph"/>
        <w:numPr>
          <w:ilvl w:val="0"/>
          <w:numId w:val="67"/>
        </w:numPr>
        <w:spacing w:before="120" w:after="120"/>
        <w:contextualSpacing w:val="0"/>
        <w:jc w:val="both"/>
      </w:pPr>
      <w:r w:rsidRPr="00065117">
        <w:t>Please describe your involvement in the project?</w:t>
      </w:r>
    </w:p>
    <w:p w14:paraId="6FBF4F0C" w14:textId="77777777" w:rsidR="00065117" w:rsidRPr="00065117" w:rsidRDefault="00065117" w:rsidP="00065117">
      <w:pPr>
        <w:spacing w:before="120" w:after="120"/>
        <w:jc w:val="both"/>
        <w:rPr>
          <w:b/>
          <w:bCs/>
        </w:rPr>
      </w:pPr>
      <w:r w:rsidRPr="00065117">
        <w:rPr>
          <w:b/>
          <w:bCs/>
        </w:rPr>
        <w:t>Relevance:</w:t>
      </w:r>
    </w:p>
    <w:p w14:paraId="1948608B" w14:textId="77777777" w:rsidR="00065117" w:rsidRPr="00065117" w:rsidRDefault="00065117" w:rsidP="003B672F">
      <w:pPr>
        <w:pStyle w:val="ListParagraph"/>
        <w:numPr>
          <w:ilvl w:val="0"/>
          <w:numId w:val="70"/>
        </w:numPr>
        <w:spacing w:before="120" w:after="120"/>
        <w:ind w:left="714" w:hanging="357"/>
        <w:contextualSpacing w:val="0"/>
        <w:jc w:val="both"/>
      </w:pPr>
      <w:r w:rsidRPr="00065117">
        <w:t>In your opinion, what were the specific capacity needs and challenges of Belarus in relation to development financing? How, if at all, did this project address these capacity needs and challenges? Please provide examples to support your response.</w:t>
      </w:r>
    </w:p>
    <w:p w14:paraId="08AC7E9B" w14:textId="77777777" w:rsidR="00065117" w:rsidRPr="00065117" w:rsidRDefault="00065117" w:rsidP="00065117">
      <w:pPr>
        <w:spacing w:before="120" w:after="120"/>
        <w:jc w:val="both"/>
        <w:rPr>
          <w:b/>
          <w:bCs/>
        </w:rPr>
      </w:pPr>
      <w:r w:rsidRPr="00065117">
        <w:rPr>
          <w:b/>
          <w:bCs/>
        </w:rPr>
        <w:t>Coherence:</w:t>
      </w:r>
    </w:p>
    <w:p w14:paraId="5C81A612" w14:textId="77777777" w:rsidR="00065117" w:rsidRPr="00065117" w:rsidRDefault="00065117" w:rsidP="003B672F">
      <w:pPr>
        <w:pStyle w:val="ListParagraph"/>
        <w:numPr>
          <w:ilvl w:val="0"/>
          <w:numId w:val="71"/>
        </w:numPr>
        <w:spacing w:before="120" w:after="120"/>
        <w:ind w:left="714" w:hanging="357"/>
        <w:contextualSpacing w:val="0"/>
        <w:jc w:val="both"/>
      </w:pPr>
      <w:r w:rsidRPr="00065117">
        <w:t xml:space="preserve">Did the project complement other interventions by UNDESA in Belarus or was there a duplication of efforts? </w:t>
      </w:r>
      <w:r w:rsidRPr="00065117">
        <w:rPr>
          <w:rFonts w:cstheme="minorHAnsi"/>
        </w:rPr>
        <w:t>Please explain your response.</w:t>
      </w:r>
    </w:p>
    <w:p w14:paraId="74CCEF5B" w14:textId="77777777" w:rsidR="00065117" w:rsidRPr="00065117" w:rsidRDefault="00065117" w:rsidP="003B672F">
      <w:pPr>
        <w:pStyle w:val="ListParagraph"/>
        <w:numPr>
          <w:ilvl w:val="0"/>
          <w:numId w:val="71"/>
        </w:numPr>
        <w:spacing w:before="120" w:after="120"/>
        <w:ind w:left="714" w:hanging="357"/>
        <w:contextualSpacing w:val="0"/>
        <w:jc w:val="both"/>
      </w:pPr>
      <w:r w:rsidRPr="00065117">
        <w:t>In your opinion, did the project complement or duplicate any initiatives by other development actors within Belarus? Please explain your response.</w:t>
      </w:r>
    </w:p>
    <w:p w14:paraId="750768B2" w14:textId="77777777" w:rsidR="00065117" w:rsidRPr="00065117" w:rsidRDefault="00065117" w:rsidP="00065117">
      <w:pPr>
        <w:spacing w:before="120" w:after="120"/>
        <w:jc w:val="both"/>
        <w:rPr>
          <w:b/>
          <w:bCs/>
        </w:rPr>
      </w:pPr>
      <w:r w:rsidRPr="00065117">
        <w:rPr>
          <w:b/>
          <w:bCs/>
        </w:rPr>
        <w:t>Effectiveness:</w:t>
      </w:r>
    </w:p>
    <w:p w14:paraId="38487192"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 xml:space="preserve">What, in your opinion, are the main results of this project? </w:t>
      </w:r>
    </w:p>
    <w:p w14:paraId="4E39C016"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 xml:space="preserve">How, if at all, did the project contribute towards the strengthening of national capacity in development financing strategies in Belarus? </w:t>
      </w:r>
    </w:p>
    <w:p w14:paraId="188AE1DD" w14:textId="77777777" w:rsidR="00065117" w:rsidRPr="00065117" w:rsidRDefault="00065117" w:rsidP="003B672F">
      <w:pPr>
        <w:pStyle w:val="ListParagraph"/>
        <w:numPr>
          <w:ilvl w:val="1"/>
          <w:numId w:val="47"/>
        </w:numPr>
        <w:spacing w:before="120" w:after="120"/>
        <w:contextualSpacing w:val="0"/>
        <w:jc w:val="both"/>
      </w:pPr>
      <w:r w:rsidRPr="00065117">
        <w:t xml:space="preserve">Was there any alignment between these strategies and the national development plans? </w:t>
      </w:r>
    </w:p>
    <w:p w14:paraId="230794E8" w14:textId="77777777" w:rsidR="00065117" w:rsidRPr="00065117" w:rsidRDefault="00065117" w:rsidP="003B672F">
      <w:pPr>
        <w:pStyle w:val="ListParagraph"/>
        <w:numPr>
          <w:ilvl w:val="1"/>
          <w:numId w:val="47"/>
        </w:numPr>
        <w:spacing w:before="120" w:after="120"/>
        <w:contextualSpacing w:val="0"/>
        <w:jc w:val="both"/>
      </w:pPr>
      <w:r w:rsidRPr="00065117">
        <w:lastRenderedPageBreak/>
        <w:t>In what way, if at all, did the strengthened capacity mitigate the impact of COVID-19 in Belarus?</w:t>
      </w:r>
    </w:p>
    <w:p w14:paraId="74E855E7" w14:textId="0793C571" w:rsidR="00065117" w:rsidRPr="00065117" w:rsidRDefault="00065117" w:rsidP="003B672F">
      <w:pPr>
        <w:pStyle w:val="ListParagraph"/>
        <w:numPr>
          <w:ilvl w:val="0"/>
          <w:numId w:val="47"/>
        </w:numPr>
        <w:spacing w:before="120" w:after="120"/>
        <w:ind w:left="714" w:hanging="357"/>
        <w:contextualSpacing w:val="0"/>
        <w:jc w:val="both"/>
      </w:pPr>
      <w:r w:rsidRPr="00065117">
        <w:t xml:space="preserve">Did the project increase </w:t>
      </w:r>
      <w:r w:rsidR="006321A6">
        <w:t>knowledge-exchange</w:t>
      </w:r>
      <w:r w:rsidRPr="00065117">
        <w:t xml:space="preserve"> and learning in Belarus on applying INFF concepts? Please provide examples to support your response.</w:t>
      </w:r>
    </w:p>
    <w:p w14:paraId="10348604"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Were there any factors that supported this result? If yes, what were these factors and how did they contribute towards results achievement?</w:t>
      </w:r>
    </w:p>
    <w:p w14:paraId="4A060E1C"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Were there any factors that impeded this result? If yes, what were these factors and how did they affect the project? How were these factors addressed?</w:t>
      </w:r>
    </w:p>
    <w:p w14:paraId="65582D06" w14:textId="77777777" w:rsidR="00065117" w:rsidRPr="00065117" w:rsidRDefault="00065117" w:rsidP="003B672F">
      <w:pPr>
        <w:pStyle w:val="ListParagraph"/>
        <w:numPr>
          <w:ilvl w:val="0"/>
          <w:numId w:val="47"/>
        </w:numPr>
        <w:spacing w:before="120" w:after="120"/>
        <w:ind w:left="714" w:hanging="357"/>
        <w:contextualSpacing w:val="0"/>
        <w:jc w:val="both"/>
      </w:pPr>
      <w:r w:rsidRPr="00065117">
        <w:t>What, if any, were the unexpected results of the project and how were they addressed?</w:t>
      </w:r>
    </w:p>
    <w:p w14:paraId="02C42BC1" w14:textId="77777777" w:rsidR="00065117" w:rsidRPr="00065117" w:rsidRDefault="00065117" w:rsidP="00065117">
      <w:pPr>
        <w:spacing w:before="120" w:after="120"/>
        <w:jc w:val="both"/>
        <w:rPr>
          <w:b/>
          <w:bCs/>
        </w:rPr>
      </w:pPr>
      <w:r w:rsidRPr="00065117">
        <w:rPr>
          <w:b/>
          <w:bCs/>
        </w:rPr>
        <w:t>Efficiency:</w:t>
      </w:r>
    </w:p>
    <w:p w14:paraId="3ACF4628"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In your opinion, has this project provided value for money? Please explain your response.</w:t>
      </w:r>
    </w:p>
    <w:p w14:paraId="3CC34B78"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What has been the value added of the project?</w:t>
      </w:r>
    </w:p>
    <w:p w14:paraId="2B330A65"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 xml:space="preserve">How, if at all, did the project design contribute towards results achievement? </w:t>
      </w:r>
    </w:p>
    <w:p w14:paraId="60228953"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Is there any aspect of the project that could have been designed differently to support results achievement? Please provide examples to explain your response.</w:t>
      </w:r>
    </w:p>
    <w:p w14:paraId="27FB1DAE" w14:textId="77777777" w:rsidR="00065117" w:rsidRPr="00065117" w:rsidRDefault="00065117" w:rsidP="003B672F">
      <w:pPr>
        <w:pStyle w:val="ListParagraph"/>
        <w:numPr>
          <w:ilvl w:val="0"/>
          <w:numId w:val="72"/>
        </w:numPr>
        <w:spacing w:before="120" w:after="120"/>
        <w:ind w:left="714" w:hanging="357"/>
        <w:contextualSpacing w:val="0"/>
        <w:jc w:val="both"/>
      </w:pPr>
      <w:r w:rsidRPr="00065117">
        <w:t>How successful was the project in addressing risks/ challenges to implementation and results achievement? Please provide examples to explain your response.</w:t>
      </w:r>
    </w:p>
    <w:p w14:paraId="67AE5E98" w14:textId="77777777" w:rsidR="00065117" w:rsidRPr="00065117" w:rsidRDefault="00065117" w:rsidP="00065117">
      <w:pPr>
        <w:spacing w:before="120" w:after="120"/>
        <w:jc w:val="both"/>
        <w:rPr>
          <w:b/>
          <w:bCs/>
        </w:rPr>
      </w:pPr>
      <w:r w:rsidRPr="00065117">
        <w:rPr>
          <w:b/>
          <w:bCs/>
        </w:rPr>
        <w:t>Cross-cutting theme: Gender:</w:t>
      </w:r>
    </w:p>
    <w:p w14:paraId="276FEAE0"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In your opinion, how were gender considerations integrated into the project?</w:t>
      </w:r>
    </w:p>
    <w:p w14:paraId="0B925E4F"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What measures should be taken in future projects to ensure that gender considerations are fully integrated into the projects?</w:t>
      </w:r>
    </w:p>
    <w:p w14:paraId="0938A264" w14:textId="77777777" w:rsidR="00065117" w:rsidRPr="00065117" w:rsidRDefault="00065117" w:rsidP="00065117">
      <w:pPr>
        <w:spacing w:before="120" w:after="120"/>
        <w:jc w:val="both"/>
        <w:rPr>
          <w:b/>
          <w:bCs/>
        </w:rPr>
      </w:pPr>
      <w:r w:rsidRPr="00065117">
        <w:rPr>
          <w:b/>
          <w:bCs/>
        </w:rPr>
        <w:t>Cross-cutting theme: Human rights:</w:t>
      </w:r>
    </w:p>
    <w:p w14:paraId="5CBA97D0"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In your opinion, how were human rights considerations integrated into the project?</w:t>
      </w:r>
    </w:p>
    <w:p w14:paraId="7D5EFD52"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What measures should be taken in future projects to ensure that human rights considerations are fully integrated into the projects?</w:t>
      </w:r>
    </w:p>
    <w:p w14:paraId="40292F2C" w14:textId="77777777" w:rsidR="00065117" w:rsidRPr="00065117" w:rsidRDefault="00065117" w:rsidP="00065117">
      <w:pPr>
        <w:spacing w:before="120" w:after="120"/>
        <w:jc w:val="both"/>
        <w:rPr>
          <w:b/>
          <w:bCs/>
        </w:rPr>
      </w:pPr>
      <w:r w:rsidRPr="00065117">
        <w:rPr>
          <w:b/>
          <w:bCs/>
        </w:rPr>
        <w:t>Cross-cutting theme: Disability inclusion:</w:t>
      </w:r>
    </w:p>
    <w:p w14:paraId="0703728B"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In your opinion, how were considerations for disability inclusion integrated into the project?</w:t>
      </w:r>
    </w:p>
    <w:p w14:paraId="2A4E03E2" w14:textId="77777777" w:rsidR="00065117" w:rsidRPr="00065117" w:rsidRDefault="00065117" w:rsidP="003B672F">
      <w:pPr>
        <w:pStyle w:val="ListParagraph"/>
        <w:numPr>
          <w:ilvl w:val="0"/>
          <w:numId w:val="73"/>
        </w:numPr>
        <w:spacing w:before="120" w:after="120"/>
        <w:ind w:left="714" w:hanging="357"/>
        <w:contextualSpacing w:val="0"/>
        <w:jc w:val="both"/>
      </w:pPr>
      <w:r w:rsidRPr="00065117">
        <w:t>What measures should be taken in future projects to ensure that considerations for disability inclusion are fully integrated into the projects?</w:t>
      </w:r>
    </w:p>
    <w:p w14:paraId="0DF7B039" w14:textId="77777777" w:rsidR="00065117" w:rsidRPr="00065117" w:rsidRDefault="00065117" w:rsidP="00065117">
      <w:pPr>
        <w:spacing w:before="120" w:after="120"/>
        <w:jc w:val="both"/>
        <w:rPr>
          <w:b/>
          <w:bCs/>
        </w:rPr>
      </w:pPr>
      <w:r w:rsidRPr="00065117">
        <w:rPr>
          <w:b/>
          <w:bCs/>
        </w:rPr>
        <w:t>Impact:</w:t>
      </w:r>
    </w:p>
    <w:p w14:paraId="72303A3E" w14:textId="77777777" w:rsidR="00065117" w:rsidRPr="00065117" w:rsidRDefault="00065117" w:rsidP="003B672F">
      <w:pPr>
        <w:pStyle w:val="ListParagraph"/>
        <w:numPr>
          <w:ilvl w:val="0"/>
          <w:numId w:val="74"/>
        </w:numPr>
        <w:spacing w:before="120" w:after="120"/>
        <w:ind w:left="714" w:hanging="357"/>
        <w:contextualSpacing w:val="0"/>
        <w:jc w:val="both"/>
      </w:pPr>
      <w:r w:rsidRPr="00065117">
        <w:t>How, if at all, did the project contribute towards strengthened capacities in Belarus to mobilise development financing? The alignment of development financing with national sustainable development capacities?</w:t>
      </w:r>
    </w:p>
    <w:p w14:paraId="3F375DED" w14:textId="77777777" w:rsidR="00065117" w:rsidRPr="00065117" w:rsidRDefault="00065117" w:rsidP="003B672F">
      <w:pPr>
        <w:pStyle w:val="ListParagraph"/>
        <w:numPr>
          <w:ilvl w:val="0"/>
          <w:numId w:val="74"/>
        </w:numPr>
        <w:spacing w:before="120" w:after="120"/>
        <w:ind w:left="714" w:hanging="357"/>
        <w:contextualSpacing w:val="0"/>
        <w:jc w:val="both"/>
      </w:pPr>
      <w:r w:rsidRPr="00065117">
        <w:t>In your opinion, what are the factors that supported progress towards this result? The factors that hindered progress towards this result? Please explain your response.</w:t>
      </w:r>
    </w:p>
    <w:p w14:paraId="4A1B1B3F" w14:textId="77777777" w:rsidR="00065117" w:rsidRPr="00065117" w:rsidRDefault="00065117" w:rsidP="003B672F">
      <w:pPr>
        <w:pStyle w:val="ListParagraph"/>
        <w:numPr>
          <w:ilvl w:val="0"/>
          <w:numId w:val="74"/>
        </w:numPr>
        <w:spacing w:before="120" w:after="120"/>
        <w:ind w:left="714" w:hanging="357"/>
        <w:contextualSpacing w:val="0"/>
        <w:jc w:val="both"/>
      </w:pPr>
      <w:r w:rsidRPr="00065117">
        <w:t>Did the project contribute towards any significant unintended change, whether positive or negative in Belarus? Please provide examples to explain your response</w:t>
      </w:r>
    </w:p>
    <w:p w14:paraId="0CF12B0A" w14:textId="77777777" w:rsidR="00065117" w:rsidRPr="00065117" w:rsidRDefault="00065117" w:rsidP="00065117">
      <w:pPr>
        <w:spacing w:before="120" w:after="120"/>
        <w:jc w:val="both"/>
        <w:rPr>
          <w:b/>
          <w:bCs/>
        </w:rPr>
      </w:pPr>
      <w:r w:rsidRPr="00065117">
        <w:rPr>
          <w:b/>
          <w:bCs/>
        </w:rPr>
        <w:t>Sustainability:</w:t>
      </w:r>
    </w:p>
    <w:p w14:paraId="1B0CC85F" w14:textId="77777777" w:rsidR="00065117" w:rsidRPr="00065117" w:rsidRDefault="00065117" w:rsidP="003B672F">
      <w:pPr>
        <w:pStyle w:val="ListParagraph"/>
        <w:numPr>
          <w:ilvl w:val="0"/>
          <w:numId w:val="75"/>
        </w:numPr>
        <w:spacing w:before="120" w:after="120"/>
        <w:contextualSpacing w:val="0"/>
        <w:jc w:val="both"/>
      </w:pPr>
      <w:r w:rsidRPr="00065117">
        <w:t xml:space="preserve">What measures are place in Belarus to sustain the results of the project </w:t>
      </w:r>
      <w:r w:rsidRPr="00065117">
        <w:rPr>
          <w:rFonts w:cstheme="minorHAnsi"/>
        </w:rPr>
        <w:t>beyond its end-date? What has been the contribution of the UN entities (implementing/ co-operating entities)?</w:t>
      </w:r>
    </w:p>
    <w:p w14:paraId="546F9EA8" w14:textId="77777777" w:rsidR="00065117" w:rsidRPr="00065117" w:rsidRDefault="00065117" w:rsidP="00065117">
      <w:pPr>
        <w:spacing w:before="120" w:after="120"/>
        <w:jc w:val="both"/>
        <w:rPr>
          <w:b/>
          <w:bCs/>
        </w:rPr>
      </w:pPr>
      <w:r w:rsidRPr="00065117">
        <w:rPr>
          <w:b/>
          <w:bCs/>
        </w:rPr>
        <w:t>Lessons learned</w:t>
      </w:r>
    </w:p>
    <w:p w14:paraId="59266B12" w14:textId="77777777" w:rsidR="00065117" w:rsidRPr="00065117" w:rsidRDefault="00065117" w:rsidP="003B672F">
      <w:pPr>
        <w:pStyle w:val="ListParagraph"/>
        <w:numPr>
          <w:ilvl w:val="0"/>
          <w:numId w:val="68"/>
        </w:numPr>
        <w:spacing w:before="120" w:after="120"/>
        <w:contextualSpacing w:val="0"/>
        <w:jc w:val="both"/>
      </w:pPr>
      <w:r w:rsidRPr="00065117">
        <w:t>In your opinion, which elements of the project worked well? Please explain your response.</w:t>
      </w:r>
    </w:p>
    <w:p w14:paraId="31E67BCA" w14:textId="77777777" w:rsidR="00065117" w:rsidRPr="00065117" w:rsidRDefault="00065117" w:rsidP="003B672F">
      <w:pPr>
        <w:pStyle w:val="ListParagraph"/>
        <w:numPr>
          <w:ilvl w:val="0"/>
          <w:numId w:val="68"/>
        </w:numPr>
        <w:spacing w:before="120" w:after="120"/>
        <w:ind w:left="714" w:hanging="357"/>
        <w:contextualSpacing w:val="0"/>
        <w:jc w:val="both"/>
      </w:pPr>
      <w:r w:rsidRPr="00065117">
        <w:t>Which elements of the project need to be strengthened in future similar initiatives? Please explain your response.</w:t>
      </w:r>
    </w:p>
    <w:p w14:paraId="7227BD96" w14:textId="77777777" w:rsidR="00065117" w:rsidRPr="00065117" w:rsidRDefault="00065117" w:rsidP="00065117">
      <w:pPr>
        <w:spacing w:before="120" w:after="120"/>
        <w:jc w:val="both"/>
        <w:rPr>
          <w:b/>
          <w:bCs/>
        </w:rPr>
      </w:pPr>
      <w:r w:rsidRPr="00065117">
        <w:rPr>
          <w:b/>
          <w:bCs/>
        </w:rPr>
        <w:lastRenderedPageBreak/>
        <w:t>Recommendations:</w:t>
      </w:r>
    </w:p>
    <w:p w14:paraId="79A10F16" w14:textId="77777777" w:rsidR="00065117" w:rsidRPr="00065117" w:rsidRDefault="00065117" w:rsidP="003B672F">
      <w:pPr>
        <w:pStyle w:val="ListParagraph"/>
        <w:numPr>
          <w:ilvl w:val="0"/>
          <w:numId w:val="69"/>
        </w:numPr>
        <w:spacing w:before="120" w:after="120"/>
        <w:ind w:left="714" w:hanging="357"/>
        <w:contextualSpacing w:val="0"/>
        <w:jc w:val="both"/>
      </w:pPr>
      <w:r w:rsidRPr="00065117">
        <w:t>What are your recommendations for future similar projects/ a future phase of project implementation?</w:t>
      </w:r>
    </w:p>
    <w:p w14:paraId="72DE3DC5" w14:textId="77777777" w:rsidR="00065117" w:rsidRPr="00065117" w:rsidRDefault="00065117" w:rsidP="00065117">
      <w:pPr>
        <w:spacing w:before="120" w:after="120"/>
        <w:jc w:val="both"/>
        <w:rPr>
          <w:b/>
          <w:bCs/>
        </w:rPr>
      </w:pPr>
      <w:r w:rsidRPr="00065117">
        <w:rPr>
          <w:b/>
          <w:bCs/>
        </w:rPr>
        <w:t>Close:</w:t>
      </w:r>
    </w:p>
    <w:p w14:paraId="52F4B630" w14:textId="77777777" w:rsidR="00065117" w:rsidRPr="00065117" w:rsidRDefault="00065117" w:rsidP="003B672F">
      <w:pPr>
        <w:pStyle w:val="ListParagraph"/>
        <w:numPr>
          <w:ilvl w:val="0"/>
          <w:numId w:val="69"/>
        </w:numPr>
        <w:spacing w:before="120" w:after="120"/>
        <w:contextualSpacing w:val="0"/>
        <w:jc w:val="both"/>
      </w:pPr>
      <w:r w:rsidRPr="00065117">
        <w:t xml:space="preserve">Are there any additional comments or suggestions you wish to make? </w:t>
      </w:r>
    </w:p>
    <w:p w14:paraId="16542A78" w14:textId="77777777" w:rsidR="00065117" w:rsidRPr="00065117" w:rsidRDefault="00065117" w:rsidP="00065117">
      <w:pPr>
        <w:spacing w:before="120" w:after="120"/>
        <w:jc w:val="center"/>
        <w:rPr>
          <w:b/>
          <w:bCs/>
        </w:rPr>
      </w:pPr>
      <w:r w:rsidRPr="00065117">
        <w:rPr>
          <w:b/>
          <w:bCs/>
        </w:rPr>
        <w:t>Thank you for your time and cooperation.</w:t>
      </w:r>
    </w:p>
    <w:p w14:paraId="35EE0A3D" w14:textId="77777777" w:rsidR="00065117" w:rsidRDefault="00065117" w:rsidP="00065117"/>
    <w:p w14:paraId="080B89C9" w14:textId="77777777" w:rsidR="00065117" w:rsidRDefault="00065117" w:rsidP="00065117"/>
    <w:p w14:paraId="3DB1A80E" w14:textId="77777777" w:rsidR="00065117" w:rsidRDefault="00065117" w:rsidP="00065117"/>
    <w:p w14:paraId="41FF4C93" w14:textId="77777777" w:rsidR="00FD05B1" w:rsidRDefault="00FD05B1" w:rsidP="00DF5787">
      <w:pPr>
        <w:pStyle w:val="BodyText"/>
      </w:pPr>
    </w:p>
    <w:p w14:paraId="4AABDE57" w14:textId="77777777" w:rsidR="006B735C" w:rsidRDefault="006B735C" w:rsidP="00DF5787">
      <w:pPr>
        <w:pStyle w:val="BodyText"/>
        <w:sectPr w:rsidR="006B735C" w:rsidSect="00F666A1">
          <w:type w:val="continuous"/>
          <w:pgSz w:w="12240" w:h="15840" w:code="1"/>
          <w:pgMar w:top="1276" w:right="1276" w:bottom="1588" w:left="1276" w:header="720" w:footer="720" w:gutter="0"/>
          <w:cols w:num="2" w:space="720"/>
          <w:docGrid w:linePitch="360"/>
        </w:sectPr>
      </w:pPr>
    </w:p>
    <w:p w14:paraId="332CC572" w14:textId="1A47CEF9" w:rsidR="00237179" w:rsidRDefault="00237179" w:rsidP="00DF5787">
      <w:pPr>
        <w:pStyle w:val="BodyText"/>
      </w:pPr>
      <w:r>
        <w:br w:type="page"/>
      </w:r>
    </w:p>
    <w:p w14:paraId="08726868" w14:textId="60959556" w:rsidR="00DE3445" w:rsidRPr="00296604" w:rsidRDefault="00DE3445" w:rsidP="00790EB6">
      <w:pPr>
        <w:pStyle w:val="FrontMatterH2"/>
      </w:pPr>
      <w:r w:rsidRPr="00296604">
        <w:lastRenderedPageBreak/>
        <w:t>Electronic Survey:</w:t>
      </w:r>
      <w:r w:rsidR="000E2844">
        <w:t xml:space="preserve"> Workshop Participants</w:t>
      </w:r>
      <w:r w:rsidR="002D5670">
        <w:t xml:space="preserve"> – </w:t>
      </w:r>
      <w:r w:rsidR="000E2844">
        <w:t>Target Countries/ State Entities</w:t>
      </w:r>
      <w:r w:rsidRPr="00296604">
        <w:t xml:space="preserve"> </w:t>
      </w:r>
    </w:p>
    <w:p w14:paraId="281C1E5F" w14:textId="77777777" w:rsidR="00DE3445" w:rsidRPr="00B3125E" w:rsidRDefault="00DE3445" w:rsidP="00B3125E">
      <w:pPr>
        <w:pStyle w:val="FrontMatterH3"/>
        <w:spacing w:before="120" w:line="259" w:lineRule="auto"/>
        <w:jc w:val="both"/>
        <w:rPr>
          <w:color w:val="auto"/>
          <w:sz w:val="20"/>
          <w:szCs w:val="20"/>
        </w:rPr>
      </w:pPr>
      <w:r w:rsidRPr="00B3125E">
        <w:rPr>
          <w:color w:val="auto"/>
          <w:sz w:val="20"/>
          <w:szCs w:val="20"/>
        </w:rPr>
        <w:t>Introduction:</w:t>
      </w:r>
    </w:p>
    <w:p w14:paraId="5108FED1" w14:textId="77777777" w:rsidR="005C00BA" w:rsidRPr="00B3125E" w:rsidRDefault="005C00BA" w:rsidP="00B3125E">
      <w:pPr>
        <w:spacing w:before="120" w:after="120"/>
        <w:jc w:val="both"/>
      </w:pPr>
      <w:r w:rsidRPr="00B3125E">
        <w:t>This survey asks questions about your experience during the training activities for the UNDESA Towards Integrated National Financing Framework (INFF) Project. These training activities were provided by UN Trade and Development (UNCTAD) over the period 2021 – 2024, to strengthen the capacities of target countries to mobilise and align financing with sustainable development priorities.</w:t>
      </w:r>
    </w:p>
    <w:p w14:paraId="61248B63" w14:textId="77777777" w:rsidR="005C00BA" w:rsidRPr="00B3125E" w:rsidRDefault="005C00BA" w:rsidP="00B3125E">
      <w:pPr>
        <w:spacing w:before="120" w:after="120"/>
        <w:jc w:val="both"/>
        <w:rPr>
          <w:rFonts w:eastAsia="Times New Roman" w:cs="Calibri"/>
        </w:rPr>
      </w:pPr>
      <w:r w:rsidRPr="00B3125E">
        <w:t xml:space="preserve">The aim of this brief survey is to contribute towards accountability and organisational learning by assessing project performance across six criteria (relevance; coherence; effectiveness; efficiency; impact and sustainability), as well as two cross-cutting themes (gender and disability inclusion). This survey will also be used to identify lessons learned and recommendations from project design and implementation, </w:t>
      </w:r>
      <w:r w:rsidRPr="00B3125E">
        <w:rPr>
          <w:rFonts w:eastAsia="Times New Roman" w:cs="Calibri"/>
        </w:rPr>
        <w:t>to inform future similar initiatives.</w:t>
      </w:r>
    </w:p>
    <w:p w14:paraId="520451A5" w14:textId="77777777" w:rsidR="005C00BA" w:rsidRPr="00B3125E" w:rsidRDefault="005C00BA" w:rsidP="00B3125E">
      <w:pPr>
        <w:spacing w:before="120" w:after="120"/>
        <w:jc w:val="both"/>
      </w:pPr>
      <w:r w:rsidRPr="00B3125E">
        <w:t xml:space="preserve">Your responses will remain confidential and will not affect future relations between your organisation and the UN. The results of the survey will be anonymised and generalised. All responses will also be stored in a secure, password protected location, for use by an external evaluator only, to evaluate the Towards INFF project. </w:t>
      </w:r>
    </w:p>
    <w:p w14:paraId="0ABD0A60" w14:textId="77777777" w:rsidR="005C00BA" w:rsidRPr="00B3125E" w:rsidRDefault="005C00BA" w:rsidP="00B3125E">
      <w:pPr>
        <w:spacing w:before="120" w:after="120"/>
        <w:jc w:val="both"/>
      </w:pPr>
      <w:r w:rsidRPr="00B3125E">
        <w:t xml:space="preserve">By answering this survey, you consent to your participation in the evaluation and the use of your responses to develop the evaluation report. If you have any further questions about the evaluation, you can contact the </w:t>
      </w:r>
      <w:r w:rsidRPr="00B3125E">
        <w:rPr>
          <w:rFonts w:cs="Calibri"/>
        </w:rPr>
        <w:t xml:space="preserve">evaluation coordinator at UNDESA, Mr Peter Chowla, at </w:t>
      </w:r>
      <w:hyperlink r:id="rId142" w:history="1">
        <w:r w:rsidRPr="00B3125E">
          <w:rPr>
            <w:rStyle w:val="Hyperlink"/>
            <w:rFonts w:cs="Calibri"/>
            <w:color w:val="auto"/>
          </w:rPr>
          <w:t>chowla@un.org</w:t>
        </w:r>
      </w:hyperlink>
      <w:r w:rsidRPr="00B3125E">
        <w:rPr>
          <w:rFonts w:cs="Calibri"/>
        </w:rPr>
        <w:t xml:space="preserve"> or the Programme Management Assistant, Mr George Meladze, at </w:t>
      </w:r>
      <w:hyperlink r:id="rId143" w:history="1">
        <w:r w:rsidRPr="00B3125E">
          <w:rPr>
            <w:rStyle w:val="Hyperlink"/>
            <w:rFonts w:cs="Calibri"/>
            <w:color w:val="auto"/>
          </w:rPr>
          <w:t>meladze@un.org</w:t>
        </w:r>
      </w:hyperlink>
      <w:r w:rsidRPr="00B3125E">
        <w:rPr>
          <w:rFonts w:cs="Calibri"/>
        </w:rPr>
        <w:t>.</w:t>
      </w:r>
    </w:p>
    <w:p w14:paraId="1143B9C7" w14:textId="77777777" w:rsidR="005C00BA" w:rsidRPr="00B3125E" w:rsidRDefault="005C00BA" w:rsidP="00B3125E">
      <w:pPr>
        <w:spacing w:before="120" w:after="120"/>
        <w:jc w:val="both"/>
      </w:pPr>
      <w:r w:rsidRPr="00B3125E">
        <w:t xml:space="preserve">Please provide your survey responses by no later than </w:t>
      </w:r>
      <w:r w:rsidRPr="00B3125E">
        <w:rPr>
          <w:b/>
          <w:bCs/>
        </w:rPr>
        <w:t>7 April, 2025</w:t>
      </w:r>
      <w:r w:rsidRPr="00B3125E">
        <w:t>. We greatly appreciate your participation in this survey.</w:t>
      </w:r>
    </w:p>
    <w:p w14:paraId="6E3AC3E8" w14:textId="77777777" w:rsidR="005C00BA" w:rsidRPr="00B3125E" w:rsidRDefault="005C00BA" w:rsidP="00B3125E">
      <w:pPr>
        <w:spacing w:before="120" w:after="120"/>
        <w:jc w:val="both"/>
      </w:pPr>
      <w:r w:rsidRPr="00B3125E">
        <w:t>The average completion time for the survey is 7 minutes.</w:t>
      </w:r>
    </w:p>
    <w:p w14:paraId="1DFA0230" w14:textId="77777777" w:rsidR="005C00BA" w:rsidRDefault="005C00BA" w:rsidP="0053160B">
      <w:pPr>
        <w:keepNext/>
        <w:spacing w:before="240"/>
        <w:outlineLvl w:val="3"/>
        <w:rPr>
          <w:rFonts w:asciiTheme="majorHAnsi" w:hAnsiTheme="majorHAnsi" w:cstheme="minorHAnsi"/>
          <w:b/>
          <w:spacing w:val="20"/>
        </w:rPr>
      </w:pPr>
      <w:r w:rsidRPr="00540DCE">
        <w:rPr>
          <w:rFonts w:asciiTheme="majorHAnsi" w:hAnsiTheme="majorHAnsi" w:cstheme="minorHAnsi"/>
          <w:b/>
          <w:spacing w:val="20"/>
        </w:rPr>
        <w:t xml:space="preserve">Background </w:t>
      </w:r>
    </w:p>
    <w:p w14:paraId="1B32AFB3" w14:textId="77777777" w:rsidR="005C00BA" w:rsidRPr="00940139" w:rsidRDefault="005C00BA" w:rsidP="002E2B9F">
      <w:pPr>
        <w:pStyle w:val="Question"/>
        <w:numPr>
          <w:ilvl w:val="0"/>
          <w:numId w:val="0"/>
        </w:numPr>
        <w:tabs>
          <w:tab w:val="left" w:pos="426"/>
        </w:tabs>
        <w:spacing w:before="120" w:line="259" w:lineRule="auto"/>
        <w:ind w:left="720" w:hanging="720"/>
        <w:contextualSpacing w:val="0"/>
        <w:jc w:val="left"/>
        <w:rPr>
          <w:rFonts w:asciiTheme="majorHAnsi" w:hAnsiTheme="majorHAnsi" w:cstheme="minorHAnsi"/>
          <w:sz w:val="20"/>
          <w:szCs w:val="20"/>
          <w:lang w:val="en-GB"/>
        </w:rPr>
      </w:pPr>
      <w:r w:rsidRPr="00940139">
        <w:rPr>
          <w:rFonts w:asciiTheme="majorHAnsi" w:hAnsiTheme="majorHAnsi" w:cstheme="minorHAnsi"/>
          <w:b/>
          <w:bCs/>
          <w:sz w:val="20"/>
          <w:szCs w:val="20"/>
          <w:lang w:val="en-GB"/>
        </w:rPr>
        <w:t xml:space="preserve">1.1 </w:t>
      </w:r>
      <w:r w:rsidRPr="00940139">
        <w:rPr>
          <w:rFonts w:cstheme="minorHAnsi"/>
          <w:b/>
          <w:bCs/>
          <w:sz w:val="20"/>
          <w:szCs w:val="20"/>
        </w:rPr>
        <w:t xml:space="preserve">Country </w:t>
      </w:r>
      <w:r w:rsidRPr="00940139">
        <w:rPr>
          <w:rFonts w:asciiTheme="majorHAnsi" w:hAnsiTheme="majorHAnsi" w:cstheme="minorHAnsi"/>
          <w:i/>
          <w:iCs/>
          <w:sz w:val="20"/>
          <w:szCs w:val="20"/>
          <w:lang w:val="en-GB"/>
        </w:rPr>
        <w:t>Dropdown menu)</w:t>
      </w:r>
      <w:r w:rsidRPr="00940139">
        <w:rPr>
          <w:rFonts w:asciiTheme="majorHAnsi" w:hAnsiTheme="majorHAnsi" w:cstheme="minorHAnsi"/>
          <w:b/>
          <w:bCs/>
          <w:sz w:val="20"/>
          <w:szCs w:val="20"/>
          <w:lang w:val="en-GB"/>
        </w:rPr>
        <w:t xml:space="preserve"> </w:t>
      </w:r>
      <w:r w:rsidRPr="00940139">
        <w:rPr>
          <w:rFonts w:asciiTheme="majorHAnsi" w:hAnsiTheme="majorHAnsi" w:cstheme="minorHAnsi"/>
          <w:b/>
          <w:bCs/>
          <w:sz w:val="20"/>
          <w:szCs w:val="20"/>
          <w:lang w:val="en-GB"/>
        </w:rPr>
        <w:br/>
      </w:r>
    </w:p>
    <w:tbl>
      <w:tblPr>
        <w:tblStyle w:val="TableGrid"/>
        <w:tblW w:w="5103" w:type="dxa"/>
        <w:tblInd w:w="534" w:type="dxa"/>
        <w:tblLook w:val="04A0" w:firstRow="1" w:lastRow="0" w:firstColumn="1" w:lastColumn="0" w:noHBand="0" w:noVBand="1"/>
      </w:tblPr>
      <w:tblGrid>
        <w:gridCol w:w="2551"/>
        <w:gridCol w:w="2552"/>
      </w:tblGrid>
      <w:tr w:rsidR="005C00BA" w:rsidRPr="00940139" w14:paraId="3FF55398" w14:textId="77777777" w:rsidTr="00940139">
        <w:tc>
          <w:tcPr>
            <w:tcW w:w="2551" w:type="dxa"/>
            <w:vAlign w:val="center"/>
          </w:tcPr>
          <w:p w14:paraId="028B2BB7" w14:textId="2EECB4C2" w:rsidR="005C00BA" w:rsidRPr="00940139" w:rsidRDefault="00000000" w:rsidP="002E2B9F">
            <w:pPr>
              <w:pStyle w:val="TableText"/>
              <w:spacing w:before="120" w:after="120" w:line="259" w:lineRule="auto"/>
              <w:rPr>
                <w:sz w:val="20"/>
                <w:szCs w:val="20"/>
              </w:rPr>
            </w:pPr>
            <w:sdt>
              <w:sdtPr>
                <w:rPr>
                  <w:rFonts w:cs="MS Gothic"/>
                  <w:sz w:val="20"/>
                  <w:szCs w:val="20"/>
                </w:rPr>
                <w:id w:val="1700816126"/>
                <w14:checkbox>
                  <w14:checked w14:val="0"/>
                  <w14:checkedState w14:val="2612" w14:font="MS Gothic"/>
                  <w14:uncheckedState w14:val="2610" w14:font="MS Gothic"/>
                </w14:checkbox>
              </w:sdtPr>
              <w:sdtContent>
                <w:r w:rsidR="00940139">
                  <w:rPr>
                    <w:rFonts w:ascii="MS Gothic" w:eastAsia="MS Gothic" w:hAnsi="MS Gothic" w:cs="MS Gothic" w:hint="eastAsia"/>
                    <w:sz w:val="20"/>
                    <w:szCs w:val="20"/>
                  </w:rPr>
                  <w:t>☐</w:t>
                </w:r>
              </w:sdtContent>
            </w:sdt>
            <w:r w:rsidR="005C00BA" w:rsidRPr="00940139">
              <w:rPr>
                <w:sz w:val="20"/>
                <w:szCs w:val="20"/>
              </w:rPr>
              <w:t xml:space="preserve"> Burkina Faso</w:t>
            </w:r>
          </w:p>
        </w:tc>
        <w:tc>
          <w:tcPr>
            <w:tcW w:w="2552" w:type="dxa"/>
            <w:vAlign w:val="center"/>
          </w:tcPr>
          <w:p w14:paraId="3018BC1C" w14:textId="704944D0" w:rsidR="005C00BA" w:rsidRPr="00940139" w:rsidRDefault="00000000" w:rsidP="002E2B9F">
            <w:pPr>
              <w:pStyle w:val="ListBullet"/>
              <w:numPr>
                <w:ilvl w:val="0"/>
                <w:numId w:val="0"/>
              </w:numPr>
              <w:spacing w:line="259" w:lineRule="auto"/>
              <w:rPr>
                <w:rFonts w:cstheme="minorHAnsi"/>
                <w:szCs w:val="20"/>
                <w:lang w:val="en-GB"/>
              </w:rPr>
            </w:pPr>
            <w:sdt>
              <w:sdtPr>
                <w:rPr>
                  <w:rFonts w:eastAsia="MS Gothic" w:cs="MS Gothic"/>
                  <w:szCs w:val="20"/>
                  <w:lang w:val="en-GB"/>
                </w:rPr>
                <w:id w:val="-1334829385"/>
                <w14:checkbox>
                  <w14:checked w14:val="0"/>
                  <w14:checkedState w14:val="2612" w14:font="MS Gothic"/>
                  <w14:uncheckedState w14:val="2610" w14:font="MS Gothic"/>
                </w14:checkbox>
              </w:sdtPr>
              <w:sdtContent>
                <w:r w:rsidR="00940139" w:rsidRPr="00940139">
                  <w:rPr>
                    <w:rFonts w:ascii="MS Gothic" w:eastAsia="MS Gothic" w:hAnsi="MS Gothic" w:cs="MS Gothic" w:hint="eastAsia"/>
                    <w:szCs w:val="20"/>
                    <w:lang w:val="en-GB"/>
                  </w:rPr>
                  <w:t>☐</w:t>
                </w:r>
              </w:sdtContent>
            </w:sdt>
            <w:r w:rsidR="005C00BA" w:rsidRPr="00940139">
              <w:rPr>
                <w:rFonts w:eastAsia="MS Gothic" w:cstheme="minorHAnsi"/>
                <w:szCs w:val="20"/>
                <w:lang w:val="en-GB"/>
              </w:rPr>
              <w:t xml:space="preserve"> </w:t>
            </w:r>
            <w:r w:rsidR="005C00BA" w:rsidRPr="00940139">
              <w:rPr>
                <w:rFonts w:cstheme="minorHAnsi"/>
                <w:szCs w:val="20"/>
              </w:rPr>
              <w:t>Jordan</w:t>
            </w:r>
          </w:p>
        </w:tc>
      </w:tr>
      <w:tr w:rsidR="005C00BA" w:rsidRPr="00940139" w14:paraId="6D0DCC20" w14:textId="77777777" w:rsidTr="00940139">
        <w:tc>
          <w:tcPr>
            <w:tcW w:w="2551" w:type="dxa"/>
            <w:vAlign w:val="center"/>
          </w:tcPr>
          <w:p w14:paraId="4194BB65" w14:textId="6AE41563" w:rsidR="005C00BA" w:rsidRPr="00940139" w:rsidRDefault="00000000" w:rsidP="002E2B9F">
            <w:pPr>
              <w:pStyle w:val="TableText"/>
              <w:spacing w:before="120" w:after="120" w:line="259" w:lineRule="auto"/>
              <w:rPr>
                <w:sz w:val="20"/>
                <w:szCs w:val="20"/>
              </w:rPr>
            </w:pPr>
            <w:sdt>
              <w:sdtPr>
                <w:rPr>
                  <w:rFonts w:cs="MS Gothic"/>
                  <w:sz w:val="20"/>
                  <w:szCs w:val="20"/>
                </w:rPr>
                <w:id w:val="-1425645742"/>
                <w14:checkbox>
                  <w14:checked w14:val="0"/>
                  <w14:checkedState w14:val="2612" w14:font="MS Gothic"/>
                  <w14:uncheckedState w14:val="2610" w14:font="MS Gothic"/>
                </w14:checkbox>
              </w:sdtPr>
              <w:sdtContent>
                <w:r w:rsidR="00940139" w:rsidRPr="00940139">
                  <w:rPr>
                    <w:rFonts w:ascii="MS Gothic" w:eastAsia="MS Gothic" w:hAnsi="MS Gothic" w:cs="MS Gothic" w:hint="eastAsia"/>
                    <w:sz w:val="20"/>
                    <w:szCs w:val="20"/>
                  </w:rPr>
                  <w:t>☐</w:t>
                </w:r>
              </w:sdtContent>
            </w:sdt>
            <w:r w:rsidR="005C00BA" w:rsidRPr="00940139">
              <w:rPr>
                <w:sz w:val="20"/>
                <w:szCs w:val="20"/>
              </w:rPr>
              <w:t xml:space="preserve"> Belarus</w:t>
            </w:r>
          </w:p>
        </w:tc>
        <w:tc>
          <w:tcPr>
            <w:tcW w:w="2552" w:type="dxa"/>
            <w:vAlign w:val="center"/>
          </w:tcPr>
          <w:p w14:paraId="01E5EEFB" w14:textId="77777777" w:rsidR="005C00BA" w:rsidRPr="00940139" w:rsidRDefault="00000000" w:rsidP="002E2B9F">
            <w:pPr>
              <w:pStyle w:val="ListBullet"/>
              <w:numPr>
                <w:ilvl w:val="0"/>
                <w:numId w:val="0"/>
              </w:numPr>
              <w:spacing w:line="259" w:lineRule="auto"/>
              <w:rPr>
                <w:rFonts w:cstheme="minorHAnsi"/>
                <w:szCs w:val="20"/>
                <w:lang w:val="en-GB"/>
              </w:rPr>
            </w:pPr>
            <w:sdt>
              <w:sdtPr>
                <w:rPr>
                  <w:rFonts w:eastAsia="MS Gothic" w:cs="MS Gothic"/>
                  <w:szCs w:val="20"/>
                  <w:lang w:val="en-GB"/>
                </w:rPr>
                <w:id w:val="855234573"/>
                <w14:checkbox>
                  <w14:checked w14:val="0"/>
                  <w14:checkedState w14:val="2612" w14:font="MS Gothic"/>
                  <w14:uncheckedState w14:val="2610" w14:font="MS Gothic"/>
                </w14:checkbox>
              </w:sdtPr>
              <w:sdtContent>
                <w:r w:rsidR="005C00BA" w:rsidRPr="00940139">
                  <w:rPr>
                    <w:rFonts w:eastAsia="MS Gothic" w:cs="MS Gothic"/>
                    <w:szCs w:val="20"/>
                    <w:lang w:val="en-GB"/>
                  </w:rPr>
                  <w:t>☐</w:t>
                </w:r>
              </w:sdtContent>
            </w:sdt>
            <w:r w:rsidR="005C00BA" w:rsidRPr="00940139">
              <w:rPr>
                <w:rFonts w:eastAsia="MS Gothic" w:cstheme="minorHAnsi"/>
                <w:szCs w:val="20"/>
                <w:lang w:val="en-GB"/>
              </w:rPr>
              <w:t xml:space="preserve"> </w:t>
            </w:r>
            <w:r w:rsidR="005C00BA" w:rsidRPr="00940139">
              <w:rPr>
                <w:rFonts w:cs="Arial"/>
                <w:color w:val="39474E"/>
                <w:szCs w:val="20"/>
              </w:rPr>
              <w:t>Kyrgyzstan</w:t>
            </w:r>
          </w:p>
        </w:tc>
      </w:tr>
      <w:tr w:rsidR="005C00BA" w:rsidRPr="00940139" w14:paraId="58267C00" w14:textId="77777777" w:rsidTr="00940139">
        <w:tc>
          <w:tcPr>
            <w:tcW w:w="2551" w:type="dxa"/>
            <w:vAlign w:val="center"/>
          </w:tcPr>
          <w:p w14:paraId="455CE9A1" w14:textId="77777777" w:rsidR="005C00BA" w:rsidRPr="00940139" w:rsidRDefault="00000000" w:rsidP="002E2B9F">
            <w:pPr>
              <w:pStyle w:val="TableText"/>
              <w:spacing w:before="120" w:after="120" w:line="259" w:lineRule="auto"/>
              <w:rPr>
                <w:sz w:val="20"/>
                <w:szCs w:val="20"/>
              </w:rPr>
            </w:pPr>
            <w:sdt>
              <w:sdtPr>
                <w:rPr>
                  <w:rFonts w:cs="MS Gothic"/>
                  <w:sz w:val="20"/>
                  <w:szCs w:val="20"/>
                </w:rPr>
                <w:id w:val="-681353472"/>
                <w14:checkbox>
                  <w14:checked w14:val="0"/>
                  <w14:checkedState w14:val="2612" w14:font="MS Gothic"/>
                  <w14:uncheckedState w14:val="2610" w14:font="MS Gothic"/>
                </w14:checkbox>
              </w:sdtPr>
              <w:sdtContent>
                <w:r w:rsidR="005C00BA" w:rsidRPr="00940139">
                  <w:rPr>
                    <w:rFonts w:cs="MS Gothic"/>
                    <w:sz w:val="20"/>
                    <w:szCs w:val="20"/>
                  </w:rPr>
                  <w:t>☐</w:t>
                </w:r>
              </w:sdtContent>
            </w:sdt>
            <w:r w:rsidR="005C00BA" w:rsidRPr="00940139">
              <w:rPr>
                <w:sz w:val="20"/>
                <w:szCs w:val="20"/>
              </w:rPr>
              <w:t xml:space="preserve"> Costa Rica </w:t>
            </w:r>
          </w:p>
        </w:tc>
        <w:tc>
          <w:tcPr>
            <w:tcW w:w="2552" w:type="dxa"/>
            <w:vAlign w:val="center"/>
          </w:tcPr>
          <w:p w14:paraId="187B9597" w14:textId="77777777" w:rsidR="005C00BA" w:rsidRPr="00940139" w:rsidRDefault="00000000" w:rsidP="002E2B9F">
            <w:pPr>
              <w:pStyle w:val="ListBullet"/>
              <w:numPr>
                <w:ilvl w:val="0"/>
                <w:numId w:val="0"/>
              </w:numPr>
              <w:spacing w:line="259" w:lineRule="auto"/>
              <w:rPr>
                <w:rFonts w:cstheme="minorHAnsi"/>
                <w:szCs w:val="20"/>
                <w:lang w:val="en-GB"/>
              </w:rPr>
            </w:pPr>
            <w:sdt>
              <w:sdtPr>
                <w:rPr>
                  <w:rFonts w:eastAsia="MS Gothic" w:cs="MS Gothic"/>
                  <w:szCs w:val="20"/>
                  <w:lang w:val="en-GB"/>
                </w:rPr>
                <w:id w:val="-702558510"/>
                <w14:checkbox>
                  <w14:checked w14:val="0"/>
                  <w14:checkedState w14:val="2612" w14:font="MS Gothic"/>
                  <w14:uncheckedState w14:val="2610" w14:font="MS Gothic"/>
                </w14:checkbox>
              </w:sdtPr>
              <w:sdtContent>
                <w:r w:rsidR="005C00BA" w:rsidRPr="00940139">
                  <w:rPr>
                    <w:rFonts w:eastAsia="MS Gothic" w:cs="MS Gothic"/>
                    <w:szCs w:val="20"/>
                    <w:lang w:val="en-GB"/>
                  </w:rPr>
                  <w:t>☐</w:t>
                </w:r>
              </w:sdtContent>
            </w:sdt>
            <w:r w:rsidR="005C00BA" w:rsidRPr="00940139">
              <w:rPr>
                <w:rFonts w:eastAsia="MS Gothic" w:cstheme="minorHAnsi"/>
                <w:szCs w:val="20"/>
                <w:lang w:val="en-GB"/>
              </w:rPr>
              <w:t xml:space="preserve"> </w:t>
            </w:r>
            <w:r w:rsidR="005C00BA" w:rsidRPr="00940139">
              <w:rPr>
                <w:rFonts w:cstheme="minorHAnsi"/>
                <w:szCs w:val="20"/>
              </w:rPr>
              <w:t>Pakistan</w:t>
            </w:r>
          </w:p>
        </w:tc>
      </w:tr>
      <w:tr w:rsidR="005C00BA" w:rsidRPr="00940139" w14:paraId="712ED04E" w14:textId="77777777" w:rsidTr="00940139">
        <w:tc>
          <w:tcPr>
            <w:tcW w:w="2551" w:type="dxa"/>
            <w:vAlign w:val="center"/>
          </w:tcPr>
          <w:p w14:paraId="576FE40A" w14:textId="77777777" w:rsidR="005C00BA" w:rsidRPr="00940139" w:rsidRDefault="00000000" w:rsidP="002E2B9F">
            <w:pPr>
              <w:pStyle w:val="TableText"/>
              <w:spacing w:before="120" w:after="120" w:line="259" w:lineRule="auto"/>
              <w:rPr>
                <w:sz w:val="20"/>
                <w:szCs w:val="20"/>
              </w:rPr>
            </w:pPr>
            <w:sdt>
              <w:sdtPr>
                <w:rPr>
                  <w:rFonts w:cs="MS Gothic"/>
                  <w:sz w:val="20"/>
                  <w:szCs w:val="20"/>
                </w:rPr>
                <w:id w:val="-1171950923"/>
                <w14:checkbox>
                  <w14:checked w14:val="0"/>
                  <w14:checkedState w14:val="2612" w14:font="MS Gothic"/>
                  <w14:uncheckedState w14:val="2610" w14:font="MS Gothic"/>
                </w14:checkbox>
              </w:sdtPr>
              <w:sdtContent>
                <w:r w:rsidR="005C00BA" w:rsidRPr="00940139">
                  <w:rPr>
                    <w:rFonts w:cs="MS Gothic"/>
                    <w:sz w:val="20"/>
                    <w:szCs w:val="20"/>
                  </w:rPr>
                  <w:t>☐</w:t>
                </w:r>
              </w:sdtContent>
            </w:sdt>
            <w:r w:rsidR="005C00BA" w:rsidRPr="00940139">
              <w:rPr>
                <w:sz w:val="20"/>
                <w:szCs w:val="20"/>
              </w:rPr>
              <w:t xml:space="preserve"> Dominican Republic</w:t>
            </w:r>
          </w:p>
        </w:tc>
        <w:tc>
          <w:tcPr>
            <w:tcW w:w="2552" w:type="dxa"/>
            <w:vAlign w:val="center"/>
          </w:tcPr>
          <w:p w14:paraId="7A8C3DE1" w14:textId="77777777" w:rsidR="005C00BA" w:rsidRPr="00940139" w:rsidRDefault="00000000" w:rsidP="002E2B9F">
            <w:pPr>
              <w:pStyle w:val="ListBullet"/>
              <w:numPr>
                <w:ilvl w:val="0"/>
                <w:numId w:val="0"/>
              </w:numPr>
              <w:spacing w:line="259" w:lineRule="auto"/>
              <w:rPr>
                <w:rFonts w:eastAsia="MS Gothic" w:cstheme="minorHAnsi"/>
                <w:szCs w:val="20"/>
                <w:lang w:val="en-GB"/>
              </w:rPr>
            </w:pPr>
            <w:sdt>
              <w:sdtPr>
                <w:rPr>
                  <w:rFonts w:eastAsia="MS Gothic" w:cs="MS Gothic"/>
                  <w:szCs w:val="20"/>
                  <w:lang w:val="en-GB"/>
                </w:rPr>
                <w:id w:val="-173889837"/>
                <w14:checkbox>
                  <w14:checked w14:val="0"/>
                  <w14:checkedState w14:val="2612" w14:font="MS Gothic"/>
                  <w14:uncheckedState w14:val="2610" w14:font="MS Gothic"/>
                </w14:checkbox>
              </w:sdtPr>
              <w:sdtContent>
                <w:r w:rsidR="005C00BA" w:rsidRPr="00940139">
                  <w:rPr>
                    <w:rFonts w:eastAsia="MS Gothic" w:cs="MS Gothic"/>
                    <w:szCs w:val="20"/>
                    <w:lang w:val="en-GB"/>
                  </w:rPr>
                  <w:t>☐</w:t>
                </w:r>
              </w:sdtContent>
            </w:sdt>
            <w:r w:rsidR="005C00BA" w:rsidRPr="00940139">
              <w:rPr>
                <w:rFonts w:eastAsia="MS Gothic" w:cstheme="minorHAnsi"/>
                <w:szCs w:val="20"/>
                <w:lang w:val="en-GB"/>
              </w:rPr>
              <w:t xml:space="preserve"> </w:t>
            </w:r>
            <w:r w:rsidR="005C00BA" w:rsidRPr="00940139">
              <w:rPr>
                <w:rFonts w:cstheme="minorHAnsi"/>
                <w:szCs w:val="20"/>
              </w:rPr>
              <w:t>Samoa</w:t>
            </w:r>
          </w:p>
        </w:tc>
      </w:tr>
      <w:tr w:rsidR="005C00BA" w:rsidRPr="00940139" w14:paraId="7092A50D" w14:textId="77777777" w:rsidTr="00940139">
        <w:tc>
          <w:tcPr>
            <w:tcW w:w="2551" w:type="dxa"/>
            <w:vAlign w:val="center"/>
          </w:tcPr>
          <w:p w14:paraId="2BFA2C02" w14:textId="77777777" w:rsidR="005C00BA" w:rsidRPr="00940139" w:rsidRDefault="00000000" w:rsidP="002E2B9F">
            <w:pPr>
              <w:pStyle w:val="TableText"/>
              <w:spacing w:before="120" w:after="120" w:line="259" w:lineRule="auto"/>
              <w:rPr>
                <w:sz w:val="20"/>
                <w:szCs w:val="20"/>
              </w:rPr>
            </w:pPr>
            <w:sdt>
              <w:sdtPr>
                <w:rPr>
                  <w:sz w:val="20"/>
                  <w:szCs w:val="20"/>
                </w:rPr>
                <w:id w:val="1296958652"/>
                <w14:checkbox>
                  <w14:checked w14:val="0"/>
                  <w14:checkedState w14:val="2612" w14:font="MS Gothic"/>
                  <w14:uncheckedState w14:val="2610" w14:font="MS Gothic"/>
                </w14:checkbox>
              </w:sdtPr>
              <w:sdtContent>
                <w:r w:rsidR="005C00BA" w:rsidRPr="00940139">
                  <w:rPr>
                    <w:sz w:val="20"/>
                    <w:szCs w:val="20"/>
                  </w:rPr>
                  <w:t>☐</w:t>
                </w:r>
              </w:sdtContent>
            </w:sdt>
            <w:r w:rsidR="005C00BA" w:rsidRPr="00940139">
              <w:rPr>
                <w:sz w:val="20"/>
                <w:szCs w:val="20"/>
              </w:rPr>
              <w:t xml:space="preserve"> Egypt</w:t>
            </w:r>
          </w:p>
        </w:tc>
        <w:tc>
          <w:tcPr>
            <w:tcW w:w="2552" w:type="dxa"/>
            <w:vAlign w:val="center"/>
          </w:tcPr>
          <w:p w14:paraId="37772351" w14:textId="77777777" w:rsidR="005C00BA" w:rsidRPr="00940139" w:rsidRDefault="00000000" w:rsidP="002E2B9F">
            <w:pPr>
              <w:pStyle w:val="ListBullet"/>
              <w:numPr>
                <w:ilvl w:val="0"/>
                <w:numId w:val="0"/>
              </w:numPr>
              <w:spacing w:line="259" w:lineRule="auto"/>
              <w:rPr>
                <w:rFonts w:eastAsia="MS Gothic" w:cstheme="minorHAnsi"/>
                <w:szCs w:val="20"/>
                <w:lang w:val="en-GB"/>
              </w:rPr>
            </w:pPr>
            <w:sdt>
              <w:sdtPr>
                <w:rPr>
                  <w:rFonts w:eastAsia="MS Gothic" w:cs="MS Gothic"/>
                  <w:szCs w:val="20"/>
                  <w:lang w:val="en-GB"/>
                </w:rPr>
                <w:id w:val="-517313554"/>
                <w14:checkbox>
                  <w14:checked w14:val="0"/>
                  <w14:checkedState w14:val="2612" w14:font="MS Gothic"/>
                  <w14:uncheckedState w14:val="2610" w14:font="MS Gothic"/>
                </w14:checkbox>
              </w:sdtPr>
              <w:sdtContent>
                <w:r w:rsidR="005C00BA" w:rsidRPr="00940139">
                  <w:rPr>
                    <w:rFonts w:eastAsia="MS Gothic" w:cs="MS Gothic"/>
                    <w:szCs w:val="20"/>
                    <w:lang w:val="en-GB"/>
                  </w:rPr>
                  <w:t>☐</w:t>
                </w:r>
              </w:sdtContent>
            </w:sdt>
            <w:r w:rsidR="005C00BA" w:rsidRPr="00940139">
              <w:rPr>
                <w:rFonts w:eastAsia="MS Gothic" w:cstheme="minorHAnsi"/>
                <w:szCs w:val="20"/>
                <w:lang w:val="en-GB"/>
              </w:rPr>
              <w:t xml:space="preserve"> </w:t>
            </w:r>
            <w:r w:rsidR="005C00BA" w:rsidRPr="00940139">
              <w:rPr>
                <w:rFonts w:cstheme="minorHAnsi"/>
                <w:szCs w:val="20"/>
              </w:rPr>
              <w:t>Zambia</w:t>
            </w:r>
          </w:p>
        </w:tc>
      </w:tr>
    </w:tbl>
    <w:p w14:paraId="44D2E0A1" w14:textId="77777777" w:rsidR="005C00BA" w:rsidRPr="00940139" w:rsidRDefault="005C00BA" w:rsidP="002E2B9F">
      <w:pPr>
        <w:spacing w:before="120" w:after="120"/>
        <w:rPr>
          <w:rFonts w:asciiTheme="majorHAnsi" w:eastAsia="Times New Roman" w:hAnsiTheme="majorHAnsi" w:cstheme="minorHAnsi"/>
          <w:b/>
          <w:bCs/>
        </w:rPr>
      </w:pPr>
    </w:p>
    <w:p w14:paraId="69005288" w14:textId="77777777" w:rsidR="005C00BA" w:rsidRPr="00940139" w:rsidRDefault="005C00BA" w:rsidP="002E2B9F">
      <w:pPr>
        <w:pStyle w:val="BodyText"/>
        <w:rPr>
          <w:rFonts w:cstheme="minorHAnsi"/>
          <w:b/>
          <w:bCs/>
          <w:szCs w:val="20"/>
        </w:rPr>
      </w:pPr>
      <w:r w:rsidRPr="00940139">
        <w:rPr>
          <w:rFonts w:cstheme="minorHAnsi"/>
          <w:b/>
          <w:bCs/>
          <w:szCs w:val="20"/>
        </w:rPr>
        <w:t>1.2 Organisation</w:t>
      </w:r>
    </w:p>
    <w:p w14:paraId="4C6B27A3" w14:textId="77777777" w:rsidR="005C00BA" w:rsidRPr="00940139" w:rsidRDefault="00000000" w:rsidP="002E2B9F">
      <w:pPr>
        <w:pStyle w:val="BodyText"/>
        <w:rPr>
          <w:rFonts w:cstheme="minorHAnsi"/>
          <w:szCs w:val="20"/>
        </w:rPr>
      </w:pPr>
      <w:sdt>
        <w:sdtPr>
          <w:rPr>
            <w:rFonts w:cstheme="minorHAnsi"/>
            <w:szCs w:val="20"/>
          </w:rPr>
          <w:id w:val="1677763896"/>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Please specify: ____________________________________________</w:t>
      </w:r>
    </w:p>
    <w:p w14:paraId="45DC7833" w14:textId="77777777" w:rsidR="005C00BA" w:rsidRDefault="005C00BA" w:rsidP="002E2B9F">
      <w:pPr>
        <w:pStyle w:val="BodyText"/>
        <w:rPr>
          <w:rFonts w:cstheme="minorHAnsi"/>
          <w:szCs w:val="20"/>
        </w:rPr>
      </w:pPr>
    </w:p>
    <w:p w14:paraId="5634D009" w14:textId="431DBC97" w:rsidR="00ED7801" w:rsidRDefault="00ED7801">
      <w:pPr>
        <w:rPr>
          <w:rFonts w:eastAsiaTheme="minorHAnsi" w:cstheme="minorHAnsi"/>
          <w:kern w:val="2"/>
          <w:lang w:val="en-CA" w:eastAsia="en-US"/>
          <w14:ligatures w14:val="standardContextual"/>
        </w:rPr>
      </w:pPr>
      <w:r>
        <w:rPr>
          <w:rFonts w:cstheme="minorHAnsi"/>
        </w:rPr>
        <w:br w:type="page"/>
      </w:r>
    </w:p>
    <w:p w14:paraId="35FC0A27" w14:textId="77777777" w:rsidR="005C00BA" w:rsidRPr="00940139" w:rsidRDefault="005C00BA" w:rsidP="002E2B9F">
      <w:pPr>
        <w:pStyle w:val="BodyText"/>
        <w:rPr>
          <w:rFonts w:cstheme="minorHAnsi"/>
          <w:b/>
          <w:bCs/>
          <w:szCs w:val="20"/>
        </w:rPr>
      </w:pPr>
      <w:r w:rsidRPr="00940139">
        <w:rPr>
          <w:rFonts w:cstheme="minorHAnsi"/>
          <w:b/>
          <w:bCs/>
          <w:szCs w:val="20"/>
        </w:rPr>
        <w:lastRenderedPageBreak/>
        <w:t>1.3 Sex</w:t>
      </w:r>
    </w:p>
    <w:p w14:paraId="211E5AE7" w14:textId="77777777" w:rsidR="005C00BA" w:rsidRPr="00940139" w:rsidRDefault="00000000" w:rsidP="002E2B9F">
      <w:pPr>
        <w:pStyle w:val="BodyText"/>
        <w:rPr>
          <w:rFonts w:cstheme="minorHAnsi"/>
          <w:szCs w:val="20"/>
        </w:rPr>
      </w:pPr>
      <w:sdt>
        <w:sdtPr>
          <w:rPr>
            <w:rFonts w:cstheme="minorHAnsi"/>
            <w:szCs w:val="20"/>
          </w:rPr>
          <w:id w:val="-991409065"/>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Male</w:t>
      </w:r>
    </w:p>
    <w:p w14:paraId="24921681" w14:textId="77777777" w:rsidR="005C00BA" w:rsidRPr="00940139" w:rsidRDefault="00000000" w:rsidP="002E2B9F">
      <w:pPr>
        <w:pStyle w:val="BodyText"/>
        <w:rPr>
          <w:rFonts w:cstheme="minorHAnsi"/>
          <w:szCs w:val="20"/>
        </w:rPr>
      </w:pPr>
      <w:sdt>
        <w:sdtPr>
          <w:rPr>
            <w:rFonts w:cstheme="minorHAnsi"/>
            <w:szCs w:val="20"/>
          </w:rPr>
          <w:id w:val="-134792773"/>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Female </w:t>
      </w:r>
    </w:p>
    <w:p w14:paraId="13760A63" w14:textId="77777777" w:rsidR="005C00BA" w:rsidRPr="00940139" w:rsidRDefault="00000000" w:rsidP="002E2B9F">
      <w:pPr>
        <w:pStyle w:val="BodyText"/>
        <w:rPr>
          <w:rFonts w:cstheme="minorHAnsi"/>
          <w:szCs w:val="20"/>
        </w:rPr>
      </w:pPr>
      <w:sdt>
        <w:sdtPr>
          <w:rPr>
            <w:rFonts w:cstheme="minorHAnsi"/>
            <w:szCs w:val="20"/>
          </w:rPr>
          <w:id w:val="409119527"/>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Prefer not to specify </w:t>
      </w:r>
    </w:p>
    <w:p w14:paraId="3279424B" w14:textId="77777777" w:rsidR="005C00BA" w:rsidRPr="00940139" w:rsidRDefault="005C00BA" w:rsidP="002E2B9F">
      <w:pPr>
        <w:pStyle w:val="BodyText"/>
        <w:rPr>
          <w:rFonts w:cstheme="minorHAnsi"/>
          <w:szCs w:val="20"/>
        </w:rPr>
      </w:pPr>
    </w:p>
    <w:p w14:paraId="70F11847" w14:textId="77777777" w:rsidR="005C00BA" w:rsidRPr="00940139" w:rsidRDefault="005C00BA" w:rsidP="002E2B9F">
      <w:pPr>
        <w:pStyle w:val="BodyText"/>
        <w:rPr>
          <w:rFonts w:cstheme="minorHAnsi"/>
          <w:szCs w:val="20"/>
        </w:rPr>
      </w:pPr>
      <w:r w:rsidRPr="00940139">
        <w:rPr>
          <w:rFonts w:cstheme="minorHAnsi"/>
          <w:b/>
          <w:bCs/>
          <w:szCs w:val="20"/>
        </w:rPr>
        <w:t xml:space="preserve">1.4. Training activity </w:t>
      </w:r>
      <w:r w:rsidRPr="00940139">
        <w:rPr>
          <w:rFonts w:cstheme="minorHAnsi"/>
          <w:szCs w:val="20"/>
        </w:rPr>
        <w:t>Tick all that apply</w:t>
      </w:r>
    </w:p>
    <w:p w14:paraId="6C3D3E3F" w14:textId="77777777" w:rsidR="005C00BA" w:rsidRPr="00940139" w:rsidRDefault="00000000" w:rsidP="002E2B9F">
      <w:pPr>
        <w:pStyle w:val="BodyText"/>
        <w:rPr>
          <w:rFonts w:cstheme="minorHAnsi"/>
          <w:szCs w:val="20"/>
        </w:rPr>
      </w:pPr>
      <w:sdt>
        <w:sdtPr>
          <w:rPr>
            <w:rFonts w:cstheme="minorHAnsi"/>
            <w:szCs w:val="20"/>
          </w:rPr>
          <w:id w:val="1190567170"/>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Training of Trainers: Small and Medium-sized Enterprises Accounting </w:t>
      </w:r>
    </w:p>
    <w:p w14:paraId="0489EACE" w14:textId="77777777" w:rsidR="005C00BA" w:rsidRPr="00940139" w:rsidRDefault="00000000" w:rsidP="002E2B9F">
      <w:pPr>
        <w:pStyle w:val="BodyText"/>
        <w:rPr>
          <w:rFonts w:cstheme="minorHAnsi"/>
          <w:szCs w:val="20"/>
        </w:rPr>
      </w:pPr>
      <w:sdt>
        <w:sdtPr>
          <w:rPr>
            <w:rFonts w:cstheme="minorHAnsi"/>
            <w:szCs w:val="20"/>
          </w:rPr>
          <w:id w:val="-1552920938"/>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Global Compliance Institute training</w:t>
      </w:r>
    </w:p>
    <w:p w14:paraId="3A019450" w14:textId="77777777" w:rsidR="005C00BA" w:rsidRPr="00940139" w:rsidRDefault="00000000" w:rsidP="002E2B9F">
      <w:pPr>
        <w:pStyle w:val="BodyText"/>
        <w:rPr>
          <w:rFonts w:cstheme="minorHAnsi"/>
          <w:szCs w:val="20"/>
        </w:rPr>
      </w:pPr>
      <w:sdt>
        <w:sdtPr>
          <w:rPr>
            <w:rFonts w:cstheme="minorHAnsi"/>
            <w:szCs w:val="20"/>
          </w:rPr>
          <w:id w:val="879283821"/>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Accounting Development Tool training </w:t>
      </w:r>
    </w:p>
    <w:p w14:paraId="69A392BB" w14:textId="77777777" w:rsidR="005C00BA" w:rsidRPr="00940139" w:rsidRDefault="00000000" w:rsidP="002E2B9F">
      <w:pPr>
        <w:pStyle w:val="BodyText"/>
        <w:rPr>
          <w:rFonts w:cstheme="minorHAnsi"/>
          <w:szCs w:val="20"/>
        </w:rPr>
      </w:pPr>
      <w:sdt>
        <w:sdtPr>
          <w:rPr>
            <w:rFonts w:cstheme="minorHAnsi"/>
            <w:szCs w:val="20"/>
          </w:rPr>
          <w:id w:val="-2090528152"/>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Public-Private Partnership workshop</w:t>
      </w:r>
    </w:p>
    <w:p w14:paraId="43410FB0" w14:textId="77777777" w:rsidR="005C00BA" w:rsidRPr="00940139" w:rsidRDefault="00000000" w:rsidP="002E2B9F">
      <w:pPr>
        <w:pStyle w:val="BodyText"/>
        <w:rPr>
          <w:rFonts w:cstheme="minorHAnsi"/>
          <w:szCs w:val="20"/>
        </w:rPr>
      </w:pPr>
      <w:sdt>
        <w:sdtPr>
          <w:rPr>
            <w:rFonts w:cstheme="minorHAnsi"/>
            <w:szCs w:val="20"/>
          </w:rPr>
          <w:id w:val="1590734630"/>
          <w14:checkbox>
            <w14:checked w14:val="0"/>
            <w14:checkedState w14:val="2612" w14:font="MS Gothic"/>
            <w14:uncheckedState w14:val="2610" w14:font="MS Gothic"/>
          </w14:checkbox>
        </w:sdtPr>
        <w:sdtContent>
          <w:r w:rsidR="005C00BA" w:rsidRPr="00940139">
            <w:rPr>
              <w:rFonts w:ascii="Segoe UI Symbol" w:hAnsi="Segoe UI Symbol" w:cs="Segoe UI Symbol"/>
              <w:szCs w:val="20"/>
            </w:rPr>
            <w:t>☐</w:t>
          </w:r>
        </w:sdtContent>
      </w:sdt>
      <w:r w:rsidR="005C00BA" w:rsidRPr="00940139">
        <w:rPr>
          <w:rFonts w:cstheme="minorHAnsi"/>
          <w:szCs w:val="20"/>
        </w:rPr>
        <w:t xml:space="preserve"> Other, please specify: ____________________________________________</w:t>
      </w:r>
    </w:p>
    <w:p w14:paraId="3203A12A" w14:textId="77777777" w:rsidR="005C00BA" w:rsidRPr="00940139" w:rsidRDefault="005C00BA" w:rsidP="002E2B9F">
      <w:pPr>
        <w:spacing w:before="120" w:after="120"/>
        <w:rPr>
          <w:rFonts w:asciiTheme="majorHAnsi" w:eastAsia="Times New Roman" w:hAnsiTheme="majorHAnsi" w:cstheme="minorHAnsi"/>
          <w:b/>
          <w:bCs/>
        </w:rPr>
      </w:pPr>
    </w:p>
    <w:p w14:paraId="504A9402" w14:textId="77777777" w:rsidR="005C00BA" w:rsidRPr="00940139" w:rsidRDefault="005C00BA" w:rsidP="002E2B9F">
      <w:pPr>
        <w:keepNext/>
        <w:spacing w:before="120" w:after="120"/>
        <w:outlineLvl w:val="3"/>
        <w:rPr>
          <w:rFonts w:asciiTheme="majorHAnsi" w:hAnsiTheme="majorHAnsi" w:cstheme="minorHAnsi"/>
          <w:b/>
          <w:spacing w:val="20"/>
        </w:rPr>
      </w:pPr>
      <w:r w:rsidRPr="00940139">
        <w:rPr>
          <w:rFonts w:asciiTheme="majorHAnsi" w:hAnsiTheme="majorHAnsi" w:cstheme="minorHAnsi"/>
          <w:b/>
          <w:spacing w:val="20"/>
        </w:rPr>
        <w:t xml:space="preserve">2. Relevance and Coherence </w:t>
      </w:r>
    </w:p>
    <w:p w14:paraId="581D0311" w14:textId="77777777" w:rsidR="005C00BA" w:rsidRPr="00940139" w:rsidRDefault="005C00BA" w:rsidP="002E2B9F">
      <w:pPr>
        <w:spacing w:before="120" w:after="120"/>
        <w:rPr>
          <w:rFonts w:asciiTheme="majorHAnsi" w:hAnsiTheme="majorHAnsi" w:cstheme="minorHAnsi"/>
          <w:b/>
          <w:bCs/>
        </w:rPr>
      </w:pPr>
      <w:r w:rsidRPr="00940139">
        <w:rPr>
          <w:rFonts w:asciiTheme="majorHAnsi" w:hAnsiTheme="majorHAnsi" w:cstheme="minorHAnsi"/>
          <w:b/>
          <w:bCs/>
        </w:rPr>
        <w:t>Please share your views on each of the following statements:</w:t>
      </w:r>
    </w:p>
    <w:tbl>
      <w:tblPr>
        <w:tblW w:w="0" w:type="auto"/>
        <w:tblLook w:val="0400" w:firstRow="0" w:lastRow="0" w:firstColumn="0" w:lastColumn="0" w:noHBand="0" w:noVBand="1"/>
      </w:tblPr>
      <w:tblGrid>
        <w:gridCol w:w="4523"/>
        <w:gridCol w:w="1292"/>
        <w:gridCol w:w="967"/>
        <w:gridCol w:w="1174"/>
        <w:gridCol w:w="707"/>
        <w:gridCol w:w="1015"/>
      </w:tblGrid>
      <w:tr w:rsidR="005C00BA" w:rsidRPr="00940139" w14:paraId="3FC4DFF0" w14:textId="77777777" w:rsidTr="00012BF8">
        <w:trPr>
          <w:tblHeader/>
        </w:trPr>
        <w:tc>
          <w:tcPr>
            <w:tcW w:w="0" w:type="auto"/>
            <w:tcBorders>
              <w:top w:val="single" w:sz="4" w:space="0" w:color="auto"/>
              <w:left w:val="single" w:sz="4" w:space="0" w:color="auto"/>
              <w:bottom w:val="single" w:sz="4" w:space="0" w:color="auto"/>
              <w:right w:val="single" w:sz="4" w:space="0" w:color="auto"/>
            </w:tcBorders>
            <w:vAlign w:val="center"/>
          </w:tcPr>
          <w:p w14:paraId="6C0B840E" w14:textId="77777777" w:rsidR="005C00BA" w:rsidRPr="00940139" w:rsidRDefault="005C00BA" w:rsidP="002E2B9F">
            <w:pPr>
              <w:pStyle w:val="Table"/>
              <w:spacing w:before="120" w:after="120" w:line="259" w:lineRule="auto"/>
              <w:rPr>
                <w:rFonts w:asciiTheme="majorHAnsi" w:eastAsiaTheme="minorEastAsia" w:hAnsiTheme="majorHAnsi" w:cstheme="minorHAnsi"/>
                <w:b/>
                <w:lang w:val="en-GB"/>
              </w:rPr>
            </w:pPr>
            <w:r w:rsidRPr="00940139">
              <w:rPr>
                <w:rFonts w:asciiTheme="majorHAnsi" w:hAnsiTheme="majorHAnsi" w:cstheme="minorHAnsi"/>
                <w:b/>
                <w:bCs/>
                <w:lang w:val="en-GB"/>
              </w:rPr>
              <w:t xml:space="preserve">2a. The UNCTAD training and/ or workshop: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607F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7DFC8AB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5C633FB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66910FC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6617F2A7"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No Opinion</w:t>
            </w:r>
          </w:p>
        </w:tc>
      </w:tr>
      <w:tr w:rsidR="005C00BA" w:rsidRPr="00940139" w14:paraId="44B6EF72"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7ECFC9E8"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2.1 Strengthened the capacity of my organisation in accounting and sustainability reporting</w:t>
            </w:r>
          </w:p>
        </w:tc>
        <w:sdt>
          <w:sdtPr>
            <w:rPr>
              <w:rFonts w:asciiTheme="majorHAnsi" w:eastAsiaTheme="minorEastAsia" w:hAnsiTheme="majorHAnsi" w:cstheme="minorHAnsi"/>
              <w:lang w:val="en-GB"/>
            </w:rPr>
            <w:id w:val="-205144668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481D3AE"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hAnsiTheme="majorHAnsi" w:cstheme="minorHAnsi"/>
            </w:rPr>
            <w:id w:val="121863107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3A25A36"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26888508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66B6C3D"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513347159"/>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6224107D"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96492327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C996B52"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r w:rsidR="005C00BA" w:rsidRPr="00940139" w14:paraId="009BE70B" w14:textId="77777777" w:rsidTr="00012BF8">
        <w:tc>
          <w:tcPr>
            <w:tcW w:w="0" w:type="auto"/>
            <w:tcBorders>
              <w:top w:val="single" w:sz="4" w:space="0" w:color="auto"/>
              <w:left w:val="single" w:sz="4" w:space="0" w:color="auto"/>
              <w:bottom w:val="single" w:sz="4" w:space="0" w:color="auto"/>
              <w:right w:val="single" w:sz="4" w:space="0" w:color="auto"/>
            </w:tcBorders>
          </w:tcPr>
          <w:p w14:paraId="390CCD45"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 xml:space="preserve">2.2 Complemented development financing initiatives by other development actors in the country </w:t>
            </w:r>
          </w:p>
        </w:tc>
        <w:sdt>
          <w:sdtPr>
            <w:rPr>
              <w:rFonts w:asciiTheme="majorHAnsi" w:hAnsiTheme="majorHAnsi" w:cstheme="minorHAnsi"/>
            </w:rPr>
            <w:id w:val="-1196538882"/>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B2B9646"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theme="minorHAnsi" w:hint="eastAsia"/>
                  </w:rPr>
                  <w:t>☐</w:t>
                </w:r>
              </w:p>
            </w:tc>
          </w:sdtContent>
        </w:sdt>
        <w:sdt>
          <w:sdtPr>
            <w:rPr>
              <w:rFonts w:asciiTheme="majorHAnsi" w:hAnsiTheme="majorHAnsi" w:cstheme="minorHAnsi"/>
            </w:rPr>
            <w:id w:val="-138355139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1230DCD7"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56099414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7794DCAC"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72797845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4E2B802"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508644799"/>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8B9F294"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r w:rsidR="005C00BA" w:rsidRPr="00940139" w14:paraId="4F357511"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77FB4B36"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2.3 Addressed the needs and challenges of my organisation in the area of development financing</w:t>
            </w:r>
          </w:p>
        </w:tc>
        <w:sdt>
          <w:sdtPr>
            <w:rPr>
              <w:rFonts w:asciiTheme="majorHAnsi" w:eastAsiaTheme="minorEastAsia" w:hAnsiTheme="majorHAnsi" w:cstheme="minorHAnsi"/>
              <w:lang w:val="en-GB"/>
            </w:rPr>
            <w:id w:val="140456770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E815BF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hAnsiTheme="majorHAnsi" w:cstheme="minorHAnsi"/>
            </w:rPr>
            <w:id w:val="-1351105002"/>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3B2EA94"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77092618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1DDF85F"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41189912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B8E2EB9"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49039317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8A363B9"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r w:rsidR="005C00BA" w:rsidRPr="00940139" w14:paraId="26125BAF"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50D8E43E"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2.4 Duplicated other interventions on development financing in the country</w:t>
            </w:r>
          </w:p>
        </w:tc>
        <w:sdt>
          <w:sdtPr>
            <w:rPr>
              <w:rFonts w:asciiTheme="majorHAnsi" w:eastAsiaTheme="minorEastAsia" w:hAnsiTheme="majorHAnsi" w:cstheme="minorHAnsi"/>
              <w:lang w:val="en-GB"/>
            </w:rPr>
            <w:id w:val="-160502495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BB8FAE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hAnsiTheme="majorHAnsi" w:cstheme="minorHAnsi"/>
            </w:rPr>
            <w:id w:val="-105624497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27E950F"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33530665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D29472C"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46338226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339C6463"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57895710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11C3F81E"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bl>
    <w:p w14:paraId="295418AD" w14:textId="77777777" w:rsidR="005C00BA" w:rsidRPr="00940139" w:rsidRDefault="005C00BA" w:rsidP="002E2B9F">
      <w:pPr>
        <w:spacing w:before="120" w:after="120"/>
        <w:rPr>
          <w:rFonts w:asciiTheme="majorHAnsi" w:eastAsia="Times New Roman" w:hAnsiTheme="majorHAnsi" w:cstheme="minorHAnsi"/>
          <w:b/>
          <w:bCs/>
        </w:rPr>
      </w:pPr>
    </w:p>
    <w:p w14:paraId="1A435EFF"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2.5. Additional comments?</w:t>
      </w:r>
      <w:r w:rsidRPr="00940139">
        <w:rPr>
          <w:rFonts w:asciiTheme="majorHAnsi" w:hAnsiTheme="majorHAnsi"/>
          <w:b/>
          <w:i/>
          <w:iCs/>
        </w:rPr>
        <w:t xml:space="preserve"> </w:t>
      </w:r>
    </w:p>
    <w:p w14:paraId="25A00E51" w14:textId="77777777" w:rsidR="005C00BA" w:rsidRPr="00940139" w:rsidRDefault="005C00BA" w:rsidP="002E2B9F">
      <w:pPr>
        <w:spacing w:before="120" w:after="120"/>
        <w:rPr>
          <w:rFonts w:asciiTheme="majorHAnsi" w:hAnsiTheme="majorHAnsi" w:cstheme="minorHAnsi"/>
        </w:rPr>
      </w:pPr>
      <w:r w:rsidRPr="00940139">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w:t>
      </w:r>
    </w:p>
    <w:p w14:paraId="0851FD51" w14:textId="77777777" w:rsidR="005C00BA" w:rsidRDefault="005C00BA" w:rsidP="002E2B9F">
      <w:pPr>
        <w:spacing w:before="120" w:after="120"/>
        <w:rPr>
          <w:rFonts w:asciiTheme="majorHAnsi" w:hAnsiTheme="majorHAnsi" w:cstheme="minorHAnsi"/>
        </w:rPr>
      </w:pPr>
    </w:p>
    <w:p w14:paraId="79796910" w14:textId="41C0888B" w:rsidR="00ED7801" w:rsidRDefault="00ED7801">
      <w:pPr>
        <w:rPr>
          <w:rFonts w:asciiTheme="majorHAnsi" w:hAnsiTheme="majorHAnsi" w:cstheme="minorHAnsi"/>
        </w:rPr>
      </w:pPr>
      <w:r>
        <w:rPr>
          <w:rFonts w:asciiTheme="majorHAnsi" w:hAnsiTheme="majorHAnsi" w:cstheme="minorHAnsi"/>
        </w:rPr>
        <w:br w:type="page"/>
      </w:r>
    </w:p>
    <w:p w14:paraId="12430E8C" w14:textId="77777777" w:rsidR="00ED7801" w:rsidRPr="00940139" w:rsidRDefault="00ED7801" w:rsidP="002E2B9F">
      <w:pPr>
        <w:spacing w:before="120" w:after="120"/>
        <w:rPr>
          <w:rFonts w:asciiTheme="majorHAnsi" w:hAnsiTheme="majorHAnsi" w:cstheme="minorHAnsi"/>
        </w:rPr>
      </w:pPr>
    </w:p>
    <w:p w14:paraId="4C6FAF44"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3. Effectiveness</w:t>
      </w:r>
    </w:p>
    <w:p w14:paraId="73A3AF4C" w14:textId="77777777" w:rsidR="005C00BA" w:rsidRPr="00940139" w:rsidRDefault="005C00BA" w:rsidP="002E2B9F">
      <w:pPr>
        <w:pStyle w:val="Reporttext"/>
        <w:spacing w:after="120" w:line="259" w:lineRule="auto"/>
        <w:rPr>
          <w:rFonts w:asciiTheme="majorHAnsi" w:hAnsiTheme="majorHAnsi" w:cstheme="minorHAnsi"/>
          <w:b/>
          <w:bCs/>
          <w:sz w:val="20"/>
          <w:lang w:val="en-GB"/>
        </w:rPr>
      </w:pPr>
      <w:r w:rsidRPr="00940139">
        <w:rPr>
          <w:rFonts w:asciiTheme="majorHAnsi" w:hAnsiTheme="majorHAnsi" w:cstheme="minorHAnsi"/>
          <w:b/>
          <w:bCs/>
          <w:sz w:val="20"/>
          <w:lang w:val="en-GB"/>
        </w:rPr>
        <w:t xml:space="preserve">Please select the answer that best reflects your views on each statement: </w:t>
      </w:r>
    </w:p>
    <w:tbl>
      <w:tblPr>
        <w:tblW w:w="0" w:type="auto"/>
        <w:tblLook w:val="0400" w:firstRow="0" w:lastRow="0" w:firstColumn="0" w:lastColumn="0" w:noHBand="0" w:noVBand="1"/>
      </w:tblPr>
      <w:tblGrid>
        <w:gridCol w:w="4628"/>
        <w:gridCol w:w="1242"/>
        <w:gridCol w:w="967"/>
        <w:gridCol w:w="1138"/>
        <w:gridCol w:w="707"/>
        <w:gridCol w:w="996"/>
      </w:tblGrid>
      <w:tr w:rsidR="005C00BA" w:rsidRPr="00940139" w14:paraId="22635891" w14:textId="77777777" w:rsidTr="00012BF8">
        <w:trPr>
          <w:tblHeader/>
        </w:trPr>
        <w:tc>
          <w:tcPr>
            <w:tcW w:w="0" w:type="auto"/>
            <w:tcBorders>
              <w:top w:val="single" w:sz="4" w:space="0" w:color="auto"/>
              <w:left w:val="single" w:sz="4" w:space="0" w:color="auto"/>
              <w:bottom w:val="single" w:sz="4" w:space="0" w:color="auto"/>
              <w:right w:val="single" w:sz="4" w:space="0" w:color="auto"/>
            </w:tcBorders>
            <w:vAlign w:val="center"/>
          </w:tcPr>
          <w:p w14:paraId="6988F084" w14:textId="77777777" w:rsidR="005C00BA" w:rsidRPr="00940139" w:rsidRDefault="005C00BA" w:rsidP="002E2B9F">
            <w:pPr>
              <w:pStyle w:val="Table"/>
              <w:spacing w:before="120" w:after="120" w:line="259" w:lineRule="auto"/>
              <w:rPr>
                <w:rFonts w:asciiTheme="majorHAnsi" w:eastAsiaTheme="minorEastAsia" w:hAnsiTheme="majorHAnsi" w:cstheme="minorHAnsi"/>
                <w:b/>
                <w:lang w:val="en-GB"/>
              </w:rPr>
            </w:pPr>
            <w:r w:rsidRPr="00940139">
              <w:rPr>
                <w:rFonts w:asciiTheme="majorHAnsi" w:eastAsiaTheme="minorEastAsia" w:hAnsiTheme="majorHAnsi" w:cstheme="minorHAnsi"/>
                <w:b/>
                <w:lang w:val="en-GB"/>
              </w:rPr>
              <w:t>3a. The content of the training and/ or workshop:</w:t>
            </w:r>
          </w:p>
        </w:tc>
        <w:tc>
          <w:tcPr>
            <w:tcW w:w="0" w:type="auto"/>
            <w:tcBorders>
              <w:top w:val="single" w:sz="4" w:space="0" w:color="auto"/>
              <w:left w:val="single" w:sz="4" w:space="0" w:color="auto"/>
              <w:bottom w:val="single" w:sz="4" w:space="0" w:color="auto"/>
              <w:right w:val="single" w:sz="4" w:space="0" w:color="auto"/>
            </w:tcBorders>
            <w:vAlign w:val="center"/>
            <w:hideMark/>
          </w:tcPr>
          <w:p w14:paraId="457FE62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56AE073E"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8A685"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7CF923B7"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7CDC16CB"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No Opinion</w:t>
            </w:r>
          </w:p>
        </w:tc>
      </w:tr>
      <w:tr w:rsidR="005C00BA" w:rsidRPr="00940139" w14:paraId="3329E556"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58497F07"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3.1 Aligned with national development plans</w:t>
            </w:r>
          </w:p>
        </w:tc>
        <w:sdt>
          <w:sdtPr>
            <w:rPr>
              <w:rFonts w:asciiTheme="majorHAnsi" w:eastAsiaTheme="minorEastAsia" w:hAnsiTheme="majorHAnsi" w:cstheme="minorHAnsi"/>
              <w:lang w:val="en-GB"/>
            </w:rPr>
            <w:id w:val="74407544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169B0CE8"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theme="minorHAnsi" w:hint="eastAsia"/>
                    <w:lang w:val="en-GB"/>
                  </w:rPr>
                  <w:t>☐</w:t>
                </w:r>
              </w:p>
            </w:tc>
          </w:sdtContent>
        </w:sdt>
        <w:sdt>
          <w:sdtPr>
            <w:rPr>
              <w:rFonts w:asciiTheme="majorHAnsi" w:eastAsiaTheme="minorEastAsia" w:hAnsiTheme="majorHAnsi" w:cstheme="minorHAnsi"/>
              <w:lang w:val="en-GB"/>
            </w:rPr>
            <w:id w:val="122163689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54AE032"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81051792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487B5AE"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77806241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551B40B"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21662798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A74F00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r w:rsidR="005C00BA" w:rsidRPr="00940139" w14:paraId="7456EF0E" w14:textId="77777777" w:rsidTr="00012BF8">
        <w:tc>
          <w:tcPr>
            <w:tcW w:w="0" w:type="auto"/>
            <w:tcBorders>
              <w:top w:val="single" w:sz="4" w:space="0" w:color="auto"/>
              <w:left w:val="single" w:sz="4" w:space="0" w:color="auto"/>
              <w:bottom w:val="single" w:sz="4" w:space="0" w:color="auto"/>
              <w:right w:val="single" w:sz="4" w:space="0" w:color="auto"/>
            </w:tcBorders>
          </w:tcPr>
          <w:p w14:paraId="694FDA13"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3.2 Contributed to strengthened capacity at the country level to mitigate the impact of COVID-19</w:t>
            </w:r>
          </w:p>
        </w:tc>
        <w:sdt>
          <w:sdtPr>
            <w:rPr>
              <w:rFonts w:asciiTheme="majorHAnsi" w:eastAsiaTheme="minorEastAsia" w:hAnsiTheme="majorHAnsi" w:cstheme="minorHAnsi"/>
              <w:lang w:val="en-GB"/>
            </w:rPr>
            <w:id w:val="123867039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76DEFD5"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30569802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0F968B8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51360379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1D74A3E0"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67530989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1EBF8153"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99336709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3D1026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r w:rsidR="005C00BA" w:rsidRPr="00940139" w14:paraId="444FDE04" w14:textId="77777777" w:rsidTr="00012BF8">
        <w:trPr>
          <w:cantSplit/>
        </w:trPr>
        <w:tc>
          <w:tcPr>
            <w:tcW w:w="0" w:type="auto"/>
            <w:tcBorders>
              <w:top w:val="single" w:sz="4" w:space="0" w:color="auto"/>
              <w:left w:val="single" w:sz="4" w:space="0" w:color="auto"/>
              <w:bottom w:val="single" w:sz="4" w:space="0" w:color="auto"/>
              <w:right w:val="single" w:sz="4" w:space="0" w:color="auto"/>
            </w:tcBorders>
          </w:tcPr>
          <w:p w14:paraId="461DD5A9" w14:textId="64083573"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 xml:space="preserve">3.3 Increased </w:t>
            </w:r>
            <w:r w:rsidR="006321A6">
              <w:rPr>
                <w:rFonts w:asciiTheme="majorHAnsi" w:eastAsiaTheme="minorEastAsia" w:hAnsiTheme="majorHAnsi" w:cstheme="minorHAnsi"/>
                <w:lang w:val="en-GB"/>
              </w:rPr>
              <w:t>knowledge-exchange</w:t>
            </w:r>
            <w:r w:rsidRPr="00940139">
              <w:rPr>
                <w:rFonts w:asciiTheme="majorHAnsi" w:eastAsiaTheme="minorEastAsia" w:hAnsiTheme="majorHAnsi" w:cstheme="minorHAnsi"/>
                <w:lang w:val="en-GB"/>
              </w:rPr>
              <w:t xml:space="preserve"> and learning in the country on the application of development financing concepts</w:t>
            </w:r>
          </w:p>
        </w:tc>
        <w:sdt>
          <w:sdtPr>
            <w:rPr>
              <w:rFonts w:asciiTheme="majorHAnsi" w:eastAsiaTheme="minorEastAsia" w:hAnsiTheme="majorHAnsi" w:cstheme="minorHAnsi"/>
              <w:lang w:val="en-GB"/>
            </w:rPr>
            <w:id w:val="23629390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019A8BB1"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theme="minorHAnsi" w:hint="eastAsia"/>
                    <w:lang w:val="en-GB"/>
                  </w:rPr>
                  <w:t>☐</w:t>
                </w:r>
              </w:p>
            </w:tc>
          </w:sdtContent>
        </w:sdt>
        <w:sdt>
          <w:sdtPr>
            <w:rPr>
              <w:rFonts w:asciiTheme="majorHAnsi" w:eastAsiaTheme="minorEastAsia" w:hAnsiTheme="majorHAnsi" w:cstheme="minorHAnsi"/>
              <w:lang w:val="en-GB"/>
            </w:rPr>
            <w:id w:val="72718324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0EDA9DE"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34421621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89A75B3"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55219392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8A24761"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71052867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4499333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bl>
    <w:p w14:paraId="47050908" w14:textId="77777777" w:rsidR="005C00BA" w:rsidRPr="00940139" w:rsidRDefault="005C00BA" w:rsidP="002E2B9F">
      <w:pPr>
        <w:pStyle w:val="Reporttext"/>
        <w:spacing w:after="120" w:line="259" w:lineRule="auto"/>
        <w:rPr>
          <w:rFonts w:asciiTheme="majorHAnsi" w:eastAsiaTheme="minorEastAsia" w:hAnsiTheme="majorHAnsi"/>
          <w:sz w:val="20"/>
          <w:lang w:val="en-GB" w:eastAsia="zh-CN"/>
        </w:rPr>
      </w:pPr>
    </w:p>
    <w:p w14:paraId="27385FFC"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3.4. Additional comments?</w:t>
      </w:r>
      <w:r w:rsidRPr="00940139">
        <w:rPr>
          <w:rFonts w:asciiTheme="majorHAnsi" w:hAnsiTheme="majorHAnsi"/>
          <w:b/>
          <w:i/>
          <w:iCs/>
        </w:rPr>
        <w:t xml:space="preserve"> </w:t>
      </w:r>
    </w:p>
    <w:p w14:paraId="38C7057D" w14:textId="601843C1" w:rsidR="005C00BA" w:rsidRPr="00940139" w:rsidRDefault="005C00BA" w:rsidP="002E2B9F">
      <w:pPr>
        <w:spacing w:before="120" w:after="120"/>
        <w:rPr>
          <w:rFonts w:asciiTheme="majorHAnsi" w:hAnsiTheme="majorHAnsi" w:cstheme="minorHAnsi"/>
        </w:rPr>
      </w:pPr>
      <w:r w:rsidRPr="00940139">
        <w:rPr>
          <w:rFonts w:asciiTheme="majorHAnsi" w:hAnsiTheme="majorHAnsi" w:cstheme="minorHAnsi"/>
        </w:rPr>
        <w:t>_________________________________________________________________________________________________________</w:t>
      </w:r>
    </w:p>
    <w:p w14:paraId="462A5611" w14:textId="5E3987B6" w:rsidR="005C00BA" w:rsidRPr="00940139" w:rsidRDefault="003540F7" w:rsidP="002E2B9F">
      <w:pPr>
        <w:spacing w:before="120" w:after="120"/>
        <w:rPr>
          <w:rFonts w:asciiTheme="majorHAnsi" w:hAnsiTheme="majorHAnsi" w:cstheme="minorHAnsi"/>
        </w:rPr>
      </w:pPr>
      <w:r w:rsidRPr="00940139">
        <w:rPr>
          <w:rFonts w:asciiTheme="majorHAnsi" w:hAnsiTheme="majorHAnsi" w:cstheme="minorHAnsi"/>
        </w:rPr>
        <w:t>_________________________________________________________________________________________________________</w:t>
      </w:r>
    </w:p>
    <w:p w14:paraId="63AC3B79" w14:textId="1DEC3FDF" w:rsidR="00156D43" w:rsidRDefault="00156D43">
      <w:pPr>
        <w:rPr>
          <w:rFonts w:asciiTheme="majorHAnsi" w:hAnsiTheme="majorHAnsi"/>
          <w:b/>
        </w:rPr>
      </w:pPr>
    </w:p>
    <w:p w14:paraId="613492DB" w14:textId="577FFA25" w:rsidR="005C00BA" w:rsidRPr="00940139" w:rsidRDefault="005C00BA" w:rsidP="002E2B9F">
      <w:pPr>
        <w:spacing w:before="120" w:after="120"/>
        <w:rPr>
          <w:rFonts w:asciiTheme="majorHAnsi" w:hAnsiTheme="majorHAnsi"/>
          <w:b/>
        </w:rPr>
      </w:pPr>
      <w:r w:rsidRPr="00940139">
        <w:rPr>
          <w:rFonts w:asciiTheme="majorHAnsi" w:hAnsiTheme="majorHAnsi"/>
          <w:b/>
        </w:rPr>
        <w:t xml:space="preserve">4. Efficiency </w:t>
      </w:r>
    </w:p>
    <w:p w14:paraId="38F2BCBE" w14:textId="77777777" w:rsidR="005C00BA" w:rsidRPr="00940139" w:rsidRDefault="005C00BA" w:rsidP="002E2B9F">
      <w:pPr>
        <w:pStyle w:val="Question"/>
        <w:numPr>
          <w:ilvl w:val="0"/>
          <w:numId w:val="0"/>
        </w:numPr>
        <w:spacing w:before="120" w:line="259" w:lineRule="auto"/>
        <w:ind w:left="720" w:hanging="720"/>
        <w:contextualSpacing w:val="0"/>
        <w:rPr>
          <w:rFonts w:asciiTheme="majorHAnsi" w:hAnsiTheme="majorHAnsi" w:cstheme="minorHAnsi"/>
          <w:b/>
          <w:bCs/>
          <w:sz w:val="20"/>
          <w:szCs w:val="20"/>
          <w:lang w:val="en-GB"/>
        </w:rPr>
      </w:pPr>
      <w:r w:rsidRPr="00940139">
        <w:rPr>
          <w:rFonts w:asciiTheme="majorHAnsi" w:hAnsiTheme="majorHAnsi" w:cstheme="minorHAnsi"/>
          <w:b/>
          <w:bCs/>
          <w:sz w:val="20"/>
          <w:szCs w:val="20"/>
          <w:lang w:val="en-GB"/>
        </w:rPr>
        <w:t>Please select the answer that best reflects your views on each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3421"/>
        <w:gridCol w:w="1390"/>
        <w:gridCol w:w="967"/>
        <w:gridCol w:w="1454"/>
        <w:gridCol w:w="707"/>
        <w:gridCol w:w="1165"/>
      </w:tblGrid>
      <w:tr w:rsidR="005C00BA" w:rsidRPr="00940139" w14:paraId="30D3BB3D" w14:textId="77777777" w:rsidTr="00012BF8">
        <w:trPr>
          <w:tblHeader/>
        </w:trPr>
        <w:tc>
          <w:tcPr>
            <w:tcW w:w="3421" w:type="dxa"/>
            <w:tcBorders>
              <w:top w:val="single" w:sz="4" w:space="0" w:color="auto"/>
              <w:left w:val="single" w:sz="4" w:space="0" w:color="auto"/>
            </w:tcBorders>
            <w:vAlign w:val="center"/>
          </w:tcPr>
          <w:p w14:paraId="533F8F0D" w14:textId="77777777" w:rsidR="005C00BA" w:rsidRPr="00940139" w:rsidRDefault="005C00BA" w:rsidP="002E2B9F">
            <w:pPr>
              <w:pStyle w:val="Table"/>
              <w:spacing w:before="120" w:after="120" w:line="259" w:lineRule="auto"/>
              <w:rPr>
                <w:rFonts w:asciiTheme="majorHAnsi" w:eastAsiaTheme="minorEastAsia" w:hAnsiTheme="majorHAnsi" w:cstheme="minorHAnsi"/>
                <w:b/>
                <w:lang w:val="en-GB"/>
              </w:rPr>
            </w:pPr>
            <w:r w:rsidRPr="00940139">
              <w:rPr>
                <w:rFonts w:asciiTheme="majorHAnsi" w:eastAsiaTheme="minorEastAsia" w:hAnsiTheme="majorHAnsi" w:cstheme="minorHAnsi"/>
                <w:b/>
                <w:lang w:val="en-GB"/>
              </w:rPr>
              <w:t>4a. The training and/ or workshop provided:</w:t>
            </w:r>
          </w:p>
        </w:tc>
        <w:tc>
          <w:tcPr>
            <w:tcW w:w="1390" w:type="dxa"/>
            <w:vAlign w:val="center"/>
            <w:hideMark/>
          </w:tcPr>
          <w:p w14:paraId="485FD13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disagree</w:t>
            </w:r>
          </w:p>
        </w:tc>
        <w:tc>
          <w:tcPr>
            <w:tcW w:w="0" w:type="auto"/>
            <w:vAlign w:val="center"/>
            <w:hideMark/>
          </w:tcPr>
          <w:p w14:paraId="1EEB2A77"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Disagree</w:t>
            </w:r>
          </w:p>
        </w:tc>
        <w:tc>
          <w:tcPr>
            <w:tcW w:w="0" w:type="auto"/>
            <w:vAlign w:val="center"/>
            <w:hideMark/>
          </w:tcPr>
          <w:p w14:paraId="3EC8E322"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Agree</w:t>
            </w:r>
          </w:p>
        </w:tc>
        <w:tc>
          <w:tcPr>
            <w:tcW w:w="0" w:type="auto"/>
            <w:vAlign w:val="center"/>
            <w:hideMark/>
          </w:tcPr>
          <w:p w14:paraId="3BBE6944"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Agree</w:t>
            </w:r>
          </w:p>
        </w:tc>
        <w:tc>
          <w:tcPr>
            <w:tcW w:w="0" w:type="auto"/>
            <w:vAlign w:val="center"/>
            <w:hideMark/>
          </w:tcPr>
          <w:p w14:paraId="12D92E5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No Opinion</w:t>
            </w:r>
          </w:p>
        </w:tc>
      </w:tr>
      <w:tr w:rsidR="005C00BA" w:rsidRPr="00940139" w14:paraId="5F439613" w14:textId="77777777" w:rsidTr="00012BF8">
        <w:trPr>
          <w:cantSplit/>
        </w:trPr>
        <w:tc>
          <w:tcPr>
            <w:tcW w:w="3421" w:type="dxa"/>
          </w:tcPr>
          <w:p w14:paraId="45C2E1C3"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 xml:space="preserve">4.1 Timely support to my organisation on development financing </w:t>
            </w:r>
          </w:p>
        </w:tc>
        <w:sdt>
          <w:sdtPr>
            <w:rPr>
              <w:rFonts w:asciiTheme="majorHAnsi" w:hAnsiTheme="majorHAnsi" w:cstheme="minorHAnsi"/>
            </w:rPr>
            <w:id w:val="1265583311"/>
            <w14:checkbox>
              <w14:checked w14:val="0"/>
              <w14:checkedState w14:val="2612" w14:font="MS Gothic"/>
              <w14:uncheckedState w14:val="2610" w14:font="MS Gothic"/>
            </w14:checkbox>
          </w:sdtPr>
          <w:sdtContent>
            <w:tc>
              <w:tcPr>
                <w:tcW w:w="1390" w:type="dxa"/>
                <w:vAlign w:val="center"/>
              </w:tcPr>
              <w:p w14:paraId="605BBE12"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441039929"/>
            <w14:checkbox>
              <w14:checked w14:val="0"/>
              <w14:checkedState w14:val="2612" w14:font="MS Gothic"/>
              <w14:uncheckedState w14:val="2610" w14:font="MS Gothic"/>
            </w14:checkbox>
          </w:sdtPr>
          <w:sdtContent>
            <w:tc>
              <w:tcPr>
                <w:tcW w:w="0" w:type="auto"/>
                <w:vAlign w:val="center"/>
              </w:tcPr>
              <w:p w14:paraId="3A979646"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033155976"/>
            <w14:checkbox>
              <w14:checked w14:val="0"/>
              <w14:checkedState w14:val="2612" w14:font="MS Gothic"/>
              <w14:uncheckedState w14:val="2610" w14:font="MS Gothic"/>
            </w14:checkbox>
          </w:sdtPr>
          <w:sdtContent>
            <w:tc>
              <w:tcPr>
                <w:tcW w:w="0" w:type="auto"/>
                <w:vAlign w:val="center"/>
              </w:tcPr>
              <w:p w14:paraId="646CDE2F"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944751371"/>
            <w14:checkbox>
              <w14:checked w14:val="0"/>
              <w14:checkedState w14:val="2612" w14:font="MS Gothic"/>
              <w14:uncheckedState w14:val="2610" w14:font="MS Gothic"/>
            </w14:checkbox>
          </w:sdtPr>
          <w:sdtContent>
            <w:tc>
              <w:tcPr>
                <w:tcW w:w="0" w:type="auto"/>
                <w:vAlign w:val="center"/>
              </w:tcPr>
              <w:p w14:paraId="3F949A59"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940723209"/>
            <w14:checkbox>
              <w14:checked w14:val="0"/>
              <w14:checkedState w14:val="2612" w14:font="MS Gothic"/>
              <w14:uncheckedState w14:val="2610" w14:font="MS Gothic"/>
            </w14:checkbox>
          </w:sdtPr>
          <w:sdtContent>
            <w:tc>
              <w:tcPr>
                <w:tcW w:w="0" w:type="auto"/>
                <w:vAlign w:val="center"/>
              </w:tcPr>
              <w:p w14:paraId="42F22A0A"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r w:rsidR="005C00BA" w:rsidRPr="00940139" w14:paraId="088DA2DF" w14:textId="77777777" w:rsidTr="00012BF8">
        <w:trPr>
          <w:cantSplit/>
        </w:trPr>
        <w:tc>
          <w:tcPr>
            <w:tcW w:w="3421" w:type="dxa"/>
          </w:tcPr>
          <w:p w14:paraId="3EE14BF1"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 xml:space="preserve">4.2 Value for money </w:t>
            </w:r>
          </w:p>
        </w:tc>
        <w:sdt>
          <w:sdtPr>
            <w:rPr>
              <w:rFonts w:asciiTheme="majorHAnsi" w:hAnsiTheme="majorHAnsi" w:cstheme="minorHAnsi"/>
            </w:rPr>
            <w:id w:val="1339730208"/>
            <w14:checkbox>
              <w14:checked w14:val="0"/>
              <w14:checkedState w14:val="2612" w14:font="MS Gothic"/>
              <w14:uncheckedState w14:val="2610" w14:font="MS Gothic"/>
            </w14:checkbox>
          </w:sdtPr>
          <w:sdtContent>
            <w:tc>
              <w:tcPr>
                <w:tcW w:w="1390" w:type="dxa"/>
                <w:vAlign w:val="center"/>
              </w:tcPr>
              <w:p w14:paraId="642B2BC0"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2071495365"/>
            <w14:checkbox>
              <w14:checked w14:val="0"/>
              <w14:checkedState w14:val="2612" w14:font="MS Gothic"/>
              <w14:uncheckedState w14:val="2610" w14:font="MS Gothic"/>
            </w14:checkbox>
          </w:sdtPr>
          <w:sdtContent>
            <w:tc>
              <w:tcPr>
                <w:tcW w:w="0" w:type="auto"/>
                <w:vAlign w:val="center"/>
              </w:tcPr>
              <w:p w14:paraId="673A3E5D"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969194027"/>
            <w14:checkbox>
              <w14:checked w14:val="0"/>
              <w14:checkedState w14:val="2612" w14:font="MS Gothic"/>
              <w14:uncheckedState w14:val="2610" w14:font="MS Gothic"/>
            </w14:checkbox>
          </w:sdtPr>
          <w:sdtContent>
            <w:tc>
              <w:tcPr>
                <w:tcW w:w="0" w:type="auto"/>
                <w:vAlign w:val="center"/>
              </w:tcPr>
              <w:p w14:paraId="407758EA"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15146830"/>
            <w14:checkbox>
              <w14:checked w14:val="0"/>
              <w14:checkedState w14:val="2612" w14:font="MS Gothic"/>
              <w14:uncheckedState w14:val="2610" w14:font="MS Gothic"/>
            </w14:checkbox>
          </w:sdtPr>
          <w:sdtContent>
            <w:tc>
              <w:tcPr>
                <w:tcW w:w="0" w:type="auto"/>
                <w:vAlign w:val="center"/>
              </w:tcPr>
              <w:p w14:paraId="3D9AEEC3"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sdt>
          <w:sdtPr>
            <w:rPr>
              <w:rFonts w:asciiTheme="majorHAnsi" w:hAnsiTheme="majorHAnsi" w:cstheme="minorHAnsi"/>
            </w:rPr>
            <w:id w:val="-1354411416"/>
            <w14:checkbox>
              <w14:checked w14:val="0"/>
              <w14:checkedState w14:val="2612" w14:font="MS Gothic"/>
              <w14:uncheckedState w14:val="2610" w14:font="MS Gothic"/>
            </w14:checkbox>
          </w:sdtPr>
          <w:sdtContent>
            <w:tc>
              <w:tcPr>
                <w:tcW w:w="0" w:type="auto"/>
                <w:vAlign w:val="center"/>
              </w:tcPr>
              <w:p w14:paraId="7BC67BF0" w14:textId="77777777" w:rsidR="005C00BA" w:rsidRPr="00940139" w:rsidRDefault="005C00BA" w:rsidP="002E2B9F">
                <w:pPr>
                  <w:spacing w:before="120" w:after="120"/>
                  <w:jc w:val="center"/>
                  <w:rPr>
                    <w:rFonts w:asciiTheme="majorHAnsi" w:hAnsiTheme="majorHAnsi" w:cstheme="minorHAnsi"/>
                  </w:rPr>
                </w:pPr>
                <w:r w:rsidRPr="00940139">
                  <w:rPr>
                    <w:rFonts w:ascii="MS Gothic" w:eastAsia="MS Gothic" w:hAnsi="MS Gothic" w:cs="MS Gothic" w:hint="eastAsia"/>
                  </w:rPr>
                  <w:t>☐</w:t>
                </w:r>
              </w:p>
            </w:tc>
          </w:sdtContent>
        </w:sdt>
      </w:tr>
    </w:tbl>
    <w:p w14:paraId="3CAE0214" w14:textId="77777777" w:rsidR="005C00BA" w:rsidRPr="00940139" w:rsidRDefault="005C00BA" w:rsidP="002E2B9F">
      <w:pPr>
        <w:spacing w:before="120" w:after="120"/>
        <w:rPr>
          <w:rFonts w:asciiTheme="majorHAnsi" w:hAnsiTheme="majorHAnsi"/>
          <w:b/>
        </w:rPr>
      </w:pPr>
    </w:p>
    <w:p w14:paraId="7A929486"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4.3. Additional comments?</w:t>
      </w:r>
      <w:r w:rsidRPr="00940139">
        <w:rPr>
          <w:rFonts w:asciiTheme="majorHAnsi" w:hAnsiTheme="majorHAnsi"/>
          <w:b/>
          <w:i/>
          <w:iCs/>
        </w:rPr>
        <w:t xml:space="preserve"> </w:t>
      </w:r>
    </w:p>
    <w:p w14:paraId="6AF252BA" w14:textId="170627DB" w:rsidR="0001297D" w:rsidRDefault="005C00BA" w:rsidP="002E2B9F">
      <w:pPr>
        <w:spacing w:before="120" w:after="120"/>
        <w:rPr>
          <w:rFonts w:asciiTheme="majorHAnsi" w:eastAsia="Times New Roman" w:hAnsiTheme="majorHAnsi" w:cs="Times New Roman"/>
          <w:b/>
          <w:lang w:eastAsia="en-US"/>
        </w:rPr>
      </w:pPr>
      <w:r w:rsidRPr="00940139">
        <w:rPr>
          <w:rFonts w:asciiTheme="majorHAnsi" w:hAnsiTheme="majorHAnsi" w:cstheme="minorHAnsi"/>
        </w:rPr>
        <w:t>_________________________________________________________________________________________________________</w:t>
      </w:r>
      <w:r w:rsidR="003540F7" w:rsidRPr="00940139">
        <w:rPr>
          <w:rFonts w:asciiTheme="majorHAnsi" w:hAnsiTheme="majorHAnsi" w:cstheme="minorHAnsi"/>
        </w:rPr>
        <w:t>_________________________________________________________________________________________________________</w:t>
      </w:r>
    </w:p>
    <w:p w14:paraId="7FE506D9" w14:textId="5B76784F" w:rsidR="005C00BA" w:rsidRPr="00940139" w:rsidRDefault="005C00BA" w:rsidP="002E2B9F">
      <w:pPr>
        <w:pStyle w:val="Reporttext"/>
        <w:spacing w:after="120" w:line="259" w:lineRule="auto"/>
        <w:rPr>
          <w:rFonts w:asciiTheme="majorHAnsi" w:hAnsiTheme="majorHAnsi"/>
          <w:b/>
          <w:sz w:val="20"/>
          <w:lang w:val="en-GB"/>
        </w:rPr>
      </w:pPr>
      <w:r w:rsidRPr="00940139">
        <w:rPr>
          <w:rFonts w:asciiTheme="majorHAnsi" w:hAnsiTheme="majorHAnsi"/>
          <w:b/>
          <w:sz w:val="20"/>
          <w:lang w:val="en-GB"/>
        </w:rPr>
        <w:t xml:space="preserve">4.4 What was the added value of the training or workshop in which you participated? </w:t>
      </w:r>
    </w:p>
    <w:p w14:paraId="35534080" w14:textId="0B354D1A" w:rsidR="005C00BA" w:rsidRPr="00940139" w:rsidRDefault="005C00BA" w:rsidP="003540F7">
      <w:pPr>
        <w:keepNext/>
        <w:spacing w:before="120" w:after="120"/>
        <w:outlineLvl w:val="3"/>
        <w:rPr>
          <w:rFonts w:asciiTheme="majorHAnsi" w:hAnsiTheme="majorHAnsi"/>
          <w:b/>
        </w:rPr>
      </w:pPr>
      <w:r w:rsidRPr="00940139">
        <w:rPr>
          <w:rFonts w:asciiTheme="majorHAnsi" w:eastAsia="MS Gothic" w:hAnsiTheme="majorHAnsi" w:cstheme="minorHAnsi"/>
        </w:rPr>
        <w:t>_________________________________________________________________________________________________________</w:t>
      </w:r>
      <w:r w:rsidR="003540F7" w:rsidRPr="00940139">
        <w:rPr>
          <w:rFonts w:asciiTheme="majorHAnsi" w:hAnsiTheme="majorHAnsi" w:cstheme="minorHAnsi"/>
        </w:rPr>
        <w:t>_________________________________________________________________________________________________________</w:t>
      </w:r>
    </w:p>
    <w:p w14:paraId="20A5770E" w14:textId="77777777" w:rsidR="003540F7" w:rsidRDefault="003540F7" w:rsidP="002E2B9F">
      <w:pPr>
        <w:spacing w:before="120" w:after="120"/>
        <w:rPr>
          <w:rFonts w:asciiTheme="majorHAnsi" w:hAnsiTheme="majorHAnsi"/>
          <w:b/>
        </w:rPr>
      </w:pPr>
    </w:p>
    <w:p w14:paraId="38674745" w14:textId="77777777" w:rsidR="003540F7" w:rsidRDefault="003540F7">
      <w:pPr>
        <w:rPr>
          <w:rFonts w:asciiTheme="majorHAnsi" w:hAnsiTheme="majorHAnsi"/>
          <w:b/>
        </w:rPr>
      </w:pPr>
      <w:r>
        <w:rPr>
          <w:rFonts w:asciiTheme="majorHAnsi" w:hAnsiTheme="majorHAnsi"/>
          <w:b/>
        </w:rPr>
        <w:br w:type="page"/>
      </w:r>
    </w:p>
    <w:p w14:paraId="55DE500E" w14:textId="06D51A86" w:rsidR="005C00BA" w:rsidRPr="00940139" w:rsidRDefault="005C00BA" w:rsidP="002E2B9F">
      <w:pPr>
        <w:spacing w:before="120" w:after="120"/>
        <w:rPr>
          <w:rFonts w:asciiTheme="majorHAnsi" w:hAnsiTheme="majorHAnsi"/>
          <w:b/>
        </w:rPr>
      </w:pPr>
      <w:r w:rsidRPr="00940139">
        <w:rPr>
          <w:rFonts w:asciiTheme="majorHAnsi" w:hAnsiTheme="majorHAnsi"/>
          <w:b/>
        </w:rPr>
        <w:lastRenderedPageBreak/>
        <w:t xml:space="preserve">5. Impact </w:t>
      </w:r>
    </w:p>
    <w:p w14:paraId="4CB215F5" w14:textId="77777777" w:rsidR="005C00BA" w:rsidRPr="00940139" w:rsidRDefault="005C00BA" w:rsidP="002E2B9F">
      <w:pPr>
        <w:pStyle w:val="Reporttext"/>
        <w:spacing w:after="120" w:line="259" w:lineRule="auto"/>
        <w:rPr>
          <w:rFonts w:asciiTheme="majorHAnsi" w:hAnsiTheme="majorHAnsi" w:cstheme="minorHAnsi"/>
          <w:b/>
          <w:bCs/>
          <w:sz w:val="20"/>
          <w:lang w:val="en-GB"/>
        </w:rPr>
      </w:pPr>
      <w:r w:rsidRPr="00940139">
        <w:rPr>
          <w:rFonts w:asciiTheme="majorHAnsi" w:hAnsiTheme="majorHAnsi" w:cstheme="minorHAnsi"/>
          <w:b/>
          <w:bCs/>
          <w:sz w:val="20"/>
          <w:lang w:val="en-GB"/>
        </w:rPr>
        <w:t xml:space="preserve">Please select the answer that best reflects your views on each statement: </w:t>
      </w:r>
    </w:p>
    <w:tbl>
      <w:tblPr>
        <w:tblW w:w="0" w:type="auto"/>
        <w:tblLook w:val="0400" w:firstRow="0" w:lastRow="0" w:firstColumn="0" w:lastColumn="0" w:noHBand="0" w:noVBand="1"/>
      </w:tblPr>
      <w:tblGrid>
        <w:gridCol w:w="4490"/>
        <w:gridCol w:w="1308"/>
        <w:gridCol w:w="967"/>
        <w:gridCol w:w="1185"/>
        <w:gridCol w:w="707"/>
        <w:gridCol w:w="1021"/>
      </w:tblGrid>
      <w:tr w:rsidR="005C00BA" w:rsidRPr="00940139" w14:paraId="787F2050" w14:textId="77777777" w:rsidTr="00012BF8">
        <w:trPr>
          <w:tblHeader/>
        </w:trPr>
        <w:tc>
          <w:tcPr>
            <w:tcW w:w="0" w:type="auto"/>
            <w:tcBorders>
              <w:top w:val="single" w:sz="4" w:space="0" w:color="auto"/>
              <w:left w:val="single" w:sz="4" w:space="0" w:color="auto"/>
              <w:bottom w:val="single" w:sz="4" w:space="0" w:color="auto"/>
              <w:right w:val="single" w:sz="4" w:space="0" w:color="auto"/>
            </w:tcBorders>
            <w:vAlign w:val="center"/>
          </w:tcPr>
          <w:p w14:paraId="67012EEB" w14:textId="77777777" w:rsidR="005C00BA" w:rsidRPr="00940139" w:rsidRDefault="005C00BA" w:rsidP="002E2B9F">
            <w:pPr>
              <w:pStyle w:val="Table"/>
              <w:spacing w:before="120" w:after="120" w:line="259" w:lineRule="auto"/>
              <w:rPr>
                <w:rFonts w:asciiTheme="majorHAnsi" w:eastAsiaTheme="minorEastAsia" w:hAnsiTheme="majorHAnsi" w:cstheme="minorHAnsi"/>
                <w:b/>
                <w:lang w:val="en-GB"/>
              </w:rPr>
            </w:pPr>
            <w:r w:rsidRPr="00940139">
              <w:rPr>
                <w:rFonts w:asciiTheme="majorHAnsi" w:eastAsiaTheme="minorEastAsia" w:hAnsiTheme="majorHAnsi" w:cstheme="minorHAnsi"/>
                <w:b/>
                <w:lang w:val="en-GB"/>
              </w:rPr>
              <w:t>5a. As a result of the training and/ or workshop, my organisation: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3371E22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32FF05B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7C8BBCE8"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17DB18A7"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4B4D889F"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b/>
                <w:bCs/>
                <w:lang w:val="en-GB"/>
              </w:rPr>
            </w:pPr>
            <w:r w:rsidRPr="00940139">
              <w:rPr>
                <w:rFonts w:asciiTheme="majorHAnsi" w:eastAsiaTheme="minorEastAsia" w:hAnsiTheme="majorHAnsi" w:cstheme="minorHAnsi"/>
                <w:b/>
                <w:bCs/>
                <w:lang w:val="en-GB"/>
              </w:rPr>
              <w:t>No Opinion</w:t>
            </w:r>
          </w:p>
        </w:tc>
      </w:tr>
      <w:tr w:rsidR="005C00BA" w:rsidRPr="00940139" w14:paraId="212F5407" w14:textId="77777777" w:rsidTr="00012BF8">
        <w:tc>
          <w:tcPr>
            <w:tcW w:w="0" w:type="auto"/>
            <w:tcBorders>
              <w:top w:val="single" w:sz="4" w:space="0" w:color="auto"/>
              <w:left w:val="single" w:sz="4" w:space="0" w:color="auto"/>
              <w:bottom w:val="single" w:sz="4" w:space="0" w:color="auto"/>
              <w:right w:val="single" w:sz="4" w:space="0" w:color="auto"/>
            </w:tcBorders>
            <w:hideMark/>
          </w:tcPr>
          <w:p w14:paraId="40079420" w14:textId="77777777" w:rsidR="005C00BA" w:rsidRPr="00940139" w:rsidRDefault="005C00BA" w:rsidP="002E2B9F">
            <w:pPr>
              <w:pStyle w:val="Table"/>
              <w:spacing w:before="120" w:after="120" w:line="259" w:lineRule="auto"/>
              <w:rPr>
                <w:rFonts w:asciiTheme="majorHAnsi" w:eastAsiaTheme="minorEastAsia" w:hAnsiTheme="majorHAnsi" w:cstheme="minorHAnsi"/>
                <w:highlight w:val="yellow"/>
                <w:lang w:val="en-GB"/>
              </w:rPr>
            </w:pPr>
            <w:r w:rsidRPr="00940139">
              <w:rPr>
                <w:rFonts w:asciiTheme="majorHAnsi" w:eastAsiaTheme="minorEastAsia" w:hAnsiTheme="majorHAnsi" w:cstheme="minorHAnsi"/>
                <w:lang w:val="en-GB"/>
              </w:rPr>
              <w:t>5.1 Applied new learnings and capacities to national development financing processes</w:t>
            </w:r>
          </w:p>
        </w:tc>
        <w:sdt>
          <w:sdtPr>
            <w:rPr>
              <w:rFonts w:asciiTheme="majorHAnsi" w:eastAsiaTheme="minorEastAsia" w:hAnsiTheme="majorHAnsi" w:cstheme="minorHAnsi"/>
              <w:lang w:val="en-GB"/>
            </w:rPr>
            <w:id w:val="158349231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7DCA5B3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theme="minorHAnsi" w:hint="eastAsia"/>
                    <w:lang w:val="en-GB"/>
                  </w:rPr>
                  <w:t>☐</w:t>
                </w:r>
              </w:p>
            </w:tc>
          </w:sdtContent>
        </w:sdt>
        <w:sdt>
          <w:sdtPr>
            <w:rPr>
              <w:rFonts w:asciiTheme="majorHAnsi" w:eastAsiaTheme="minorEastAsia" w:hAnsiTheme="majorHAnsi" w:cstheme="minorHAnsi"/>
              <w:lang w:val="en-GB"/>
            </w:rPr>
            <w:id w:val="-22492369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71AA479"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70159718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34249F15"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29888933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7BF7BC65"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49163425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6A0371BD"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r w:rsidR="005C00BA" w:rsidRPr="00940139" w14:paraId="313B83C3" w14:textId="77777777" w:rsidTr="00012BF8">
        <w:tc>
          <w:tcPr>
            <w:tcW w:w="0" w:type="auto"/>
            <w:tcBorders>
              <w:top w:val="single" w:sz="4" w:space="0" w:color="auto"/>
              <w:left w:val="single" w:sz="4" w:space="0" w:color="auto"/>
              <w:bottom w:val="single" w:sz="4" w:space="0" w:color="auto"/>
              <w:right w:val="single" w:sz="4" w:space="0" w:color="auto"/>
            </w:tcBorders>
          </w:tcPr>
          <w:p w14:paraId="2FB74764" w14:textId="77777777" w:rsidR="005C00BA" w:rsidRPr="00940139" w:rsidRDefault="005C00BA" w:rsidP="002E2B9F">
            <w:pPr>
              <w:pStyle w:val="Table"/>
              <w:spacing w:before="120" w:after="120" w:line="259" w:lineRule="auto"/>
              <w:rPr>
                <w:rFonts w:asciiTheme="majorHAnsi" w:eastAsiaTheme="minorEastAsia" w:hAnsiTheme="majorHAnsi" w:cstheme="minorHAnsi"/>
                <w:lang w:val="en-GB"/>
              </w:rPr>
            </w:pPr>
            <w:r w:rsidRPr="00940139">
              <w:rPr>
                <w:rFonts w:asciiTheme="majorHAnsi" w:eastAsiaTheme="minorEastAsia" w:hAnsiTheme="majorHAnsi" w:cstheme="minorHAnsi"/>
                <w:lang w:val="en-GB"/>
              </w:rPr>
              <w:t xml:space="preserve">5.2 Was able to mobilise and align development financing with national development priorities </w:t>
            </w:r>
          </w:p>
        </w:tc>
        <w:sdt>
          <w:sdtPr>
            <w:rPr>
              <w:rFonts w:asciiTheme="majorHAnsi" w:eastAsiaTheme="minorEastAsia" w:hAnsiTheme="majorHAnsi" w:cstheme="minorHAnsi"/>
              <w:lang w:val="en-GB"/>
            </w:rPr>
            <w:id w:val="3733086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53A9FA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419216049"/>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50C42E1"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2138836558"/>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26E90D2"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19628383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76B6B562"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sdt>
          <w:sdtPr>
            <w:rPr>
              <w:rFonts w:asciiTheme="majorHAnsi" w:eastAsiaTheme="minorEastAsia" w:hAnsiTheme="majorHAnsi" w:cstheme="minorHAnsi"/>
              <w:lang w:val="en-GB"/>
            </w:rPr>
            <w:id w:val="2025984034"/>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5A595C6C" w14:textId="77777777" w:rsidR="005C00BA" w:rsidRPr="00940139" w:rsidRDefault="005C00BA" w:rsidP="002E2B9F">
                <w:pPr>
                  <w:pStyle w:val="Table"/>
                  <w:spacing w:before="120" w:after="120" w:line="259" w:lineRule="auto"/>
                  <w:jc w:val="center"/>
                  <w:rPr>
                    <w:rFonts w:asciiTheme="majorHAnsi" w:eastAsiaTheme="minorEastAsia" w:hAnsiTheme="majorHAnsi" w:cstheme="minorHAnsi"/>
                    <w:lang w:val="en-GB"/>
                  </w:rPr>
                </w:pPr>
                <w:r w:rsidRPr="00940139">
                  <w:rPr>
                    <w:rFonts w:ascii="MS Gothic" w:eastAsia="MS Gothic" w:hAnsi="MS Gothic" w:cs="MS Gothic" w:hint="eastAsia"/>
                    <w:lang w:val="en-GB"/>
                  </w:rPr>
                  <w:t>☐</w:t>
                </w:r>
              </w:p>
            </w:tc>
          </w:sdtContent>
        </w:sdt>
      </w:tr>
    </w:tbl>
    <w:p w14:paraId="533A923A" w14:textId="77777777" w:rsidR="005C00BA" w:rsidRPr="00940139" w:rsidRDefault="005C00BA" w:rsidP="002E2B9F">
      <w:pPr>
        <w:pStyle w:val="Reporttext"/>
        <w:spacing w:after="120" w:line="259" w:lineRule="auto"/>
        <w:rPr>
          <w:rFonts w:asciiTheme="majorHAnsi" w:eastAsiaTheme="minorEastAsia" w:hAnsiTheme="majorHAnsi"/>
          <w:sz w:val="20"/>
          <w:lang w:val="en-GB" w:eastAsia="zh-CN"/>
        </w:rPr>
      </w:pPr>
    </w:p>
    <w:p w14:paraId="0908925E"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5.3. Additional comments?</w:t>
      </w:r>
      <w:r w:rsidRPr="00940139">
        <w:rPr>
          <w:rFonts w:asciiTheme="majorHAnsi" w:hAnsiTheme="majorHAnsi"/>
          <w:b/>
          <w:i/>
          <w:iCs/>
        </w:rPr>
        <w:t xml:space="preserve"> </w:t>
      </w:r>
    </w:p>
    <w:p w14:paraId="44FE6C88" w14:textId="55F41AED" w:rsidR="005C00BA" w:rsidRPr="00940139" w:rsidRDefault="005C00BA" w:rsidP="002E2B9F">
      <w:pPr>
        <w:spacing w:before="120" w:after="120"/>
        <w:rPr>
          <w:rFonts w:asciiTheme="majorHAnsi" w:hAnsiTheme="majorHAnsi" w:cstheme="minorHAnsi"/>
        </w:rPr>
      </w:pPr>
      <w:r w:rsidRPr="00940139">
        <w:rPr>
          <w:rFonts w:asciiTheme="majorHAnsi" w:hAnsiTheme="majorHAnsi" w:cstheme="minorHAnsi"/>
        </w:rPr>
        <w:t>_________________________________________________________________________________________________________</w:t>
      </w:r>
      <w:r w:rsidR="003540F7" w:rsidRPr="00940139">
        <w:rPr>
          <w:rFonts w:asciiTheme="majorHAnsi" w:hAnsiTheme="majorHAnsi" w:cstheme="minorHAnsi"/>
        </w:rPr>
        <w:t>_________________________________________________________________________________________________________</w:t>
      </w:r>
    </w:p>
    <w:p w14:paraId="2111803B" w14:textId="77777777" w:rsidR="003540F7" w:rsidRDefault="003540F7">
      <w:pPr>
        <w:rPr>
          <w:rFonts w:asciiTheme="majorHAnsi" w:hAnsiTheme="majorHAnsi"/>
          <w:b/>
        </w:rPr>
      </w:pPr>
    </w:p>
    <w:p w14:paraId="6F968541" w14:textId="0A5A8526" w:rsidR="005C00BA" w:rsidRPr="00940139" w:rsidRDefault="005C00BA" w:rsidP="002E2B9F">
      <w:pPr>
        <w:spacing w:before="120" w:after="120"/>
        <w:rPr>
          <w:rFonts w:asciiTheme="majorHAnsi" w:hAnsiTheme="majorHAnsi"/>
          <w:b/>
        </w:rPr>
      </w:pPr>
      <w:r w:rsidRPr="00940139">
        <w:rPr>
          <w:rFonts w:asciiTheme="majorHAnsi" w:hAnsiTheme="majorHAnsi"/>
          <w:b/>
        </w:rPr>
        <w:t xml:space="preserve">6. Sustainability </w:t>
      </w:r>
    </w:p>
    <w:p w14:paraId="7C83055F" w14:textId="77777777" w:rsidR="005C00BA" w:rsidRPr="00940139" w:rsidRDefault="005C00BA" w:rsidP="002E2B9F">
      <w:pPr>
        <w:pStyle w:val="Reporttext"/>
        <w:spacing w:after="120" w:line="259" w:lineRule="auto"/>
        <w:jc w:val="left"/>
        <w:rPr>
          <w:rFonts w:asciiTheme="majorHAnsi" w:hAnsiTheme="majorHAnsi" w:cstheme="minorHAnsi"/>
          <w:b/>
          <w:sz w:val="20"/>
          <w:lang w:val="en-GB"/>
        </w:rPr>
      </w:pPr>
      <w:r w:rsidRPr="00940139">
        <w:rPr>
          <w:rFonts w:asciiTheme="majorHAnsi" w:hAnsiTheme="majorHAnsi" w:cstheme="minorHAnsi"/>
          <w:b/>
          <w:sz w:val="20"/>
          <w:lang w:val="en-GB"/>
        </w:rPr>
        <w:t xml:space="preserve">6.1 How has your organisation committed to incorporate new learnings acquired from the UNCTAD trainings and/ or workshops into its development financing processes?  </w:t>
      </w:r>
      <w:r w:rsidRPr="00940139">
        <w:rPr>
          <w:rFonts w:asciiTheme="majorHAnsi" w:eastAsiaTheme="minorEastAsia" w:hAnsiTheme="majorHAnsi"/>
          <w:i/>
          <w:iCs/>
          <w:sz w:val="20"/>
          <w:lang w:val="en-GB"/>
        </w:rPr>
        <w:t>Please list up to three steps that were proposed or taken.</w:t>
      </w:r>
    </w:p>
    <w:tbl>
      <w:tblPr>
        <w:tblStyle w:val="TableGrid"/>
        <w:tblW w:w="0" w:type="auto"/>
        <w:tblLook w:val="04A0" w:firstRow="1" w:lastRow="0" w:firstColumn="1" w:lastColumn="0" w:noHBand="0" w:noVBand="1"/>
      </w:tblPr>
      <w:tblGrid>
        <w:gridCol w:w="817"/>
        <w:gridCol w:w="8759"/>
      </w:tblGrid>
      <w:tr w:rsidR="005C00BA" w:rsidRPr="00940139" w14:paraId="794C9DE4" w14:textId="77777777" w:rsidTr="00012BF8">
        <w:tc>
          <w:tcPr>
            <w:tcW w:w="817" w:type="dxa"/>
            <w:tcBorders>
              <w:top w:val="nil"/>
              <w:left w:val="nil"/>
              <w:bottom w:val="nil"/>
              <w:right w:val="nil"/>
            </w:tcBorders>
          </w:tcPr>
          <w:p w14:paraId="497209F8"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1</w:t>
            </w:r>
          </w:p>
        </w:tc>
        <w:tc>
          <w:tcPr>
            <w:tcW w:w="8759" w:type="dxa"/>
            <w:tcBorders>
              <w:top w:val="nil"/>
              <w:left w:val="nil"/>
              <w:right w:val="nil"/>
            </w:tcBorders>
          </w:tcPr>
          <w:p w14:paraId="36F53DB2"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r w:rsidR="005C00BA" w:rsidRPr="00940139" w14:paraId="4A11B157" w14:textId="77777777" w:rsidTr="00012BF8">
        <w:tc>
          <w:tcPr>
            <w:tcW w:w="817" w:type="dxa"/>
            <w:tcBorders>
              <w:top w:val="nil"/>
              <w:left w:val="nil"/>
              <w:bottom w:val="nil"/>
              <w:right w:val="nil"/>
            </w:tcBorders>
          </w:tcPr>
          <w:p w14:paraId="0B5237EE"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2</w:t>
            </w:r>
          </w:p>
        </w:tc>
        <w:tc>
          <w:tcPr>
            <w:tcW w:w="8759" w:type="dxa"/>
            <w:tcBorders>
              <w:left w:val="nil"/>
              <w:right w:val="nil"/>
            </w:tcBorders>
          </w:tcPr>
          <w:p w14:paraId="6C3861ED"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r w:rsidR="005C00BA" w:rsidRPr="00940139" w14:paraId="340F42B2" w14:textId="77777777" w:rsidTr="00012BF8">
        <w:tc>
          <w:tcPr>
            <w:tcW w:w="817" w:type="dxa"/>
            <w:tcBorders>
              <w:top w:val="nil"/>
              <w:left w:val="nil"/>
              <w:bottom w:val="nil"/>
              <w:right w:val="nil"/>
            </w:tcBorders>
          </w:tcPr>
          <w:p w14:paraId="23CD3458"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3</w:t>
            </w:r>
          </w:p>
        </w:tc>
        <w:tc>
          <w:tcPr>
            <w:tcW w:w="8759" w:type="dxa"/>
            <w:tcBorders>
              <w:left w:val="nil"/>
              <w:right w:val="nil"/>
            </w:tcBorders>
          </w:tcPr>
          <w:p w14:paraId="125DD05D"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bl>
    <w:p w14:paraId="487E885F" w14:textId="77777777" w:rsidR="005C00BA" w:rsidRPr="00940139" w:rsidRDefault="005C00BA" w:rsidP="002E2B9F">
      <w:pPr>
        <w:spacing w:before="120" w:after="120"/>
        <w:rPr>
          <w:rFonts w:asciiTheme="majorHAnsi" w:hAnsiTheme="majorHAnsi" w:cs="Times New Roman"/>
        </w:rPr>
      </w:pPr>
    </w:p>
    <w:p w14:paraId="394278F5"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 xml:space="preserve">7. Gender and disability </w:t>
      </w:r>
    </w:p>
    <w:tbl>
      <w:tblPr>
        <w:tblW w:w="0" w:type="auto"/>
        <w:tblLook w:val="0400" w:firstRow="0" w:lastRow="0" w:firstColumn="0" w:lastColumn="0" w:noHBand="0" w:noVBand="1"/>
      </w:tblPr>
      <w:tblGrid>
        <w:gridCol w:w="3968"/>
        <w:gridCol w:w="1556"/>
        <w:gridCol w:w="964"/>
        <w:gridCol w:w="1364"/>
        <w:gridCol w:w="709"/>
        <w:gridCol w:w="1117"/>
      </w:tblGrid>
      <w:tr w:rsidR="005C00BA" w:rsidRPr="00940139" w14:paraId="0BF9AE54" w14:textId="77777777" w:rsidTr="00012BF8">
        <w:trPr>
          <w:tblHeader/>
        </w:trPr>
        <w:tc>
          <w:tcPr>
            <w:tcW w:w="0" w:type="auto"/>
            <w:tcBorders>
              <w:top w:val="single" w:sz="4" w:space="0" w:color="auto"/>
              <w:left w:val="single" w:sz="4" w:space="0" w:color="auto"/>
              <w:bottom w:val="single" w:sz="4" w:space="0" w:color="auto"/>
              <w:right w:val="single" w:sz="4" w:space="0" w:color="auto"/>
            </w:tcBorders>
            <w:vAlign w:val="center"/>
          </w:tcPr>
          <w:p w14:paraId="46271DAE" w14:textId="77777777" w:rsidR="005C00BA" w:rsidRPr="00940139" w:rsidRDefault="005C00BA" w:rsidP="002E2B9F">
            <w:pPr>
              <w:pStyle w:val="BodyText"/>
              <w:rPr>
                <w:rFonts w:asciiTheme="majorHAnsi" w:hAnsiTheme="majorHAnsi" w:cs="Calibri"/>
                <w:b/>
                <w:szCs w:val="20"/>
                <w:lang w:val="en-GB"/>
              </w:rPr>
            </w:pPr>
            <w:r w:rsidRPr="00940139">
              <w:rPr>
                <w:rFonts w:asciiTheme="majorHAnsi" w:hAnsiTheme="majorHAnsi" w:cs="Calibri"/>
                <w:b/>
                <w:szCs w:val="20"/>
                <w:lang w:val="en-GB"/>
              </w:rPr>
              <w:t>7a. The UNCTAD trainings and/ or workshops were:</w:t>
            </w:r>
          </w:p>
        </w:tc>
        <w:tc>
          <w:tcPr>
            <w:tcW w:w="0" w:type="auto"/>
            <w:tcBorders>
              <w:top w:val="single" w:sz="4" w:space="0" w:color="auto"/>
              <w:left w:val="single" w:sz="4" w:space="0" w:color="auto"/>
              <w:bottom w:val="single" w:sz="4" w:space="0" w:color="auto"/>
              <w:right w:val="single" w:sz="4" w:space="0" w:color="auto"/>
            </w:tcBorders>
            <w:vAlign w:val="center"/>
            <w:hideMark/>
          </w:tcPr>
          <w:p w14:paraId="65AA6B68"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Strongly 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55E774C2"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Disagree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2B77199C"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Strongly 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131E3510"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Agree</w:t>
            </w:r>
          </w:p>
        </w:tc>
        <w:tc>
          <w:tcPr>
            <w:tcW w:w="0" w:type="auto"/>
            <w:tcBorders>
              <w:top w:val="single" w:sz="4" w:space="0" w:color="auto"/>
              <w:left w:val="single" w:sz="4" w:space="0" w:color="auto"/>
              <w:bottom w:val="single" w:sz="4" w:space="0" w:color="auto"/>
              <w:right w:val="single" w:sz="4" w:space="0" w:color="auto"/>
            </w:tcBorders>
            <w:vAlign w:val="center"/>
            <w:hideMark/>
          </w:tcPr>
          <w:p w14:paraId="08E673EB" w14:textId="77777777" w:rsidR="005C00BA" w:rsidRPr="00940139" w:rsidRDefault="005C00BA" w:rsidP="002E2B9F">
            <w:pPr>
              <w:pStyle w:val="BodyText"/>
              <w:jc w:val="center"/>
              <w:rPr>
                <w:rFonts w:asciiTheme="majorHAnsi" w:hAnsiTheme="majorHAnsi" w:cs="Calibri"/>
                <w:b/>
                <w:bCs/>
                <w:szCs w:val="20"/>
                <w:lang w:val="en-GB"/>
              </w:rPr>
            </w:pPr>
            <w:r w:rsidRPr="00940139">
              <w:rPr>
                <w:rFonts w:asciiTheme="majorHAnsi" w:eastAsiaTheme="minorEastAsia" w:hAnsiTheme="majorHAnsi" w:cstheme="minorHAnsi"/>
                <w:b/>
                <w:bCs/>
                <w:szCs w:val="20"/>
                <w:lang w:val="en-GB"/>
              </w:rPr>
              <w:t>No Opinion</w:t>
            </w:r>
          </w:p>
        </w:tc>
      </w:tr>
      <w:tr w:rsidR="005C00BA" w:rsidRPr="00940139" w14:paraId="48ECFBD3" w14:textId="77777777" w:rsidTr="00012BF8">
        <w:tc>
          <w:tcPr>
            <w:tcW w:w="0" w:type="auto"/>
            <w:tcBorders>
              <w:top w:val="single" w:sz="4" w:space="0" w:color="auto"/>
              <w:left w:val="single" w:sz="4" w:space="0" w:color="auto"/>
              <w:bottom w:val="single" w:sz="4" w:space="0" w:color="auto"/>
              <w:right w:val="single" w:sz="4" w:space="0" w:color="auto"/>
            </w:tcBorders>
          </w:tcPr>
          <w:p w14:paraId="04A18996" w14:textId="77777777" w:rsidR="005C00BA" w:rsidRPr="00940139" w:rsidRDefault="005C00BA" w:rsidP="002E2B9F">
            <w:pPr>
              <w:pStyle w:val="BodyText"/>
              <w:rPr>
                <w:rFonts w:asciiTheme="majorHAnsi" w:hAnsiTheme="majorHAnsi" w:cs="Calibri"/>
                <w:szCs w:val="20"/>
                <w:lang w:val="en-GB"/>
              </w:rPr>
            </w:pPr>
            <w:r w:rsidRPr="00940139">
              <w:rPr>
                <w:rFonts w:asciiTheme="majorHAnsi" w:hAnsiTheme="majorHAnsi" w:cs="Calibri"/>
                <w:szCs w:val="20"/>
                <w:lang w:val="en-GB"/>
              </w:rPr>
              <w:t>7.1 Open to contributions by women and men</w:t>
            </w:r>
          </w:p>
        </w:tc>
        <w:sdt>
          <w:sdtPr>
            <w:rPr>
              <w:rFonts w:asciiTheme="majorHAnsi" w:hAnsiTheme="majorHAnsi" w:cs="Calibri"/>
              <w:szCs w:val="20"/>
              <w:lang w:val="en-GB"/>
            </w:rPr>
            <w:id w:val="141967936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427F464" w14:textId="77777777" w:rsidR="005C00BA" w:rsidRPr="00940139" w:rsidRDefault="005C00BA" w:rsidP="002E2B9F">
                <w:pPr>
                  <w:pStyle w:val="BodyText"/>
                  <w:jc w:val="center"/>
                  <w:rPr>
                    <w:rFonts w:asciiTheme="majorHAnsi" w:hAnsiTheme="majorHAnsi" w:cs="Calibri"/>
                    <w:szCs w:val="20"/>
                    <w:lang w:val="en-GB"/>
                  </w:rPr>
                </w:pPr>
                <w:r w:rsidRPr="00940139">
                  <w:rPr>
                    <w:rFonts w:ascii="Segoe UI Symbol" w:hAnsi="Segoe UI Symbol" w:cs="Segoe UI Symbol"/>
                    <w:szCs w:val="20"/>
                    <w:lang w:val="en-GB"/>
                  </w:rPr>
                  <w:t>☐</w:t>
                </w:r>
              </w:p>
            </w:tc>
          </w:sdtContent>
        </w:sdt>
        <w:sdt>
          <w:sdtPr>
            <w:rPr>
              <w:rFonts w:asciiTheme="majorHAnsi" w:hAnsiTheme="majorHAnsi" w:cs="Calibri"/>
              <w:szCs w:val="20"/>
            </w:rPr>
            <w:id w:val="-1988152123"/>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4BD7834F"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1070883546"/>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25D54584"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41668512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01D8AE4D"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628130911"/>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hideMark/>
              </w:tcPr>
              <w:p w14:paraId="70A36F2D"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tr>
      <w:tr w:rsidR="005C00BA" w:rsidRPr="00940139" w14:paraId="6B6DACB0" w14:textId="77777777" w:rsidTr="00012BF8">
        <w:tc>
          <w:tcPr>
            <w:tcW w:w="0" w:type="auto"/>
            <w:tcBorders>
              <w:top w:val="single" w:sz="4" w:space="0" w:color="auto"/>
              <w:left w:val="single" w:sz="4" w:space="0" w:color="auto"/>
              <w:bottom w:val="single" w:sz="4" w:space="0" w:color="auto"/>
              <w:right w:val="single" w:sz="4" w:space="0" w:color="auto"/>
            </w:tcBorders>
          </w:tcPr>
          <w:p w14:paraId="46859C67" w14:textId="77777777" w:rsidR="005C00BA" w:rsidRPr="00940139" w:rsidRDefault="005C00BA" w:rsidP="002E2B9F">
            <w:pPr>
              <w:pStyle w:val="BodyText"/>
              <w:rPr>
                <w:rFonts w:asciiTheme="majorHAnsi" w:hAnsiTheme="majorHAnsi" w:cs="Calibri"/>
                <w:szCs w:val="20"/>
                <w:lang w:val="en-GB"/>
              </w:rPr>
            </w:pPr>
            <w:r w:rsidRPr="00940139">
              <w:rPr>
                <w:rFonts w:asciiTheme="majorHAnsi" w:hAnsiTheme="majorHAnsi" w:cs="Calibri"/>
                <w:szCs w:val="20"/>
                <w:lang w:val="en-GB"/>
              </w:rPr>
              <w:t>7.2 Accessible to people living with disabilities</w:t>
            </w:r>
          </w:p>
        </w:tc>
        <w:sdt>
          <w:sdtPr>
            <w:rPr>
              <w:rFonts w:asciiTheme="majorHAnsi" w:hAnsiTheme="majorHAnsi" w:cs="Calibri"/>
              <w:szCs w:val="20"/>
              <w:lang w:val="en-GB"/>
            </w:rPr>
            <w:id w:val="-1680497970"/>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0ECDF197" w14:textId="77777777" w:rsidR="005C00BA" w:rsidRPr="00940139" w:rsidRDefault="005C00BA" w:rsidP="002E2B9F">
                <w:pPr>
                  <w:pStyle w:val="BodyText"/>
                  <w:jc w:val="center"/>
                  <w:rPr>
                    <w:rFonts w:asciiTheme="majorHAnsi" w:hAnsiTheme="majorHAnsi" w:cs="Calibri"/>
                    <w:szCs w:val="20"/>
                    <w:lang w:val="en-GB"/>
                  </w:rPr>
                </w:pPr>
                <w:r w:rsidRPr="00940139">
                  <w:rPr>
                    <w:rFonts w:ascii="Segoe UI Symbol" w:hAnsi="Segoe UI Symbol" w:cs="Segoe UI Symbol"/>
                    <w:szCs w:val="20"/>
                    <w:lang w:val="en-GB"/>
                  </w:rPr>
                  <w:t>☐</w:t>
                </w:r>
              </w:p>
            </w:tc>
          </w:sdtContent>
        </w:sdt>
        <w:sdt>
          <w:sdtPr>
            <w:rPr>
              <w:rFonts w:asciiTheme="majorHAnsi" w:hAnsiTheme="majorHAnsi" w:cs="Calibri"/>
              <w:szCs w:val="20"/>
            </w:rPr>
            <w:id w:val="35817323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0DB9DCFD"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667248415"/>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E5F930E"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158248264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23993BF5"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sdt>
          <w:sdtPr>
            <w:rPr>
              <w:rFonts w:asciiTheme="majorHAnsi" w:hAnsiTheme="majorHAnsi" w:cs="Calibri"/>
              <w:szCs w:val="20"/>
            </w:rPr>
            <w:id w:val="-500885877"/>
            <w14:checkbox>
              <w14:checked w14:val="0"/>
              <w14:checkedState w14:val="2612" w14:font="MS Gothic"/>
              <w14:uncheckedState w14:val="2610" w14:font="MS Gothic"/>
            </w14:checkbox>
          </w:sdtPr>
          <w:sdtContent>
            <w:tc>
              <w:tcPr>
                <w:tcW w:w="0" w:type="auto"/>
                <w:tcBorders>
                  <w:top w:val="single" w:sz="4" w:space="0" w:color="auto"/>
                  <w:left w:val="single" w:sz="4" w:space="0" w:color="auto"/>
                  <w:bottom w:val="single" w:sz="4" w:space="0" w:color="auto"/>
                  <w:right w:val="single" w:sz="4" w:space="0" w:color="auto"/>
                </w:tcBorders>
                <w:vAlign w:val="center"/>
              </w:tcPr>
              <w:p w14:paraId="489DDE80" w14:textId="77777777" w:rsidR="005C00BA" w:rsidRPr="00940139" w:rsidRDefault="005C00BA" w:rsidP="002E2B9F">
                <w:pPr>
                  <w:pStyle w:val="BodyText"/>
                  <w:jc w:val="center"/>
                  <w:rPr>
                    <w:rFonts w:asciiTheme="majorHAnsi" w:hAnsiTheme="majorHAnsi" w:cs="Calibri"/>
                    <w:szCs w:val="20"/>
                  </w:rPr>
                </w:pPr>
                <w:r w:rsidRPr="00940139">
                  <w:rPr>
                    <w:rFonts w:ascii="Segoe UI Symbol" w:hAnsi="Segoe UI Symbol" w:cs="Segoe UI Symbol"/>
                    <w:szCs w:val="20"/>
                  </w:rPr>
                  <w:t>☐</w:t>
                </w:r>
              </w:p>
            </w:tc>
          </w:sdtContent>
        </w:sdt>
      </w:tr>
    </w:tbl>
    <w:p w14:paraId="6986D41F" w14:textId="77777777" w:rsidR="005C00BA" w:rsidRPr="00940139" w:rsidRDefault="005C00BA" w:rsidP="002E2B9F">
      <w:pPr>
        <w:pStyle w:val="Reporttext"/>
        <w:spacing w:after="120" w:line="259" w:lineRule="auto"/>
        <w:jc w:val="left"/>
        <w:rPr>
          <w:rFonts w:asciiTheme="majorHAnsi" w:eastAsiaTheme="minorEastAsia" w:hAnsiTheme="majorHAnsi"/>
          <w:sz w:val="20"/>
          <w:lang w:val="en-GB"/>
        </w:rPr>
      </w:pPr>
    </w:p>
    <w:p w14:paraId="74849096"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 xml:space="preserve">8. Lessons learned and Recommendations </w:t>
      </w:r>
    </w:p>
    <w:p w14:paraId="1CABB6D7"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 xml:space="preserve">8.1 What are the main lessons/ recommendations for enhanced development financing that emerged from the trainings and/ or workshops? </w:t>
      </w:r>
    </w:p>
    <w:p w14:paraId="029222C3" w14:textId="77777777" w:rsidR="005C00BA" w:rsidRPr="00940139" w:rsidRDefault="005C00BA" w:rsidP="002E2B9F">
      <w:pPr>
        <w:spacing w:before="120" w:after="120"/>
        <w:rPr>
          <w:rFonts w:asciiTheme="majorHAnsi" w:hAnsiTheme="majorHAnsi" w:cstheme="minorHAnsi"/>
          <w:b/>
          <w:spacing w:val="20"/>
        </w:rPr>
      </w:pPr>
      <w:r w:rsidRPr="00940139">
        <w:rPr>
          <w:rFonts w:asciiTheme="majorHAnsi" w:hAnsiTheme="majorHAnsi"/>
          <w:i/>
          <w:iCs/>
        </w:rPr>
        <w:t>Please list up to three lessons learned/ recommendations.</w:t>
      </w:r>
    </w:p>
    <w:tbl>
      <w:tblPr>
        <w:tblStyle w:val="TableGrid"/>
        <w:tblW w:w="0" w:type="auto"/>
        <w:tblLook w:val="04A0" w:firstRow="1" w:lastRow="0" w:firstColumn="1" w:lastColumn="0" w:noHBand="0" w:noVBand="1"/>
      </w:tblPr>
      <w:tblGrid>
        <w:gridCol w:w="944"/>
        <w:gridCol w:w="8416"/>
      </w:tblGrid>
      <w:tr w:rsidR="005C00BA" w:rsidRPr="00940139" w14:paraId="307C2EA5" w14:textId="77777777" w:rsidTr="00012BF8">
        <w:tc>
          <w:tcPr>
            <w:tcW w:w="944" w:type="dxa"/>
            <w:tcBorders>
              <w:top w:val="nil"/>
              <w:left w:val="nil"/>
              <w:bottom w:val="nil"/>
              <w:right w:val="nil"/>
            </w:tcBorders>
          </w:tcPr>
          <w:p w14:paraId="3B4C3F59"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1</w:t>
            </w:r>
          </w:p>
        </w:tc>
        <w:tc>
          <w:tcPr>
            <w:tcW w:w="8416" w:type="dxa"/>
            <w:tcBorders>
              <w:top w:val="nil"/>
              <w:left w:val="nil"/>
              <w:right w:val="nil"/>
            </w:tcBorders>
          </w:tcPr>
          <w:p w14:paraId="77270F20"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r w:rsidR="005C00BA" w:rsidRPr="00940139" w14:paraId="384ED3D6" w14:textId="77777777" w:rsidTr="00012BF8">
        <w:tc>
          <w:tcPr>
            <w:tcW w:w="944" w:type="dxa"/>
            <w:tcBorders>
              <w:top w:val="nil"/>
              <w:left w:val="nil"/>
              <w:bottom w:val="nil"/>
              <w:right w:val="nil"/>
            </w:tcBorders>
          </w:tcPr>
          <w:p w14:paraId="271638B3"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lastRenderedPageBreak/>
              <w:t>2</w:t>
            </w:r>
          </w:p>
        </w:tc>
        <w:tc>
          <w:tcPr>
            <w:tcW w:w="8416" w:type="dxa"/>
            <w:tcBorders>
              <w:left w:val="nil"/>
              <w:right w:val="nil"/>
            </w:tcBorders>
          </w:tcPr>
          <w:p w14:paraId="1A89ECD1"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r w:rsidR="005C00BA" w:rsidRPr="00940139" w14:paraId="5E098C7E" w14:textId="77777777" w:rsidTr="00012BF8">
        <w:tc>
          <w:tcPr>
            <w:tcW w:w="944" w:type="dxa"/>
            <w:tcBorders>
              <w:top w:val="nil"/>
              <w:left w:val="nil"/>
              <w:bottom w:val="nil"/>
              <w:right w:val="nil"/>
            </w:tcBorders>
          </w:tcPr>
          <w:p w14:paraId="43217E47"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r w:rsidRPr="00940139">
              <w:rPr>
                <w:rFonts w:asciiTheme="majorHAnsi" w:eastAsiaTheme="minorEastAsia" w:hAnsiTheme="majorHAnsi" w:cstheme="minorHAnsi"/>
                <w:sz w:val="20"/>
                <w:lang w:val="en-GB"/>
              </w:rPr>
              <w:t>3</w:t>
            </w:r>
          </w:p>
        </w:tc>
        <w:tc>
          <w:tcPr>
            <w:tcW w:w="8416" w:type="dxa"/>
            <w:tcBorders>
              <w:left w:val="nil"/>
              <w:right w:val="nil"/>
            </w:tcBorders>
          </w:tcPr>
          <w:p w14:paraId="76F632D8" w14:textId="77777777" w:rsidR="005C00BA" w:rsidRPr="00940139" w:rsidRDefault="005C00BA" w:rsidP="002E2B9F">
            <w:pPr>
              <w:pStyle w:val="Reporttext"/>
              <w:spacing w:after="120" w:line="259" w:lineRule="auto"/>
              <w:rPr>
                <w:rFonts w:asciiTheme="majorHAnsi" w:eastAsiaTheme="minorEastAsia" w:hAnsiTheme="majorHAnsi" w:cstheme="minorHAnsi"/>
                <w:sz w:val="20"/>
                <w:lang w:val="en-GB"/>
              </w:rPr>
            </w:pPr>
          </w:p>
        </w:tc>
      </w:tr>
    </w:tbl>
    <w:p w14:paraId="2F5F99B6" w14:textId="77777777" w:rsidR="005C00BA" w:rsidRPr="00940139" w:rsidRDefault="005C00BA" w:rsidP="002E2B9F">
      <w:pPr>
        <w:spacing w:before="120" w:after="120"/>
        <w:rPr>
          <w:rFonts w:asciiTheme="majorHAnsi" w:hAnsiTheme="majorHAnsi"/>
          <w:bCs/>
        </w:rPr>
      </w:pPr>
    </w:p>
    <w:p w14:paraId="0198B017"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Close</w:t>
      </w:r>
    </w:p>
    <w:p w14:paraId="59A81515" w14:textId="77777777" w:rsidR="005C00BA" w:rsidRPr="00940139" w:rsidRDefault="005C00BA" w:rsidP="002E2B9F">
      <w:pPr>
        <w:spacing w:before="120" w:after="120"/>
        <w:rPr>
          <w:rFonts w:asciiTheme="majorHAnsi" w:hAnsiTheme="majorHAnsi"/>
          <w:b/>
        </w:rPr>
      </w:pPr>
      <w:r w:rsidRPr="00940139">
        <w:rPr>
          <w:rFonts w:asciiTheme="majorHAnsi" w:hAnsiTheme="majorHAnsi"/>
          <w:b/>
        </w:rPr>
        <w:t>9. Are there any additional suggestions or comments you wish to make?</w:t>
      </w:r>
      <w:r w:rsidRPr="00940139">
        <w:rPr>
          <w:rFonts w:asciiTheme="majorHAnsi" w:hAnsiTheme="majorHAnsi"/>
          <w:b/>
          <w:i/>
          <w:iCs/>
        </w:rPr>
        <w:t xml:space="preserve"> </w:t>
      </w:r>
    </w:p>
    <w:p w14:paraId="7716DAAB" w14:textId="38F4F1C0" w:rsidR="005C00BA" w:rsidRPr="00940139" w:rsidRDefault="005C00BA" w:rsidP="003540F7">
      <w:pPr>
        <w:spacing w:before="120" w:after="120"/>
        <w:rPr>
          <w:rFonts w:asciiTheme="majorHAnsi" w:hAnsiTheme="majorHAnsi" w:cstheme="minorHAnsi"/>
          <w:b/>
        </w:rPr>
      </w:pPr>
      <w:r w:rsidRPr="00940139">
        <w:rPr>
          <w:rFonts w:asciiTheme="majorHAnsi" w:hAnsiTheme="majorHAnsi" w:cstheme="minorHAnsi"/>
        </w:rPr>
        <w:t>__________________________________________________________________________________________________________________________________________________________________________________________________________________</w:t>
      </w:r>
      <w:r w:rsidR="003540F7" w:rsidRPr="00940139">
        <w:rPr>
          <w:rFonts w:asciiTheme="majorHAnsi" w:hAnsiTheme="majorHAnsi" w:cstheme="minorHAnsi"/>
        </w:rPr>
        <w:t>_________________________________________________________________________________________________________</w:t>
      </w:r>
    </w:p>
    <w:p w14:paraId="42CFBAF2" w14:textId="77777777" w:rsidR="005C00BA" w:rsidRPr="00940139" w:rsidRDefault="005C00BA" w:rsidP="002E2B9F">
      <w:pPr>
        <w:pStyle w:val="Reporttext"/>
        <w:spacing w:after="120" w:line="259" w:lineRule="auto"/>
        <w:jc w:val="center"/>
        <w:rPr>
          <w:rFonts w:asciiTheme="majorHAnsi" w:hAnsiTheme="majorHAnsi" w:cstheme="minorHAnsi"/>
          <w:b/>
          <w:sz w:val="20"/>
          <w:lang w:val="en-GB"/>
        </w:rPr>
      </w:pPr>
      <w:r w:rsidRPr="00940139">
        <w:rPr>
          <w:rFonts w:asciiTheme="majorHAnsi" w:hAnsiTheme="majorHAnsi" w:cstheme="minorHAnsi"/>
          <w:b/>
          <w:sz w:val="20"/>
          <w:lang w:val="en-GB"/>
        </w:rPr>
        <w:t>Thank you for your participation.</w:t>
      </w:r>
    </w:p>
    <w:p w14:paraId="3643B440" w14:textId="77777777" w:rsidR="005C00BA" w:rsidRPr="00940139" w:rsidRDefault="005C00BA" w:rsidP="005C00BA"/>
    <w:p w14:paraId="04093AB3" w14:textId="77777777" w:rsidR="00284C97" w:rsidRPr="00940139" w:rsidRDefault="00284C97" w:rsidP="00284C97"/>
    <w:p w14:paraId="47A8E2D0" w14:textId="37D2A1C3" w:rsidR="005A19E7" w:rsidRDefault="005A19E7" w:rsidP="00B537CB">
      <w:pPr>
        <w:pStyle w:val="BodyText"/>
        <w:rPr>
          <w:b/>
          <w:bCs/>
        </w:rPr>
      </w:pPr>
      <w:r>
        <w:rPr>
          <w:b/>
          <w:bCs/>
        </w:rPr>
        <w:br w:type="page"/>
      </w:r>
    </w:p>
    <w:p w14:paraId="771545A3" w14:textId="104BA39E" w:rsidR="00DC2E2C" w:rsidRPr="008C075F" w:rsidRDefault="00DC2E2C" w:rsidP="008C075F">
      <w:pPr>
        <w:pStyle w:val="Heading9"/>
      </w:pPr>
      <w:bookmarkStart w:id="63" w:name="_Toc210730359"/>
      <w:r w:rsidRPr="009C4B4D">
        <w:lastRenderedPageBreak/>
        <w:t xml:space="preserve">Annex </w:t>
      </w:r>
      <w:r w:rsidR="0092261C">
        <w:t>7</w:t>
      </w:r>
      <w:r w:rsidRPr="009C4B4D">
        <w:t xml:space="preserve"> List of </w:t>
      </w:r>
      <w:r w:rsidR="0034659F" w:rsidRPr="009C4B4D">
        <w:t>Individuals Interviewed</w:t>
      </w:r>
      <w:bookmarkEnd w:id="63"/>
    </w:p>
    <w:tbl>
      <w:tblPr>
        <w:tblStyle w:val="BlueTable"/>
        <w:tblW w:w="5003" w:type="pct"/>
        <w:tblInd w:w="-3" w:type="dxa"/>
        <w:tblLook w:val="06A0" w:firstRow="1" w:lastRow="0" w:firstColumn="1" w:lastColumn="0" w:noHBand="1" w:noVBand="1"/>
      </w:tblPr>
      <w:tblGrid>
        <w:gridCol w:w="2782"/>
        <w:gridCol w:w="3765"/>
        <w:gridCol w:w="2173"/>
        <w:gridCol w:w="958"/>
      </w:tblGrid>
      <w:tr w:rsidR="005A19E7" w:rsidRPr="008C075F" w14:paraId="60ACF73D" w14:textId="77777777" w:rsidTr="00BD540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82" w:type="dxa"/>
            <w:vAlign w:val="center"/>
          </w:tcPr>
          <w:p w14:paraId="6F0E2FF7" w14:textId="77777777" w:rsidR="00C2384C" w:rsidRPr="008C075F" w:rsidRDefault="005A19E7" w:rsidP="008C075F">
            <w:r w:rsidRPr="008C075F">
              <w:t>Stakeholder</w:t>
            </w:r>
            <w:r w:rsidR="00C2384C" w:rsidRPr="008C075F">
              <w:t xml:space="preserve"> </w:t>
            </w:r>
          </w:p>
          <w:p w14:paraId="7D2F685D" w14:textId="55A02D91" w:rsidR="005A19E7" w:rsidRPr="008C075F" w:rsidRDefault="005A19E7" w:rsidP="008C075F">
            <w:r w:rsidRPr="008C075F">
              <w:t>(SURNAME, First</w:t>
            </w:r>
            <w:r w:rsidR="00847546">
              <w:t xml:space="preserve"> </w:t>
            </w:r>
            <w:r w:rsidRPr="008C075F">
              <w:t>name)</w:t>
            </w:r>
          </w:p>
        </w:tc>
        <w:tc>
          <w:tcPr>
            <w:tcW w:w="3765" w:type="dxa"/>
            <w:vAlign w:val="center"/>
          </w:tcPr>
          <w:p w14:paraId="1EC3B2BF" w14:textId="7F14C467" w:rsidR="005A19E7" w:rsidRPr="008C075F" w:rsidRDefault="005A19E7" w:rsidP="00D75E44">
            <w:pPr>
              <w:jc w:val="center"/>
              <w:cnfStyle w:val="100000000000" w:firstRow="1" w:lastRow="0" w:firstColumn="0" w:lastColumn="0" w:oddVBand="0" w:evenVBand="0" w:oddHBand="0" w:evenHBand="0" w:firstRowFirstColumn="0" w:firstRowLastColumn="0" w:lastRowFirstColumn="0" w:lastRowLastColumn="0"/>
            </w:pPr>
            <w:r w:rsidRPr="008C075F">
              <w:t>Designation - Agency</w:t>
            </w:r>
          </w:p>
        </w:tc>
        <w:tc>
          <w:tcPr>
            <w:tcW w:w="2173" w:type="dxa"/>
            <w:vAlign w:val="center"/>
          </w:tcPr>
          <w:p w14:paraId="54ACFFB5" w14:textId="77777777" w:rsidR="005A19E7" w:rsidRPr="008C075F" w:rsidRDefault="005A19E7" w:rsidP="00D75E44">
            <w:pPr>
              <w:jc w:val="center"/>
              <w:cnfStyle w:val="100000000000" w:firstRow="1" w:lastRow="0" w:firstColumn="0" w:lastColumn="0" w:oddVBand="0" w:evenVBand="0" w:oddHBand="0" w:evenHBand="0" w:firstRowFirstColumn="0" w:firstRowLastColumn="0" w:lastRowFirstColumn="0" w:lastRowLastColumn="0"/>
            </w:pPr>
            <w:r w:rsidRPr="008C075F">
              <w:t>Method of Consultation</w:t>
            </w:r>
          </w:p>
        </w:tc>
        <w:tc>
          <w:tcPr>
            <w:tcW w:w="958" w:type="dxa"/>
            <w:vAlign w:val="center"/>
          </w:tcPr>
          <w:p w14:paraId="0BDAB70C" w14:textId="77777777" w:rsidR="005A19E7" w:rsidRPr="008C075F" w:rsidRDefault="005A19E7" w:rsidP="00CD665C">
            <w:pPr>
              <w:jc w:val="center"/>
              <w:cnfStyle w:val="100000000000" w:firstRow="1" w:lastRow="0" w:firstColumn="0" w:lastColumn="0" w:oddVBand="0" w:evenVBand="0" w:oddHBand="0" w:evenHBand="0" w:firstRowFirstColumn="0" w:firstRowLastColumn="0" w:lastRowFirstColumn="0" w:lastRowLastColumn="0"/>
            </w:pPr>
            <w:r w:rsidRPr="008C075F">
              <w:t>Sex</w:t>
            </w:r>
          </w:p>
        </w:tc>
      </w:tr>
      <w:tr w:rsidR="0076751F" w:rsidRPr="00AE7299" w14:paraId="1F76A0D0"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6DFD0A07" w14:textId="6C9C3F56" w:rsidR="0076751F" w:rsidRPr="00AE7299" w:rsidRDefault="0076751F" w:rsidP="0076751F">
            <w:r>
              <w:t xml:space="preserve">Target </w:t>
            </w:r>
            <w:r w:rsidR="001B639B">
              <w:t>R</w:t>
            </w:r>
            <w:r>
              <w:t>egions and Countries:</w:t>
            </w:r>
          </w:p>
        </w:tc>
      </w:tr>
      <w:tr w:rsidR="0076751F" w:rsidRPr="00AE7299" w14:paraId="4DBC47B3"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465BE064" w14:textId="713EC332" w:rsidR="0076751F" w:rsidRPr="00AE7299" w:rsidRDefault="0076751F" w:rsidP="00CD665C">
            <w:pPr>
              <w:jc w:val="center"/>
            </w:pPr>
            <w:r>
              <w:t>Africa</w:t>
            </w:r>
          </w:p>
        </w:tc>
      </w:tr>
      <w:tr w:rsidR="00AF71DC" w:rsidRPr="00AE7299" w14:paraId="05AA955D"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1B677328" w14:textId="77777777" w:rsidR="00AF71DC" w:rsidRPr="008F74D0" w:rsidRDefault="00AF71DC" w:rsidP="006E53D6">
            <w:r>
              <w:t>KOBYAGADA, Larba Issa</w:t>
            </w:r>
          </w:p>
        </w:tc>
        <w:tc>
          <w:tcPr>
            <w:tcW w:w="3765" w:type="dxa"/>
          </w:tcPr>
          <w:p w14:paraId="6AB99554" w14:textId="77777777" w:rsidR="00AF71DC" w:rsidRPr="00AE7299" w:rsidRDefault="00AF71DC" w:rsidP="006E53D6">
            <w:pPr>
              <w:spacing w:after="120"/>
              <w:cnfStyle w:val="000000000000" w:firstRow="0" w:lastRow="0" w:firstColumn="0" w:lastColumn="0" w:oddVBand="0" w:evenVBand="0" w:oddHBand="0" w:evenHBand="0" w:firstRowFirstColumn="0" w:firstRowLastColumn="0" w:lastRowFirstColumn="0" w:lastRowLastColumn="0"/>
              <w:rPr>
                <w:rFonts w:cs="Arial"/>
              </w:rPr>
            </w:pPr>
            <w:r w:rsidRPr="00AE7299">
              <w:rPr>
                <w:rFonts w:cs="Arial"/>
              </w:rPr>
              <w:t>General Director of Economy and Planning – Ministry of Economy / Chair of INNF National Steering Committee, Burkina Faso</w:t>
            </w:r>
          </w:p>
        </w:tc>
        <w:tc>
          <w:tcPr>
            <w:tcW w:w="2173" w:type="dxa"/>
          </w:tcPr>
          <w:p w14:paraId="6CA2A283" w14:textId="77777777" w:rsidR="00AF71DC" w:rsidRPr="00AE7299" w:rsidRDefault="00AF71DC"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3641641E" w14:textId="77777777" w:rsidR="00AF71DC" w:rsidRPr="00AE7299" w:rsidRDefault="00AF71DC"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FA5735" w:rsidRPr="00AE7299" w14:paraId="57C4E79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BF8F0AB" w14:textId="77777777" w:rsidR="00FA5735" w:rsidRPr="008F74D0" w:rsidRDefault="00FA5735" w:rsidP="006E53D6">
            <w:r w:rsidRPr="008F74D0">
              <w:t>SAVADOGO, Emmanuel</w:t>
            </w:r>
          </w:p>
        </w:tc>
        <w:tc>
          <w:tcPr>
            <w:tcW w:w="3765" w:type="dxa"/>
          </w:tcPr>
          <w:p w14:paraId="2835B98C" w14:textId="77777777" w:rsidR="00FA5735" w:rsidRPr="00AE7299" w:rsidRDefault="00FA5735" w:rsidP="006E53D6">
            <w:pPr>
              <w:cnfStyle w:val="000000000000" w:firstRow="0" w:lastRow="0" w:firstColumn="0" w:lastColumn="0" w:oddVBand="0" w:evenVBand="0" w:oddHBand="0" w:evenHBand="0" w:firstRowFirstColumn="0" w:firstRowLastColumn="0" w:lastRowFirstColumn="0" w:lastRowLastColumn="0"/>
            </w:pPr>
            <w:r w:rsidRPr="00AE7299">
              <w:t>Director of Monitoring and Evaluation of Public Investments –</w:t>
            </w:r>
            <w:r w:rsidRPr="00AE7299">
              <w:rPr>
                <w:rFonts w:cs="Arial"/>
              </w:rPr>
              <w:t>Ministry of Economy, Burkina Faso</w:t>
            </w:r>
          </w:p>
        </w:tc>
        <w:tc>
          <w:tcPr>
            <w:tcW w:w="2173" w:type="dxa"/>
          </w:tcPr>
          <w:p w14:paraId="301BF924" w14:textId="77777777" w:rsidR="00FA5735" w:rsidRPr="00AE7299" w:rsidRDefault="00FA5735"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3C31A648" w14:textId="77777777" w:rsidR="00FA5735" w:rsidRPr="00AE7299" w:rsidRDefault="00FA5735"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EE11A1" w:rsidRPr="00AE7299" w14:paraId="426AE71C"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56F2F26" w14:textId="77777777" w:rsidR="00EE11A1" w:rsidRPr="008F74D0" w:rsidRDefault="00EE11A1" w:rsidP="006E53D6">
            <w:r w:rsidRPr="008F74D0">
              <w:t>MUDENDA, Collins</w:t>
            </w:r>
          </w:p>
        </w:tc>
        <w:tc>
          <w:tcPr>
            <w:tcW w:w="3765" w:type="dxa"/>
          </w:tcPr>
          <w:p w14:paraId="2570BA12" w14:textId="77777777" w:rsidR="00EE11A1" w:rsidRPr="00AE7299" w:rsidRDefault="00EE11A1"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Public-Private Partnership –Ministry of Finance and National Planning, Zambia</w:t>
            </w:r>
          </w:p>
        </w:tc>
        <w:tc>
          <w:tcPr>
            <w:tcW w:w="2173" w:type="dxa"/>
          </w:tcPr>
          <w:p w14:paraId="709F0247" w14:textId="77777777" w:rsidR="00EE11A1" w:rsidRPr="00AE7299" w:rsidRDefault="00EE11A1"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1F275169" w14:textId="77777777" w:rsidR="00EE11A1" w:rsidRPr="00AE7299" w:rsidRDefault="00EE11A1"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DD7286" w:rsidRPr="00AE7299" w14:paraId="607EC6BD"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56C862AF" w14:textId="02D5BA03" w:rsidR="00DD7286" w:rsidRPr="00DD7286" w:rsidRDefault="00DD7286" w:rsidP="00CD665C">
            <w:pPr>
              <w:jc w:val="center"/>
            </w:pPr>
            <w:r w:rsidRPr="00DD7286">
              <w:rPr>
                <w:lang w:eastAsia="en-CA"/>
              </w:rPr>
              <w:t>Asia and the Pacific</w:t>
            </w:r>
          </w:p>
        </w:tc>
      </w:tr>
      <w:tr w:rsidR="008175C0" w:rsidRPr="00AE7299" w14:paraId="2940DD7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28DF7A6D" w14:textId="77777777" w:rsidR="008175C0" w:rsidRPr="008F74D0" w:rsidRDefault="008175C0" w:rsidP="006E53D6">
            <w:r w:rsidRPr="008F74D0">
              <w:t>MAIAVA, Iosefa</w:t>
            </w:r>
          </w:p>
        </w:tc>
        <w:tc>
          <w:tcPr>
            <w:tcW w:w="3765" w:type="dxa"/>
          </w:tcPr>
          <w:p w14:paraId="20686DBC" w14:textId="228486BF" w:rsidR="008175C0" w:rsidRPr="00AE7299" w:rsidRDefault="008175C0" w:rsidP="006E53D6">
            <w:pPr>
              <w:cnfStyle w:val="000000000000" w:firstRow="0" w:lastRow="0" w:firstColumn="0" w:lastColumn="0" w:oddVBand="0" w:evenVBand="0" w:oddHBand="0" w:evenHBand="0" w:firstRowFirstColumn="0" w:firstRowLastColumn="0" w:lastRowFirstColumn="0" w:lastRowLastColumn="0"/>
            </w:pPr>
            <w:r w:rsidRPr="00AE7299">
              <w:rPr>
                <w:rFonts w:cs="Arial"/>
              </w:rPr>
              <w:t>Consultant</w:t>
            </w:r>
            <w:r>
              <w:rPr>
                <w:rFonts w:cs="Arial"/>
              </w:rPr>
              <w:t>, Samoa</w:t>
            </w:r>
            <w:r w:rsidRPr="00AE7299">
              <w:rPr>
                <w:rFonts w:cs="Arial"/>
              </w:rPr>
              <w:t>/ Former Head – United Nations Economic and Social Commission for Asia and the Pacific (UNESCAP) Sub-Regional Office for the Pacific</w:t>
            </w:r>
          </w:p>
        </w:tc>
        <w:tc>
          <w:tcPr>
            <w:tcW w:w="2173" w:type="dxa"/>
          </w:tcPr>
          <w:p w14:paraId="6146795F" w14:textId="77777777" w:rsidR="008175C0" w:rsidRPr="00AE7299" w:rsidRDefault="008175C0"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67AB1491" w14:textId="77777777" w:rsidR="008175C0" w:rsidRPr="00AE7299" w:rsidRDefault="008175C0"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2E27A6" w:rsidRPr="00AE7299" w14:paraId="706CE1C1"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274C87FE" w14:textId="77777777" w:rsidR="002E27A6" w:rsidRPr="008F74D0" w:rsidRDefault="002E27A6" w:rsidP="006E53D6">
            <w:r w:rsidRPr="008F74D0">
              <w:t>SAIF, Haneen</w:t>
            </w:r>
          </w:p>
        </w:tc>
        <w:tc>
          <w:tcPr>
            <w:tcW w:w="3765" w:type="dxa"/>
          </w:tcPr>
          <w:p w14:paraId="3E09DF29" w14:textId="77777777" w:rsidR="002E27A6" w:rsidRPr="00AE7299" w:rsidRDefault="002E27A6" w:rsidP="006E53D6">
            <w:pPr>
              <w:cnfStyle w:val="000000000000" w:firstRow="0" w:lastRow="0" w:firstColumn="0" w:lastColumn="0" w:oddVBand="0" w:evenVBand="0" w:oddHBand="0" w:evenHBand="0" w:firstRowFirstColumn="0" w:firstRowLastColumn="0" w:lastRowFirstColumn="0" w:lastRowLastColumn="0"/>
            </w:pPr>
            <w:r w:rsidRPr="00AE7299">
              <w:t xml:space="preserve">Special Assistant to the Director General (Information Technology and Digital Transformation/ Second Secretary, Data Governance and Management </w:t>
            </w:r>
            <w:r>
              <w:t>–</w:t>
            </w:r>
            <w:r w:rsidRPr="00AE7299">
              <w:t xml:space="preserve"> </w:t>
            </w:r>
            <w:r w:rsidRPr="00AE7299">
              <w:rPr>
                <w:rFonts w:cs="Arial"/>
              </w:rPr>
              <w:t>Federal Board of Revenue, Pakistan</w:t>
            </w:r>
          </w:p>
        </w:tc>
        <w:tc>
          <w:tcPr>
            <w:tcW w:w="2173" w:type="dxa"/>
          </w:tcPr>
          <w:p w14:paraId="1BC2F11A" w14:textId="77777777" w:rsidR="002E27A6" w:rsidRPr="00AE7299" w:rsidRDefault="002E27A6"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20A837AE" w14:textId="77777777" w:rsidR="002E27A6" w:rsidRPr="00AE7299" w:rsidRDefault="002E27A6"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E27A6" w:rsidRPr="00AE7299" w14:paraId="2D5EFD78"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6E0D01F4" w14:textId="77777777" w:rsidR="002E27A6" w:rsidRPr="008F74D0" w:rsidRDefault="002E27A6" w:rsidP="006E53D6">
            <w:r w:rsidRPr="008F74D0">
              <w:t>UQAILY, Abdul Wahid</w:t>
            </w:r>
          </w:p>
        </w:tc>
        <w:tc>
          <w:tcPr>
            <w:tcW w:w="3765" w:type="dxa"/>
          </w:tcPr>
          <w:p w14:paraId="0410DF63" w14:textId="77777777" w:rsidR="002E27A6" w:rsidRPr="00AE7299" w:rsidRDefault="002E27A6" w:rsidP="006E53D6">
            <w:pPr>
              <w:cnfStyle w:val="000000000000" w:firstRow="0" w:lastRow="0" w:firstColumn="0" w:lastColumn="0" w:oddVBand="0" w:evenVBand="0" w:oddHBand="0" w:evenHBand="0" w:firstRowFirstColumn="0" w:firstRowLastColumn="0" w:lastRowFirstColumn="0" w:lastRowLastColumn="0"/>
            </w:pPr>
            <w:r w:rsidRPr="00AE7299">
              <w:t>Chief Commission, Inland Revenue – Federal Board of Revenue, Pakistan</w:t>
            </w:r>
          </w:p>
        </w:tc>
        <w:tc>
          <w:tcPr>
            <w:tcW w:w="2173" w:type="dxa"/>
          </w:tcPr>
          <w:p w14:paraId="16568241" w14:textId="77777777" w:rsidR="002E27A6" w:rsidRPr="00AE7299" w:rsidRDefault="002E27A6"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0FCFAE50" w14:textId="77777777" w:rsidR="002E27A6" w:rsidRPr="00AE7299" w:rsidRDefault="002E27A6"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830B9" w:rsidRPr="00AE7299" w14:paraId="47F2F6A3"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1D510329" w14:textId="606E96C0" w:rsidR="006830B9" w:rsidRPr="00AE7299" w:rsidRDefault="006830B9" w:rsidP="00CD665C">
            <w:pPr>
              <w:jc w:val="center"/>
            </w:pPr>
            <w:r>
              <w:rPr>
                <w:lang w:eastAsia="en-CA"/>
              </w:rPr>
              <w:t>Europe</w:t>
            </w:r>
          </w:p>
        </w:tc>
      </w:tr>
      <w:tr w:rsidR="00AF71DC" w:rsidRPr="00AE7299" w14:paraId="4EA1E4C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73C988EF" w14:textId="77777777" w:rsidR="00AF71DC" w:rsidRPr="008F74D0" w:rsidRDefault="00AF71DC" w:rsidP="006E53D6">
            <w:r w:rsidRPr="008F74D0">
              <w:t>CHIZHIK, Tatyana</w:t>
            </w:r>
          </w:p>
        </w:tc>
        <w:tc>
          <w:tcPr>
            <w:tcW w:w="3765" w:type="dxa"/>
          </w:tcPr>
          <w:p w14:paraId="15973CC7" w14:textId="77777777" w:rsidR="00AF71DC" w:rsidRPr="00AE7299" w:rsidRDefault="00AF71DC" w:rsidP="006E53D6">
            <w:pPr>
              <w:cnfStyle w:val="000000000000" w:firstRow="0" w:lastRow="0" w:firstColumn="0" w:lastColumn="0" w:oddVBand="0" w:evenVBand="0" w:oddHBand="0" w:evenHBand="0" w:firstRowFirstColumn="0" w:firstRowLastColumn="0" w:lastRowFirstColumn="0" w:lastRowLastColumn="0"/>
            </w:pPr>
            <w:r w:rsidRPr="00AE7299">
              <w:rPr>
                <w:rFonts w:cs="Arial"/>
              </w:rPr>
              <w:t>Head of the Public-Private Partnership Centre – Belarus</w:t>
            </w:r>
          </w:p>
        </w:tc>
        <w:tc>
          <w:tcPr>
            <w:tcW w:w="2173" w:type="dxa"/>
          </w:tcPr>
          <w:p w14:paraId="66034CD2" w14:textId="77777777" w:rsidR="00AF71DC" w:rsidRPr="00AE7299" w:rsidRDefault="00AF71DC"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27A70CC7" w14:textId="77777777" w:rsidR="00AF71DC" w:rsidRPr="00AE7299" w:rsidRDefault="00AF71DC"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349CF" w:rsidRPr="00AE7299" w14:paraId="6B494B6B"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0CEE9C1E" w14:textId="77777777" w:rsidR="002349CF" w:rsidRPr="008F74D0" w:rsidRDefault="002349CF" w:rsidP="006E53D6">
            <w:r w:rsidRPr="008F74D0">
              <w:t>KURUMBAEV, Sultan</w:t>
            </w:r>
          </w:p>
        </w:tc>
        <w:tc>
          <w:tcPr>
            <w:tcW w:w="3765" w:type="dxa"/>
          </w:tcPr>
          <w:p w14:paraId="38E7ED23" w14:textId="2C7299D3" w:rsidR="002349CF" w:rsidRPr="00AE7299" w:rsidRDefault="002349CF"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Public-Private Partnership Specialist – Public-Private Partnership, Kyrgyz</w:t>
            </w:r>
            <w:r w:rsidR="004539D5">
              <w:rPr>
                <w:rFonts w:cs="Arial"/>
              </w:rPr>
              <w:t>stan</w:t>
            </w:r>
          </w:p>
        </w:tc>
        <w:tc>
          <w:tcPr>
            <w:tcW w:w="2173" w:type="dxa"/>
          </w:tcPr>
          <w:p w14:paraId="34812112" w14:textId="77777777"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58DE82B5" w14:textId="77777777" w:rsidR="002349CF" w:rsidRPr="00AE7299" w:rsidRDefault="002349CF"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830B9" w:rsidRPr="00AE7299" w14:paraId="64A478E2"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7FDD376E" w14:textId="33125DD5" w:rsidR="006830B9" w:rsidRPr="00AE7299" w:rsidRDefault="006830B9" w:rsidP="00CD665C">
            <w:pPr>
              <w:jc w:val="center"/>
            </w:pPr>
            <w:r>
              <w:rPr>
                <w:lang w:eastAsia="en-CA"/>
              </w:rPr>
              <w:t>Latin America and the Caribbean</w:t>
            </w:r>
          </w:p>
        </w:tc>
      </w:tr>
      <w:tr w:rsidR="006830B9" w:rsidRPr="00AE7299" w14:paraId="462E6B45"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3535F3B" w14:textId="77777777" w:rsidR="006830B9" w:rsidRPr="008F74D0" w:rsidRDefault="006830B9" w:rsidP="006E53D6">
            <w:r w:rsidRPr="008F74D0">
              <w:t>SOTO, Ariel Barrantes</w:t>
            </w:r>
          </w:p>
        </w:tc>
        <w:tc>
          <w:tcPr>
            <w:tcW w:w="3765" w:type="dxa"/>
          </w:tcPr>
          <w:p w14:paraId="40792C41" w14:textId="77777777" w:rsidR="006830B9" w:rsidRPr="00AE7299" w:rsidRDefault="006830B9"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General Director of Public Debt Management – Ministry of Finance, Costa Rica</w:t>
            </w:r>
          </w:p>
        </w:tc>
        <w:tc>
          <w:tcPr>
            <w:tcW w:w="2173" w:type="dxa"/>
          </w:tcPr>
          <w:p w14:paraId="03A3A0F2" w14:textId="77777777" w:rsidR="006830B9" w:rsidRPr="00AE7299" w:rsidRDefault="006830B9"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37620389" w14:textId="77777777" w:rsidR="006830B9" w:rsidRPr="00AE7299" w:rsidRDefault="006830B9"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830B9" w:rsidRPr="00AE7299" w14:paraId="2428121F"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7DD6215C" w14:textId="77777777" w:rsidR="006830B9" w:rsidRPr="008F74D0" w:rsidRDefault="006830B9" w:rsidP="006E53D6">
            <w:r w:rsidRPr="008F74D0">
              <w:t>SOTO</w:t>
            </w:r>
            <w:r>
              <w:t xml:space="preserve"> VELOZ</w:t>
            </w:r>
            <w:r w:rsidRPr="008F74D0">
              <w:t>, Perla</w:t>
            </w:r>
          </w:p>
        </w:tc>
        <w:tc>
          <w:tcPr>
            <w:tcW w:w="3765" w:type="dxa"/>
          </w:tcPr>
          <w:p w14:paraId="1ACACAD3" w14:textId="77777777" w:rsidR="006830B9" w:rsidRPr="00AE7299" w:rsidRDefault="006830B9" w:rsidP="006E53D6">
            <w:pPr>
              <w:cnfStyle w:val="000000000000" w:firstRow="0" w:lastRow="0" w:firstColumn="0" w:lastColumn="0" w:oddVBand="0" w:evenVBand="0" w:oddHBand="0" w:evenHBand="0" w:firstRowFirstColumn="0" w:firstRowLastColumn="0" w:lastRowFirstColumn="0" w:lastRowLastColumn="0"/>
            </w:pPr>
            <w:r w:rsidRPr="00AE7299">
              <w:rPr>
                <w:rFonts w:cs="Arial"/>
              </w:rPr>
              <w:t>Head, Sustainable Development Department – Ministry of Economics, Planning and Development, Dominican Republic</w:t>
            </w:r>
          </w:p>
        </w:tc>
        <w:tc>
          <w:tcPr>
            <w:tcW w:w="2173" w:type="dxa"/>
          </w:tcPr>
          <w:p w14:paraId="70D3B2A0" w14:textId="77777777" w:rsidR="006830B9" w:rsidRPr="00AE7299" w:rsidRDefault="006830B9"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0478AA40" w14:textId="77777777" w:rsidR="006830B9" w:rsidRPr="00AE7299" w:rsidRDefault="006830B9"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349CF" w:rsidRPr="00AE7299" w14:paraId="2DAA2544"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66D8FE8C" w14:textId="64B7D7C4" w:rsidR="002349CF" w:rsidRPr="00AE7299" w:rsidRDefault="002349CF" w:rsidP="00CD665C">
            <w:pPr>
              <w:jc w:val="center"/>
            </w:pPr>
            <w:r>
              <w:rPr>
                <w:lang w:eastAsia="en-CA"/>
              </w:rPr>
              <w:t>Western Asia</w:t>
            </w:r>
          </w:p>
        </w:tc>
      </w:tr>
      <w:tr w:rsidR="00AF71DC" w:rsidRPr="00AE7299" w14:paraId="650FF3F0"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032A3815" w14:textId="77777777" w:rsidR="00AF71DC" w:rsidRPr="008F74D0" w:rsidRDefault="00AF71DC" w:rsidP="006E53D6">
            <w:r w:rsidRPr="008F74D0">
              <w:t>ESSAM, Mona</w:t>
            </w:r>
          </w:p>
        </w:tc>
        <w:tc>
          <w:tcPr>
            <w:tcW w:w="3765" w:type="dxa"/>
          </w:tcPr>
          <w:p w14:paraId="05B61ED3" w14:textId="77777777" w:rsidR="00AF71DC" w:rsidRPr="00AE7299" w:rsidRDefault="00AF71DC"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 xml:space="preserve">Assistant Minister for Sustainable Development – Ministry of Planning  </w:t>
            </w:r>
            <w:r w:rsidRPr="00AE7299">
              <w:rPr>
                <w:rFonts w:cs="Arial"/>
              </w:rPr>
              <w:lastRenderedPageBreak/>
              <w:t>Economic Development and International Cooperation, Egypt</w:t>
            </w:r>
          </w:p>
        </w:tc>
        <w:tc>
          <w:tcPr>
            <w:tcW w:w="2173" w:type="dxa"/>
          </w:tcPr>
          <w:p w14:paraId="36C94A0A" w14:textId="77777777" w:rsidR="00AF71DC" w:rsidRPr="00AE7299" w:rsidRDefault="00AF71DC" w:rsidP="006E53D6">
            <w:pPr>
              <w:cnfStyle w:val="000000000000" w:firstRow="0" w:lastRow="0" w:firstColumn="0" w:lastColumn="0" w:oddVBand="0" w:evenVBand="0" w:oddHBand="0" w:evenHBand="0" w:firstRowFirstColumn="0" w:firstRowLastColumn="0" w:lastRowFirstColumn="0" w:lastRowLastColumn="0"/>
            </w:pPr>
            <w:r w:rsidRPr="00AE7299">
              <w:lastRenderedPageBreak/>
              <w:t>Individual interview</w:t>
            </w:r>
          </w:p>
        </w:tc>
        <w:tc>
          <w:tcPr>
            <w:tcW w:w="958" w:type="dxa"/>
          </w:tcPr>
          <w:p w14:paraId="632A33BE" w14:textId="77777777" w:rsidR="00AF71DC" w:rsidRPr="00AE7299" w:rsidRDefault="00AF71DC"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349CF" w:rsidRPr="00AE7299" w14:paraId="42DA0397"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BB493C1" w14:textId="77777777" w:rsidR="002349CF" w:rsidRPr="008F74D0" w:rsidRDefault="002349CF" w:rsidP="006E53D6">
            <w:r w:rsidRPr="008F74D0">
              <w:t>MAHMOUD, Mariam</w:t>
            </w:r>
          </w:p>
        </w:tc>
        <w:tc>
          <w:tcPr>
            <w:tcW w:w="3765" w:type="dxa"/>
          </w:tcPr>
          <w:p w14:paraId="199517FA" w14:textId="723B52E9"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 xml:space="preserve">Senior Economic Researcher – </w:t>
            </w:r>
            <w:r w:rsidRPr="00AE7299">
              <w:rPr>
                <w:rFonts w:cs="Arial"/>
              </w:rPr>
              <w:t>Ministry of Planning Economic Development and International Cooperation</w:t>
            </w:r>
            <w:r>
              <w:rPr>
                <w:rFonts w:cs="Arial"/>
              </w:rPr>
              <w:t xml:space="preserve">, </w:t>
            </w:r>
            <w:r w:rsidR="005D2A18">
              <w:rPr>
                <w:rFonts w:cs="Arial"/>
              </w:rPr>
              <w:t>Egypt</w:t>
            </w:r>
          </w:p>
        </w:tc>
        <w:tc>
          <w:tcPr>
            <w:tcW w:w="2173" w:type="dxa"/>
          </w:tcPr>
          <w:p w14:paraId="07C58287" w14:textId="77777777"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3F2D2B11" w14:textId="77777777" w:rsidR="002349CF" w:rsidRPr="00AE7299" w:rsidRDefault="002349CF"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2349CF" w:rsidRPr="00AE7299" w14:paraId="75F1574B"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7D22E8A2" w14:textId="77777777" w:rsidR="002349CF" w:rsidRPr="008F74D0" w:rsidRDefault="002349CF" w:rsidP="006E53D6">
            <w:r w:rsidRPr="000C6229">
              <w:t>NAWWAR, Aya</w:t>
            </w:r>
          </w:p>
        </w:tc>
        <w:tc>
          <w:tcPr>
            <w:tcW w:w="3765" w:type="dxa"/>
          </w:tcPr>
          <w:p w14:paraId="3F439520" w14:textId="77777777"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 xml:space="preserve">Deputy Head, Sustainable Development Unit – </w:t>
            </w:r>
            <w:r w:rsidRPr="00AE7299">
              <w:rPr>
                <w:rFonts w:cs="Arial"/>
              </w:rPr>
              <w:t>Ministry of Planning Economic Development and International Cooperation</w:t>
            </w:r>
            <w:r>
              <w:rPr>
                <w:rFonts w:cs="Arial"/>
              </w:rPr>
              <w:t>, Egypt</w:t>
            </w:r>
          </w:p>
        </w:tc>
        <w:tc>
          <w:tcPr>
            <w:tcW w:w="2173" w:type="dxa"/>
          </w:tcPr>
          <w:p w14:paraId="1EBCB349" w14:textId="77777777" w:rsidR="002349CF" w:rsidRPr="00AE7299" w:rsidRDefault="002349CF"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4836B602" w14:textId="77777777" w:rsidR="002349CF" w:rsidRPr="00AE7299" w:rsidRDefault="002349CF"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4539D5" w:rsidRPr="00AE7299" w14:paraId="59F2D0D1"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B255493" w14:textId="77777777" w:rsidR="004539D5" w:rsidRPr="008F74D0" w:rsidRDefault="004539D5" w:rsidP="006E53D6">
            <w:bookmarkStart w:id="64" w:name="_Hlk181190607"/>
            <w:r w:rsidRPr="008F74D0">
              <w:t>YACOUB, Nada</w:t>
            </w:r>
          </w:p>
        </w:tc>
        <w:tc>
          <w:tcPr>
            <w:tcW w:w="3765" w:type="dxa"/>
          </w:tcPr>
          <w:p w14:paraId="422A7B0C" w14:textId="77777777" w:rsidR="004539D5" w:rsidRPr="00AE7299" w:rsidRDefault="004539D5" w:rsidP="006E53D6">
            <w:pPr>
              <w:spacing w:after="120"/>
              <w:cnfStyle w:val="000000000000" w:firstRow="0" w:lastRow="0" w:firstColumn="0" w:lastColumn="0" w:oddVBand="0" w:evenVBand="0" w:oddHBand="0" w:evenHBand="0" w:firstRowFirstColumn="0" w:firstRowLastColumn="0" w:lastRowFirstColumn="0" w:lastRowLastColumn="0"/>
            </w:pPr>
            <w:r w:rsidRPr="00AE7299">
              <w:t xml:space="preserve">Senior Economic Researcher – </w:t>
            </w:r>
            <w:r w:rsidRPr="00AE7299">
              <w:rPr>
                <w:rFonts w:cs="Arial"/>
              </w:rPr>
              <w:t>Ministry of Planning Economic Development and International Cooperation</w:t>
            </w:r>
            <w:r>
              <w:rPr>
                <w:rFonts w:cs="Arial"/>
              </w:rPr>
              <w:t>, Egypt</w:t>
            </w:r>
          </w:p>
        </w:tc>
        <w:tc>
          <w:tcPr>
            <w:tcW w:w="2173" w:type="dxa"/>
          </w:tcPr>
          <w:p w14:paraId="72BF478F" w14:textId="77777777" w:rsidR="004539D5" w:rsidRPr="00AE7299" w:rsidRDefault="004539D5" w:rsidP="006E53D6">
            <w:pPr>
              <w:cnfStyle w:val="000000000000" w:firstRow="0" w:lastRow="0" w:firstColumn="0" w:lastColumn="0" w:oddVBand="0" w:evenVBand="0" w:oddHBand="0" w:evenHBand="0" w:firstRowFirstColumn="0" w:firstRowLastColumn="0" w:lastRowFirstColumn="0" w:lastRowLastColumn="0"/>
              <w:rPr>
                <w:b/>
                <w:bCs/>
              </w:rPr>
            </w:pPr>
            <w:r w:rsidRPr="00AE7299">
              <w:t>Small-group interview</w:t>
            </w:r>
          </w:p>
        </w:tc>
        <w:tc>
          <w:tcPr>
            <w:tcW w:w="958" w:type="dxa"/>
          </w:tcPr>
          <w:p w14:paraId="2F292EBD" w14:textId="77777777" w:rsidR="004539D5" w:rsidRPr="00AE7299" w:rsidRDefault="004539D5"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bookmarkEnd w:id="64"/>
      <w:tr w:rsidR="009209CF" w:rsidRPr="00AE7299" w14:paraId="657642A9"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4ADB9880" w14:textId="509059BE" w:rsidR="009209CF" w:rsidRPr="00AE7299" w:rsidRDefault="009209CF" w:rsidP="009209CF">
            <w:r>
              <w:t>Executing Entities:</w:t>
            </w:r>
          </w:p>
        </w:tc>
      </w:tr>
      <w:tr w:rsidR="0071737C" w:rsidRPr="00AE7299" w14:paraId="6B2979A1"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14931F6E" w14:textId="7B49DB85" w:rsidR="0071737C" w:rsidRPr="0071737C" w:rsidRDefault="0071737C" w:rsidP="00CD665C">
            <w:pPr>
              <w:jc w:val="center"/>
            </w:pPr>
            <w:r w:rsidRPr="0071737C">
              <w:rPr>
                <w:lang w:eastAsia="en-CA"/>
              </w:rPr>
              <w:t>UNDESA</w:t>
            </w:r>
          </w:p>
        </w:tc>
      </w:tr>
      <w:tr w:rsidR="004D7DFF" w:rsidRPr="00AE7299" w14:paraId="658D0FEA"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D6909AC" w14:textId="77777777" w:rsidR="004D7DFF" w:rsidRPr="008F74D0" w:rsidRDefault="004D7DFF" w:rsidP="006E53D6">
            <w:r w:rsidRPr="008F74D0">
              <w:t>KATAFONO, Resina</w:t>
            </w:r>
          </w:p>
        </w:tc>
        <w:tc>
          <w:tcPr>
            <w:tcW w:w="3765" w:type="dxa"/>
          </w:tcPr>
          <w:p w14:paraId="21A4FD9A" w14:textId="77777777" w:rsidR="004D7DFF" w:rsidRPr="00974356" w:rsidRDefault="004D7DFF" w:rsidP="006E53D6">
            <w:pPr>
              <w:cnfStyle w:val="000000000000" w:firstRow="0" w:lastRow="0" w:firstColumn="0" w:lastColumn="0" w:oddVBand="0" w:evenVBand="0" w:oddHBand="0" w:evenHBand="0" w:firstRowFirstColumn="0" w:firstRowLastColumn="0" w:lastRowFirstColumn="0" w:lastRowLastColumn="0"/>
              <w:rPr>
                <w:lang w:eastAsia="en-CA"/>
              </w:rPr>
            </w:pPr>
            <w:r w:rsidRPr="00974356">
              <w:rPr>
                <w:lang w:eastAsia="en-CA"/>
              </w:rPr>
              <w:t xml:space="preserve">Interregional Adviser on Financing for Sustainable Development – </w:t>
            </w:r>
            <w:r w:rsidRPr="00974356">
              <w:rPr>
                <w:rFonts w:cstheme="minorHAnsi"/>
              </w:rPr>
              <w:t>United Nations</w:t>
            </w:r>
            <w:r w:rsidRPr="00974356">
              <w:rPr>
                <w:rFonts w:cstheme="minorHAnsi"/>
                <w:spacing w:val="-10"/>
              </w:rPr>
              <w:t xml:space="preserve"> </w:t>
            </w:r>
            <w:r w:rsidRPr="00974356">
              <w:rPr>
                <w:rFonts w:cstheme="minorHAnsi"/>
              </w:rPr>
              <w:t>Department</w:t>
            </w:r>
            <w:r w:rsidRPr="00974356">
              <w:rPr>
                <w:rFonts w:cstheme="minorHAnsi"/>
                <w:spacing w:val="-12"/>
              </w:rPr>
              <w:t xml:space="preserve"> </w:t>
            </w:r>
            <w:r w:rsidRPr="00974356">
              <w:rPr>
                <w:rFonts w:cstheme="minorHAnsi"/>
              </w:rPr>
              <w:t>of</w:t>
            </w:r>
            <w:r w:rsidRPr="00974356">
              <w:rPr>
                <w:rFonts w:cstheme="minorHAnsi"/>
                <w:spacing w:val="-11"/>
              </w:rPr>
              <w:t xml:space="preserve"> </w:t>
            </w:r>
            <w:r w:rsidRPr="00974356">
              <w:rPr>
                <w:rFonts w:cstheme="minorHAnsi"/>
              </w:rPr>
              <w:t>Economic</w:t>
            </w:r>
            <w:r w:rsidRPr="00974356">
              <w:rPr>
                <w:rFonts w:cstheme="minorHAnsi"/>
                <w:spacing w:val="-13"/>
              </w:rPr>
              <w:t xml:space="preserve"> </w:t>
            </w:r>
            <w:r w:rsidRPr="00974356">
              <w:rPr>
                <w:rFonts w:cstheme="minorHAnsi"/>
              </w:rPr>
              <w:t>and</w:t>
            </w:r>
            <w:r w:rsidRPr="00974356">
              <w:rPr>
                <w:rFonts w:cstheme="minorHAnsi"/>
                <w:spacing w:val="-11"/>
              </w:rPr>
              <w:t xml:space="preserve"> </w:t>
            </w:r>
            <w:r w:rsidRPr="00974356">
              <w:rPr>
                <w:rFonts w:cstheme="minorHAnsi"/>
              </w:rPr>
              <w:t>Social</w:t>
            </w:r>
            <w:r w:rsidRPr="00974356">
              <w:rPr>
                <w:rFonts w:cstheme="minorHAnsi"/>
                <w:spacing w:val="-8"/>
              </w:rPr>
              <w:t xml:space="preserve"> </w:t>
            </w:r>
            <w:r w:rsidRPr="00974356">
              <w:rPr>
                <w:rFonts w:cstheme="minorHAnsi"/>
              </w:rPr>
              <w:t>Affairs, Financing for Sustainable Development Office</w:t>
            </w:r>
          </w:p>
        </w:tc>
        <w:tc>
          <w:tcPr>
            <w:tcW w:w="2173" w:type="dxa"/>
          </w:tcPr>
          <w:p w14:paraId="51A1C8EC"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rPr>
                <w:rFonts w:eastAsia="Calibri"/>
              </w:rPr>
            </w:pPr>
            <w:r w:rsidRPr="00AE7299">
              <w:t>Small-group interview</w:t>
            </w:r>
          </w:p>
        </w:tc>
        <w:tc>
          <w:tcPr>
            <w:tcW w:w="958" w:type="dxa"/>
          </w:tcPr>
          <w:p w14:paraId="46A5E69E" w14:textId="77777777" w:rsidR="004D7DFF" w:rsidRPr="00AE7299" w:rsidRDefault="004D7DFF"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4D7DFF" w:rsidRPr="00AE7299" w14:paraId="7487E4AC"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0933C409" w14:textId="77777777" w:rsidR="004D7DFF" w:rsidRPr="008F74D0" w:rsidRDefault="004D7DFF" w:rsidP="006E53D6">
            <w:r>
              <w:t>KASOKA, Naomi</w:t>
            </w:r>
          </w:p>
        </w:tc>
        <w:tc>
          <w:tcPr>
            <w:tcW w:w="3765" w:type="dxa"/>
          </w:tcPr>
          <w:p w14:paraId="21F439DB" w14:textId="77777777" w:rsidR="004D7DFF" w:rsidRPr="00974356" w:rsidRDefault="004D7DFF" w:rsidP="006E53D6">
            <w:pPr>
              <w:cnfStyle w:val="000000000000" w:firstRow="0" w:lastRow="0" w:firstColumn="0" w:lastColumn="0" w:oddVBand="0" w:evenVBand="0" w:oddHBand="0" w:evenHBand="0" w:firstRowFirstColumn="0" w:firstRowLastColumn="0" w:lastRowFirstColumn="0" w:lastRowLastColumn="0"/>
              <w:rPr>
                <w:lang w:eastAsia="en-CA"/>
              </w:rPr>
            </w:pPr>
            <w:r w:rsidRPr="00974356">
              <w:rPr>
                <w:lang w:eastAsia="en-CA"/>
              </w:rPr>
              <w:t xml:space="preserve">Finance and Budget Officer, Resource Planning, Monitoring and Compliance Section – </w:t>
            </w:r>
            <w:r w:rsidRPr="00974356">
              <w:rPr>
                <w:rFonts w:cstheme="minorHAnsi"/>
              </w:rPr>
              <w:t>United Nations</w:t>
            </w:r>
            <w:r w:rsidRPr="00974356">
              <w:rPr>
                <w:rFonts w:cstheme="minorHAnsi"/>
                <w:spacing w:val="-10"/>
              </w:rPr>
              <w:t xml:space="preserve"> </w:t>
            </w:r>
            <w:r w:rsidRPr="00974356">
              <w:rPr>
                <w:rFonts w:cstheme="minorHAnsi"/>
              </w:rPr>
              <w:t>Department</w:t>
            </w:r>
            <w:r w:rsidRPr="00974356">
              <w:rPr>
                <w:rFonts w:cstheme="minorHAnsi"/>
                <w:spacing w:val="-12"/>
              </w:rPr>
              <w:t xml:space="preserve"> </w:t>
            </w:r>
            <w:r w:rsidRPr="00974356">
              <w:rPr>
                <w:rFonts w:cstheme="minorHAnsi"/>
              </w:rPr>
              <w:t>of</w:t>
            </w:r>
            <w:r w:rsidRPr="00974356">
              <w:rPr>
                <w:rFonts w:cstheme="minorHAnsi"/>
                <w:spacing w:val="-11"/>
              </w:rPr>
              <w:t xml:space="preserve"> </w:t>
            </w:r>
            <w:r w:rsidRPr="00974356">
              <w:rPr>
                <w:rFonts w:cstheme="minorHAnsi"/>
              </w:rPr>
              <w:t>Economic</w:t>
            </w:r>
            <w:r w:rsidRPr="00974356">
              <w:rPr>
                <w:rFonts w:cstheme="minorHAnsi"/>
                <w:spacing w:val="-13"/>
              </w:rPr>
              <w:t xml:space="preserve"> </w:t>
            </w:r>
            <w:r w:rsidRPr="00974356">
              <w:rPr>
                <w:rFonts w:cstheme="minorHAnsi"/>
              </w:rPr>
              <w:t>and</w:t>
            </w:r>
            <w:r w:rsidRPr="00974356">
              <w:rPr>
                <w:rFonts w:cstheme="minorHAnsi"/>
                <w:spacing w:val="-11"/>
              </w:rPr>
              <w:t xml:space="preserve"> </w:t>
            </w:r>
            <w:r w:rsidRPr="00974356">
              <w:rPr>
                <w:rFonts w:cstheme="minorHAnsi"/>
              </w:rPr>
              <w:t>Social</w:t>
            </w:r>
            <w:r w:rsidRPr="00974356">
              <w:rPr>
                <w:rFonts w:cstheme="minorHAnsi"/>
                <w:spacing w:val="-8"/>
              </w:rPr>
              <w:t xml:space="preserve"> </w:t>
            </w:r>
            <w:r w:rsidRPr="00974356">
              <w:rPr>
                <w:rFonts w:cstheme="minorHAnsi"/>
              </w:rPr>
              <w:t>Affairs, Capacity Development Programme Management Office</w:t>
            </w:r>
          </w:p>
        </w:tc>
        <w:tc>
          <w:tcPr>
            <w:tcW w:w="2173" w:type="dxa"/>
          </w:tcPr>
          <w:p w14:paraId="315C3CF5"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t>Individual interview</w:t>
            </w:r>
          </w:p>
        </w:tc>
        <w:tc>
          <w:tcPr>
            <w:tcW w:w="958" w:type="dxa"/>
          </w:tcPr>
          <w:p w14:paraId="3A9B57E6" w14:textId="77777777" w:rsidR="004D7DFF" w:rsidRPr="00AE7299" w:rsidRDefault="004D7DFF" w:rsidP="006E53D6">
            <w:pPr>
              <w:jc w:val="center"/>
              <w:cnfStyle w:val="000000000000" w:firstRow="0" w:lastRow="0" w:firstColumn="0" w:lastColumn="0" w:oddVBand="0" w:evenVBand="0" w:oddHBand="0" w:evenHBand="0" w:firstRowFirstColumn="0" w:firstRowLastColumn="0" w:lastRowFirstColumn="0" w:lastRowLastColumn="0"/>
            </w:pPr>
            <w:r>
              <w:t>Female</w:t>
            </w:r>
          </w:p>
        </w:tc>
      </w:tr>
      <w:tr w:rsidR="003909ED" w:rsidRPr="00AE7299" w14:paraId="6FAD563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14463701" w14:textId="77777777" w:rsidR="003909ED" w:rsidRPr="008F74D0" w:rsidRDefault="003909ED" w:rsidP="006E53D6">
            <w:r w:rsidRPr="008F74D0">
              <w:t>MELADZE, George</w:t>
            </w:r>
          </w:p>
        </w:tc>
        <w:tc>
          <w:tcPr>
            <w:tcW w:w="3765" w:type="dxa"/>
          </w:tcPr>
          <w:p w14:paraId="64B8F056" w14:textId="77777777" w:rsidR="003909ED" w:rsidRPr="00AE7299" w:rsidRDefault="003909ED"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Programme Management Assistant – </w:t>
            </w:r>
            <w:r w:rsidRPr="00AE7299">
              <w:rPr>
                <w:rFonts w:cstheme="minorHAnsi"/>
              </w:rPr>
              <w:t>United Nations</w:t>
            </w:r>
            <w:r w:rsidRPr="00AE7299">
              <w:rPr>
                <w:rFonts w:cstheme="minorHAnsi"/>
                <w:spacing w:val="-10"/>
              </w:rPr>
              <w:t xml:space="preserve"> </w:t>
            </w:r>
            <w:r w:rsidRPr="00AE7299">
              <w:rPr>
                <w:rFonts w:cstheme="minorHAnsi"/>
              </w:rPr>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w:t>
            </w:r>
            <w:r w:rsidRPr="00AE7299">
              <w:rPr>
                <w:rFonts w:cstheme="minorHAnsi"/>
                <w:spacing w:val="-8"/>
              </w:rPr>
              <w:t xml:space="preserve"> </w:t>
            </w:r>
            <w:r w:rsidRPr="00AE7299">
              <w:rPr>
                <w:rFonts w:cstheme="minorHAnsi"/>
              </w:rPr>
              <w:t>Affairs, Financing for Sustainable Development Office</w:t>
            </w:r>
          </w:p>
        </w:tc>
        <w:tc>
          <w:tcPr>
            <w:tcW w:w="2173" w:type="dxa"/>
          </w:tcPr>
          <w:p w14:paraId="25E8FE51" w14:textId="77777777" w:rsidR="003909ED" w:rsidRPr="00AE7299" w:rsidRDefault="003909ED"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7671328E" w14:textId="77777777" w:rsidR="003909ED" w:rsidRPr="00AE7299" w:rsidRDefault="003909ED"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CF76BD" w:rsidRPr="00AE7299" w14:paraId="7D03B3A2"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4258B39" w14:textId="77777777" w:rsidR="00CF76BD" w:rsidRPr="008F74D0" w:rsidRDefault="00CF76BD" w:rsidP="006E53D6">
            <w:r w:rsidRPr="008F74D0">
              <w:t>PALACIOS, Luis Alberto</w:t>
            </w:r>
          </w:p>
        </w:tc>
        <w:tc>
          <w:tcPr>
            <w:tcW w:w="3765" w:type="dxa"/>
          </w:tcPr>
          <w:p w14:paraId="6F5AD42F" w14:textId="77777777" w:rsidR="00CF76BD" w:rsidRPr="00AE7299" w:rsidRDefault="00CF76BD" w:rsidP="006E53D6">
            <w:pPr>
              <w:spacing w:after="120"/>
              <w:cnfStyle w:val="000000000000" w:firstRow="0" w:lastRow="0" w:firstColumn="0" w:lastColumn="0" w:oddVBand="0" w:evenVBand="0" w:oddHBand="0" w:evenHBand="0" w:firstRowFirstColumn="0" w:firstRowLastColumn="0" w:lastRowFirstColumn="0" w:lastRowLastColumn="0"/>
            </w:pPr>
            <w:r w:rsidRPr="00AE7299">
              <w:rPr>
                <w:rFonts w:cs="Arial"/>
              </w:rPr>
              <w:t>Embedded Consultant for the Dominican Republic – Financing for Sustainable Development Office, UNDESA</w:t>
            </w:r>
          </w:p>
        </w:tc>
        <w:tc>
          <w:tcPr>
            <w:tcW w:w="2173" w:type="dxa"/>
          </w:tcPr>
          <w:p w14:paraId="0A8AFE0C" w14:textId="77777777" w:rsidR="00CF76BD" w:rsidRPr="00AE7299" w:rsidRDefault="00CF76BD"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1140C64A" w14:textId="77777777" w:rsidR="00CF76BD" w:rsidRPr="00AE7299" w:rsidRDefault="00CF76BD"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973E3" w:rsidRPr="00AE7299" w14:paraId="1B0459B5"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1B58112F" w14:textId="54153E6D" w:rsidR="006973E3" w:rsidRDefault="006973E3" w:rsidP="006E53D6">
            <w:r>
              <w:t>SCHWANK, Oliver</w:t>
            </w:r>
          </w:p>
        </w:tc>
        <w:tc>
          <w:tcPr>
            <w:tcW w:w="3765" w:type="dxa"/>
          </w:tcPr>
          <w:p w14:paraId="1C97EA34" w14:textId="35CE91C4" w:rsidR="006973E3" w:rsidRDefault="00130C89" w:rsidP="006E53D6">
            <w:pPr>
              <w:cnfStyle w:val="000000000000" w:firstRow="0" w:lastRow="0" w:firstColumn="0" w:lastColumn="0" w:oddVBand="0" w:evenVBand="0" w:oddHBand="0" w:evenHBand="0" w:firstRowFirstColumn="0" w:firstRowLastColumn="0" w:lastRowFirstColumn="0" w:lastRowLastColumn="0"/>
              <w:rPr>
                <w:lang w:eastAsia="en-CA"/>
              </w:rPr>
            </w:pPr>
            <w:r>
              <w:rPr>
                <w:lang w:eastAsia="en-CA"/>
              </w:rPr>
              <w:t>Chief, Policy Analysis</w:t>
            </w:r>
            <w:r w:rsidR="00E44941">
              <w:rPr>
                <w:lang w:eastAsia="en-CA"/>
              </w:rPr>
              <w:t xml:space="preserve"> </w:t>
            </w:r>
            <w:r w:rsidR="00AA758B">
              <w:rPr>
                <w:lang w:eastAsia="en-CA"/>
              </w:rPr>
              <w:t xml:space="preserve">and Development </w:t>
            </w:r>
            <w:r w:rsidR="00E44941">
              <w:rPr>
                <w:lang w:eastAsia="en-CA"/>
              </w:rPr>
              <w:t xml:space="preserve">– </w:t>
            </w:r>
            <w:r w:rsidR="00E44941" w:rsidRPr="00AE7299">
              <w:rPr>
                <w:rFonts w:cs="Arial"/>
              </w:rPr>
              <w:t>Financing for Sustainable Development Office, UNDESA</w:t>
            </w:r>
          </w:p>
        </w:tc>
        <w:tc>
          <w:tcPr>
            <w:tcW w:w="2173" w:type="dxa"/>
          </w:tcPr>
          <w:p w14:paraId="0B00943A" w14:textId="64AB12A4" w:rsidR="006973E3" w:rsidRPr="00AE7299" w:rsidRDefault="006973E3"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3043258D" w14:textId="5B7AC469" w:rsidR="006973E3" w:rsidRPr="00AE7299" w:rsidRDefault="006973E3" w:rsidP="006E53D6">
            <w:pPr>
              <w:jc w:val="center"/>
              <w:cnfStyle w:val="000000000000" w:firstRow="0" w:lastRow="0" w:firstColumn="0" w:lastColumn="0" w:oddVBand="0" w:evenVBand="0" w:oddHBand="0" w:evenHBand="0" w:firstRowFirstColumn="0" w:firstRowLastColumn="0" w:lastRowFirstColumn="0" w:lastRowLastColumn="0"/>
            </w:pPr>
            <w:r>
              <w:t>Male</w:t>
            </w:r>
          </w:p>
        </w:tc>
      </w:tr>
      <w:tr w:rsidR="001C3F45" w:rsidRPr="00AE7299" w14:paraId="7F4CC16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053B1E8F" w14:textId="77777777" w:rsidR="001C3F45" w:rsidRPr="008F74D0" w:rsidRDefault="001C3F45" w:rsidP="006E53D6">
            <w:r>
              <w:t>THWAY, Lynn</w:t>
            </w:r>
          </w:p>
        </w:tc>
        <w:tc>
          <w:tcPr>
            <w:tcW w:w="3765" w:type="dxa"/>
          </w:tcPr>
          <w:p w14:paraId="480FF8E4" w14:textId="77777777" w:rsidR="001C3F45" w:rsidRPr="00AE7299" w:rsidRDefault="001C3F45" w:rsidP="006E53D6">
            <w:pPr>
              <w:cnfStyle w:val="000000000000" w:firstRow="0" w:lastRow="0" w:firstColumn="0" w:lastColumn="0" w:oddVBand="0" w:evenVBand="0" w:oddHBand="0" w:evenHBand="0" w:firstRowFirstColumn="0" w:firstRowLastColumn="0" w:lastRowFirstColumn="0" w:lastRowLastColumn="0"/>
              <w:rPr>
                <w:lang w:eastAsia="en-CA"/>
              </w:rPr>
            </w:pPr>
            <w:r>
              <w:rPr>
                <w:lang w:eastAsia="en-CA"/>
              </w:rPr>
              <w:t xml:space="preserve">Senior Programme Management Officer </w:t>
            </w:r>
            <w:r w:rsidRPr="00AE7299">
              <w:rPr>
                <w:lang w:eastAsia="en-CA"/>
              </w:rPr>
              <w:t xml:space="preserve">– </w:t>
            </w:r>
            <w:r w:rsidRPr="00AE7299">
              <w:rPr>
                <w:rFonts w:cstheme="minorHAnsi"/>
              </w:rPr>
              <w:t>United Nations</w:t>
            </w:r>
            <w:r w:rsidRPr="00AE7299">
              <w:rPr>
                <w:rFonts w:cstheme="minorHAnsi"/>
                <w:spacing w:val="-10"/>
              </w:rPr>
              <w:t xml:space="preserve"> </w:t>
            </w:r>
            <w:r w:rsidRPr="00AE7299">
              <w:rPr>
                <w:rFonts w:cstheme="minorHAnsi"/>
              </w:rPr>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w:t>
            </w:r>
            <w:r w:rsidRPr="00AE7299">
              <w:rPr>
                <w:rFonts w:cstheme="minorHAnsi"/>
                <w:spacing w:val="-8"/>
              </w:rPr>
              <w:t xml:space="preserve"> </w:t>
            </w:r>
            <w:r w:rsidRPr="00AE7299">
              <w:rPr>
                <w:rFonts w:cstheme="minorHAnsi"/>
              </w:rPr>
              <w:t>Affairs,</w:t>
            </w:r>
            <w:r>
              <w:rPr>
                <w:rFonts w:cstheme="minorHAnsi"/>
              </w:rPr>
              <w:t xml:space="preserve"> Division for Sustainable Development Goals</w:t>
            </w:r>
          </w:p>
        </w:tc>
        <w:tc>
          <w:tcPr>
            <w:tcW w:w="2173" w:type="dxa"/>
          </w:tcPr>
          <w:p w14:paraId="27CC0B5C" w14:textId="77777777" w:rsidR="001C3F45" w:rsidRPr="00AE7299" w:rsidRDefault="001C3F45"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59DC9BAA" w14:textId="77777777" w:rsidR="001C3F45" w:rsidRPr="00AE7299" w:rsidRDefault="001C3F45"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71737C" w:rsidRPr="00AE7299" w14:paraId="7B45F3AF"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0348E631" w14:textId="77777777" w:rsidR="007D7CF8" w:rsidRDefault="007D7CF8" w:rsidP="00CD665C">
            <w:pPr>
              <w:jc w:val="center"/>
              <w:rPr>
                <w:b w:val="0"/>
                <w:lang w:eastAsia="en-CA"/>
              </w:rPr>
            </w:pPr>
          </w:p>
          <w:p w14:paraId="4EB7C679" w14:textId="3AB9C1B4" w:rsidR="0071737C" w:rsidRPr="0071737C" w:rsidRDefault="0071737C" w:rsidP="00CD665C">
            <w:pPr>
              <w:jc w:val="center"/>
            </w:pPr>
            <w:r w:rsidRPr="0071737C">
              <w:rPr>
                <w:lang w:eastAsia="en-CA"/>
              </w:rPr>
              <w:t>UNECA</w:t>
            </w:r>
          </w:p>
        </w:tc>
      </w:tr>
      <w:tr w:rsidR="00CA6ED3" w:rsidRPr="00AE7299" w14:paraId="215F4DD3"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18B045E6" w14:textId="77777777" w:rsidR="00CA6ED3" w:rsidRPr="008F74D0" w:rsidRDefault="00CA6ED3" w:rsidP="00657D8D">
            <w:r w:rsidRPr="008F74D0">
              <w:t>BOLAKY, Bineswaree</w:t>
            </w:r>
          </w:p>
        </w:tc>
        <w:tc>
          <w:tcPr>
            <w:tcW w:w="3765" w:type="dxa"/>
          </w:tcPr>
          <w:p w14:paraId="3D76385C" w14:textId="77777777" w:rsidR="00CA6ED3" w:rsidRPr="00AE7299" w:rsidRDefault="00CA6ED3" w:rsidP="00657D8D">
            <w:pPr>
              <w:cnfStyle w:val="000000000000" w:firstRow="0" w:lastRow="0" w:firstColumn="0" w:lastColumn="0" w:oddVBand="0" w:evenVBand="0" w:oddHBand="0" w:evenHBand="0" w:firstRowFirstColumn="0" w:firstRowLastColumn="0" w:lastRowFirstColumn="0" w:lastRowLastColumn="0"/>
            </w:pPr>
            <w:r w:rsidRPr="00AE7299">
              <w:t>Economic Affairs Officer – United Nations Economic Commission for Africa (UNECA), Sub-Regional Office for Southern Africa</w:t>
            </w:r>
          </w:p>
        </w:tc>
        <w:tc>
          <w:tcPr>
            <w:tcW w:w="2173" w:type="dxa"/>
          </w:tcPr>
          <w:p w14:paraId="7B5CF6E9" w14:textId="77777777" w:rsidR="00CA6ED3" w:rsidRPr="00AE7299" w:rsidRDefault="00CA6ED3" w:rsidP="00657D8D">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38795283" w14:textId="77777777" w:rsidR="00CA6ED3" w:rsidRPr="00AE7299" w:rsidRDefault="00CA6ED3" w:rsidP="00657D8D">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972F72" w:rsidRPr="00AE7299" w14:paraId="7F7A5D4A"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D518D28" w14:textId="77777777" w:rsidR="00972F72" w:rsidRPr="008F74D0" w:rsidRDefault="00972F72" w:rsidP="00F10107">
            <w:r>
              <w:lastRenderedPageBreak/>
              <w:t>EKEN, Jean Baptiste</w:t>
            </w:r>
          </w:p>
        </w:tc>
        <w:tc>
          <w:tcPr>
            <w:tcW w:w="3765" w:type="dxa"/>
          </w:tcPr>
          <w:p w14:paraId="7CA0FAD0" w14:textId="77777777" w:rsidR="00972F72" w:rsidRPr="00AE7299" w:rsidRDefault="00972F72" w:rsidP="00F10107">
            <w:pPr>
              <w:spacing w:after="12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Administrative and Finance Officer – </w:t>
            </w:r>
            <w:r w:rsidRPr="00AE7299">
              <w:t>United Nations Economic Commission for Africa (UNECA), Sub-Regional Office for Southern Africa</w:t>
            </w:r>
          </w:p>
        </w:tc>
        <w:tc>
          <w:tcPr>
            <w:tcW w:w="2173" w:type="dxa"/>
          </w:tcPr>
          <w:p w14:paraId="46C3021C" w14:textId="77777777" w:rsidR="00972F72" w:rsidRPr="00AE7299" w:rsidRDefault="00972F72" w:rsidP="00F10107">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4234D273" w14:textId="77777777" w:rsidR="00972F72" w:rsidRPr="00AE7299" w:rsidRDefault="00972F72" w:rsidP="00F10107">
            <w:pPr>
              <w:jc w:val="center"/>
              <w:cnfStyle w:val="000000000000" w:firstRow="0" w:lastRow="0" w:firstColumn="0" w:lastColumn="0" w:oddVBand="0" w:evenVBand="0" w:oddHBand="0" w:evenHBand="0" w:firstRowFirstColumn="0" w:firstRowLastColumn="0" w:lastRowFirstColumn="0" w:lastRowLastColumn="0"/>
            </w:pPr>
            <w:r>
              <w:t>Male</w:t>
            </w:r>
          </w:p>
        </w:tc>
      </w:tr>
      <w:tr w:rsidR="000673E3" w:rsidRPr="00AE7299" w14:paraId="481ABC6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26B4AB8A" w14:textId="77777777" w:rsidR="000673E3" w:rsidRPr="008F74D0" w:rsidRDefault="000673E3" w:rsidP="006E53D6">
            <w:r w:rsidRPr="008F74D0">
              <w:t>SEBEGO, Mamoudou</w:t>
            </w:r>
          </w:p>
        </w:tc>
        <w:tc>
          <w:tcPr>
            <w:tcW w:w="3765" w:type="dxa"/>
          </w:tcPr>
          <w:p w14:paraId="7C258BB2" w14:textId="77777777" w:rsidR="000673E3" w:rsidRPr="00AE7299" w:rsidRDefault="000673E3" w:rsidP="006E53D6">
            <w:pPr>
              <w:cnfStyle w:val="000000000000" w:firstRow="0" w:lastRow="0" w:firstColumn="0" w:lastColumn="0" w:oddVBand="0" w:evenVBand="0" w:oddHBand="0" w:evenHBand="0" w:firstRowFirstColumn="0" w:firstRowLastColumn="0" w:lastRowFirstColumn="0" w:lastRowLastColumn="0"/>
            </w:pPr>
            <w:r w:rsidRPr="00AE7299">
              <w:t>Economic Affairs Officer – United Nations Economic Commission for Africa (UNECA), Sub-Regional Office for West Africa</w:t>
            </w:r>
          </w:p>
        </w:tc>
        <w:tc>
          <w:tcPr>
            <w:tcW w:w="2173" w:type="dxa"/>
          </w:tcPr>
          <w:p w14:paraId="476D1F34" w14:textId="77777777" w:rsidR="000673E3" w:rsidRPr="00AE7299" w:rsidRDefault="000673E3" w:rsidP="006E53D6">
            <w:pPr>
              <w:cnfStyle w:val="000000000000" w:firstRow="0" w:lastRow="0" w:firstColumn="0" w:lastColumn="0" w:oddVBand="0" w:evenVBand="0" w:oddHBand="0" w:evenHBand="0" w:firstRowFirstColumn="0" w:firstRowLastColumn="0" w:lastRowFirstColumn="0" w:lastRowLastColumn="0"/>
            </w:pPr>
            <w:r w:rsidRPr="00AE7299">
              <w:t>Email exchange</w:t>
            </w:r>
          </w:p>
        </w:tc>
        <w:tc>
          <w:tcPr>
            <w:tcW w:w="958" w:type="dxa"/>
          </w:tcPr>
          <w:p w14:paraId="4052EB54" w14:textId="77777777" w:rsidR="000673E3" w:rsidRPr="00AE7299" w:rsidRDefault="000673E3"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3C7200" w:rsidRPr="00AE7299" w14:paraId="6A600375"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3666341" w14:textId="77777777" w:rsidR="003C7200" w:rsidRPr="008F74D0" w:rsidRDefault="003C7200" w:rsidP="006E53D6">
            <w:r w:rsidRPr="008F74D0">
              <w:t>SHAMIN, Farzana</w:t>
            </w:r>
          </w:p>
        </w:tc>
        <w:tc>
          <w:tcPr>
            <w:tcW w:w="3765" w:type="dxa"/>
          </w:tcPr>
          <w:p w14:paraId="19FA8E4E" w14:textId="77777777" w:rsidR="003C7200" w:rsidRPr="00AE7299" w:rsidRDefault="003C7200"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Economic Governance and Public Finance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Africa, Macroeconomics and Governance Division</w:t>
            </w:r>
          </w:p>
        </w:tc>
        <w:tc>
          <w:tcPr>
            <w:tcW w:w="2173" w:type="dxa"/>
          </w:tcPr>
          <w:p w14:paraId="3C320A12" w14:textId="77777777" w:rsidR="003C7200" w:rsidRPr="00AE7299" w:rsidRDefault="003C7200"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66B9362B" w14:textId="77777777" w:rsidR="003C7200" w:rsidRPr="00AE7299" w:rsidRDefault="003C7200"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71737C" w:rsidRPr="00AE7299" w14:paraId="64E6EAFC"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1F3239FA" w14:textId="5446EA74" w:rsidR="0071737C" w:rsidRPr="0071737C" w:rsidRDefault="0071737C" w:rsidP="00CD665C">
            <w:pPr>
              <w:jc w:val="center"/>
            </w:pPr>
            <w:r w:rsidRPr="0071737C">
              <w:rPr>
                <w:lang w:eastAsia="en-CA"/>
              </w:rPr>
              <w:t>UNECE</w:t>
            </w:r>
          </w:p>
        </w:tc>
      </w:tr>
      <w:tr w:rsidR="001B443F" w:rsidRPr="00AE7299" w14:paraId="1C3DD06B"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4A5179E" w14:textId="77777777" w:rsidR="001B443F" w:rsidRPr="008F74D0" w:rsidRDefault="001B443F" w:rsidP="00FD2149">
            <w:r w:rsidRPr="008F74D0">
              <w:t>BONNICI, Tony</w:t>
            </w:r>
          </w:p>
        </w:tc>
        <w:tc>
          <w:tcPr>
            <w:tcW w:w="3765" w:type="dxa"/>
          </w:tcPr>
          <w:p w14:paraId="3C87E2D6" w14:textId="77777777" w:rsidR="001B443F" w:rsidRPr="00AE7299" w:rsidRDefault="001B443F" w:rsidP="00FD2149">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Chief, Public-Private Partnerships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Europe, Economic Cooperation and Trade Division</w:t>
            </w:r>
          </w:p>
        </w:tc>
        <w:tc>
          <w:tcPr>
            <w:tcW w:w="2173" w:type="dxa"/>
          </w:tcPr>
          <w:p w14:paraId="44160ECC" w14:textId="77777777" w:rsidR="001B443F" w:rsidRPr="00AE7299" w:rsidRDefault="001B443F" w:rsidP="00FD2149">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D4286E5" w14:textId="77777777" w:rsidR="001B443F" w:rsidRPr="00AE7299" w:rsidRDefault="001B443F" w:rsidP="00FD2149">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582D2B" w:rsidRPr="00AE7299" w14:paraId="662511CF"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2ED085E" w14:textId="77777777" w:rsidR="00582D2B" w:rsidRPr="008F74D0" w:rsidRDefault="00582D2B" w:rsidP="006E53D6">
            <w:r w:rsidRPr="008F74D0">
              <w:t>MENEGAUX, Antonin</w:t>
            </w:r>
          </w:p>
        </w:tc>
        <w:tc>
          <w:tcPr>
            <w:tcW w:w="3765" w:type="dxa"/>
          </w:tcPr>
          <w:p w14:paraId="4A66D464" w14:textId="77777777" w:rsidR="00582D2B" w:rsidRPr="00AE7299" w:rsidRDefault="00582D2B"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Public-Private Partnership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Europe, Economic Cooperation and Trade Division</w:t>
            </w:r>
          </w:p>
        </w:tc>
        <w:tc>
          <w:tcPr>
            <w:tcW w:w="2173" w:type="dxa"/>
          </w:tcPr>
          <w:p w14:paraId="65EEDCCA" w14:textId="77777777" w:rsidR="00582D2B" w:rsidRPr="00AE7299" w:rsidRDefault="00582D2B"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79910C5" w14:textId="77777777" w:rsidR="00582D2B" w:rsidRPr="00AE7299" w:rsidRDefault="00582D2B"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71737C" w:rsidRPr="00AE7299" w14:paraId="374E8663"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7D300C23" w14:textId="21B80B68" w:rsidR="0071737C" w:rsidRPr="0071737C" w:rsidRDefault="0071737C" w:rsidP="00CD665C">
            <w:pPr>
              <w:jc w:val="center"/>
            </w:pPr>
            <w:r w:rsidRPr="0071737C">
              <w:rPr>
                <w:lang w:eastAsia="en-CA"/>
              </w:rPr>
              <w:t>UNECLAC</w:t>
            </w:r>
          </w:p>
        </w:tc>
      </w:tr>
      <w:tr w:rsidR="00F962F6" w:rsidRPr="00AE7299" w14:paraId="24D6C055"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3579440" w14:textId="77777777" w:rsidR="00F962F6" w:rsidRPr="008F74D0" w:rsidRDefault="00F962F6" w:rsidP="007601F5">
            <w:r w:rsidRPr="008F74D0">
              <w:t>BENNITEZ, Noel Pérez</w:t>
            </w:r>
          </w:p>
        </w:tc>
        <w:tc>
          <w:tcPr>
            <w:tcW w:w="3765" w:type="dxa"/>
          </w:tcPr>
          <w:p w14:paraId="11DF4221" w14:textId="77777777" w:rsidR="00F962F6" w:rsidRPr="00AE7299" w:rsidRDefault="00F962F6" w:rsidP="007601F5">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Coordinator, Fiscal Affairs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Latin America and the Caribbean, Economic Development Division</w:t>
            </w:r>
          </w:p>
        </w:tc>
        <w:tc>
          <w:tcPr>
            <w:tcW w:w="2173" w:type="dxa"/>
          </w:tcPr>
          <w:p w14:paraId="3CF8AE86" w14:textId="77777777" w:rsidR="00F962F6" w:rsidRPr="00AE7299" w:rsidRDefault="00F962F6" w:rsidP="007601F5">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2B4C2FE9" w14:textId="77777777" w:rsidR="00F962F6" w:rsidRPr="00AE7299" w:rsidRDefault="00F962F6" w:rsidP="007601F5">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9B78C7" w:rsidRPr="00AE7299" w14:paraId="719BD67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A616D67" w14:textId="77777777" w:rsidR="009B78C7" w:rsidRPr="008F74D0" w:rsidRDefault="009B78C7" w:rsidP="006E53D6">
            <w:r w:rsidRPr="008F74D0">
              <w:t>HANNI, Michael</w:t>
            </w:r>
          </w:p>
        </w:tc>
        <w:tc>
          <w:tcPr>
            <w:tcW w:w="3765" w:type="dxa"/>
          </w:tcPr>
          <w:p w14:paraId="16AEDC31" w14:textId="77777777" w:rsidR="009B78C7" w:rsidRPr="00AE7299" w:rsidRDefault="009B78C7"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Fiscal Affairs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Latin America and the Caribbean, Economic Development Division</w:t>
            </w:r>
          </w:p>
        </w:tc>
        <w:tc>
          <w:tcPr>
            <w:tcW w:w="2173" w:type="dxa"/>
          </w:tcPr>
          <w:p w14:paraId="4D41FA20" w14:textId="77777777" w:rsidR="009B78C7" w:rsidRPr="00AE7299" w:rsidRDefault="009B78C7"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77256B8C" w14:textId="77777777" w:rsidR="009B78C7" w:rsidRPr="00AE7299" w:rsidRDefault="009B78C7"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547189" w:rsidRPr="00AE7299" w14:paraId="4944BB9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25249AC" w14:textId="77777777" w:rsidR="00547189" w:rsidRPr="008F74D0" w:rsidRDefault="00547189" w:rsidP="006E53D6">
            <w:r w:rsidRPr="008F74D0">
              <w:t>MORAN, Dalmiro</w:t>
            </w:r>
          </w:p>
        </w:tc>
        <w:tc>
          <w:tcPr>
            <w:tcW w:w="3765" w:type="dxa"/>
          </w:tcPr>
          <w:p w14:paraId="69E12459" w14:textId="77777777" w:rsidR="00547189" w:rsidRPr="00AE7299" w:rsidRDefault="00547189"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Fiscal Affairs – </w:t>
            </w:r>
            <w:r w:rsidRPr="00AE7299">
              <w:rPr>
                <w:rFonts w:cstheme="minorHAnsi"/>
              </w:rPr>
              <w:t>United Nations</w:t>
            </w:r>
            <w:r w:rsidRPr="00AE7299">
              <w:rPr>
                <w:rFonts w:cstheme="minorHAnsi"/>
                <w:spacing w:val="-10"/>
              </w:rPr>
              <w:t xml:space="preserve"> </w:t>
            </w:r>
            <w:r w:rsidRPr="00AE7299">
              <w:rPr>
                <w:rFonts w:cstheme="minorHAnsi"/>
              </w:rPr>
              <w:t>Economic</w:t>
            </w:r>
            <w:r w:rsidRPr="00AE7299">
              <w:rPr>
                <w:rFonts w:cstheme="minorHAnsi"/>
                <w:spacing w:val="-13"/>
              </w:rPr>
              <w:t xml:space="preserve"> </w:t>
            </w:r>
            <w:r w:rsidRPr="00AE7299">
              <w:rPr>
                <w:rFonts w:cstheme="minorHAnsi"/>
              </w:rPr>
              <w:t>Commission for Latin America and the Caribbean, Economic Development Division</w:t>
            </w:r>
          </w:p>
        </w:tc>
        <w:tc>
          <w:tcPr>
            <w:tcW w:w="2173" w:type="dxa"/>
          </w:tcPr>
          <w:p w14:paraId="7D3C5481" w14:textId="77777777" w:rsidR="00547189" w:rsidRPr="00AE7299" w:rsidRDefault="00547189"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0E82C177" w14:textId="77777777" w:rsidR="00547189" w:rsidRPr="00AE7299" w:rsidRDefault="00547189"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30C4E" w:rsidRPr="00AE7299" w14:paraId="760A5813"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4C83C431" w14:textId="77D0F621" w:rsidR="00630C4E" w:rsidRPr="00630C4E" w:rsidRDefault="00630C4E" w:rsidP="00CD665C">
            <w:pPr>
              <w:jc w:val="center"/>
            </w:pPr>
            <w:r w:rsidRPr="00630C4E">
              <w:rPr>
                <w:lang w:eastAsia="en-CA"/>
              </w:rPr>
              <w:t>UNESCAP</w:t>
            </w:r>
          </w:p>
        </w:tc>
      </w:tr>
      <w:tr w:rsidR="00DB7074" w:rsidRPr="00AE7299" w14:paraId="0304CC16"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4C75ADF6" w14:textId="77777777" w:rsidR="00DB7074" w:rsidRPr="008F74D0" w:rsidRDefault="00DB7074" w:rsidP="006E53D6">
            <w:r w:rsidRPr="008F74D0">
              <w:t>ISGUT, Alberto</w:t>
            </w:r>
          </w:p>
        </w:tc>
        <w:tc>
          <w:tcPr>
            <w:tcW w:w="3765" w:type="dxa"/>
          </w:tcPr>
          <w:p w14:paraId="599F8138" w14:textId="77777777" w:rsidR="00DB7074" w:rsidRPr="00AE7299" w:rsidRDefault="00DB7074"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w:t>
            </w:r>
            <w:r w:rsidRPr="00AE7299">
              <w:rPr>
                <w:rFonts w:cstheme="minorHAnsi"/>
              </w:rPr>
              <w:t>Financing for Development – United Nations</w:t>
            </w:r>
            <w:r w:rsidRPr="00AE7299">
              <w:rPr>
                <w:rFonts w:cstheme="minorHAnsi"/>
                <w:spacing w:val="-10"/>
              </w:rPr>
              <w:t xml:space="preserve"> </w:t>
            </w:r>
            <w:r w:rsidRPr="00AE7299">
              <w:rPr>
                <w:rFonts w:cstheme="minorHAnsi"/>
              </w:rPr>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w:t>
            </w:r>
            <w:r w:rsidRPr="00AE7299">
              <w:rPr>
                <w:rFonts w:cstheme="minorHAnsi"/>
                <w:spacing w:val="-8"/>
              </w:rPr>
              <w:t xml:space="preserve"> Commission for Asia and the Pacific, </w:t>
            </w:r>
            <w:r w:rsidRPr="00AE7299">
              <w:rPr>
                <w:rFonts w:cstheme="minorHAnsi"/>
              </w:rPr>
              <w:t>Macroeconomic Policy and Financing for Development Division</w:t>
            </w:r>
          </w:p>
        </w:tc>
        <w:tc>
          <w:tcPr>
            <w:tcW w:w="2173" w:type="dxa"/>
          </w:tcPr>
          <w:p w14:paraId="572D2CCA" w14:textId="77777777" w:rsidR="00DB7074" w:rsidRPr="00AE7299" w:rsidRDefault="00DB7074" w:rsidP="006E53D6">
            <w:pPr>
              <w:cnfStyle w:val="000000000000" w:firstRow="0" w:lastRow="0" w:firstColumn="0" w:lastColumn="0" w:oddVBand="0" w:evenVBand="0" w:oddHBand="0" w:evenHBand="0" w:firstRowFirstColumn="0" w:firstRowLastColumn="0" w:lastRowFirstColumn="0" w:lastRowLastColumn="0"/>
            </w:pPr>
            <w:r w:rsidRPr="00AE7299">
              <w:t>Individual interview</w:t>
            </w:r>
          </w:p>
        </w:tc>
        <w:tc>
          <w:tcPr>
            <w:tcW w:w="958" w:type="dxa"/>
          </w:tcPr>
          <w:p w14:paraId="7B1C2D5A" w14:textId="77777777" w:rsidR="00DB7074" w:rsidRPr="00AE7299" w:rsidRDefault="00DB7074"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30C4E" w:rsidRPr="00AE7299" w14:paraId="73C85227"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7194C7F7" w14:textId="44C6FBA5" w:rsidR="00630C4E" w:rsidRPr="00630C4E" w:rsidRDefault="00630C4E" w:rsidP="00CD665C">
            <w:pPr>
              <w:jc w:val="center"/>
            </w:pPr>
            <w:r w:rsidRPr="00630C4E">
              <w:rPr>
                <w:lang w:eastAsia="en-CA"/>
              </w:rPr>
              <w:t>UNESCWA</w:t>
            </w:r>
          </w:p>
        </w:tc>
      </w:tr>
      <w:tr w:rsidR="00113C60" w:rsidRPr="00AE7299" w14:paraId="4D7A5500"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295F5B38" w14:textId="77777777" w:rsidR="00113C60" w:rsidRPr="008F74D0" w:rsidRDefault="00113C60" w:rsidP="006E53D6">
            <w:r w:rsidRPr="008F74D0">
              <w:t>HAMMOUD, Maya</w:t>
            </w:r>
          </w:p>
        </w:tc>
        <w:tc>
          <w:tcPr>
            <w:tcW w:w="3765" w:type="dxa"/>
          </w:tcPr>
          <w:p w14:paraId="4A3B2984" w14:textId="77777777" w:rsidR="00113C60" w:rsidRPr="00AE7299" w:rsidRDefault="00113C60"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Technical Cooperation Assistant / Research Assistant,</w:t>
            </w:r>
            <w:r w:rsidRPr="00AE7299">
              <w:rPr>
                <w:rFonts w:cstheme="minorHAnsi"/>
              </w:rPr>
              <w:t xml:space="preserve"> Shared Economic Prosperity Cluster – United Nations</w:t>
            </w:r>
            <w:r w:rsidRPr="00AE7299">
              <w:rPr>
                <w:rFonts w:cstheme="minorHAnsi"/>
                <w:spacing w:val="-10"/>
              </w:rPr>
              <w:t xml:space="preserve"> </w:t>
            </w:r>
            <w:r w:rsidRPr="00AE7299">
              <w:rPr>
                <w:rFonts w:cstheme="minorHAnsi"/>
              </w:rPr>
              <w:lastRenderedPageBreak/>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 Commission for Western Asia</w:t>
            </w:r>
          </w:p>
        </w:tc>
        <w:tc>
          <w:tcPr>
            <w:tcW w:w="2173" w:type="dxa"/>
          </w:tcPr>
          <w:p w14:paraId="5AB4934E" w14:textId="77777777" w:rsidR="00113C60" w:rsidRPr="00AE7299" w:rsidRDefault="00113C60" w:rsidP="006E53D6">
            <w:pPr>
              <w:cnfStyle w:val="000000000000" w:firstRow="0" w:lastRow="0" w:firstColumn="0" w:lastColumn="0" w:oddVBand="0" w:evenVBand="0" w:oddHBand="0" w:evenHBand="0" w:firstRowFirstColumn="0" w:firstRowLastColumn="0" w:lastRowFirstColumn="0" w:lastRowLastColumn="0"/>
            </w:pPr>
            <w:r w:rsidRPr="00AE7299">
              <w:lastRenderedPageBreak/>
              <w:t>Small-group interview</w:t>
            </w:r>
          </w:p>
        </w:tc>
        <w:tc>
          <w:tcPr>
            <w:tcW w:w="958" w:type="dxa"/>
          </w:tcPr>
          <w:p w14:paraId="5C83F5D2" w14:textId="77777777" w:rsidR="00113C60" w:rsidRPr="00AE7299" w:rsidRDefault="00113C60"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635792" w:rsidRPr="00AE7299" w14:paraId="33296D68"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9F9463C" w14:textId="77777777" w:rsidR="00635792" w:rsidRPr="008F74D0" w:rsidRDefault="00635792" w:rsidP="006E53D6">
            <w:r w:rsidRPr="008F74D0">
              <w:t>STEPHAN, Georges</w:t>
            </w:r>
          </w:p>
        </w:tc>
        <w:tc>
          <w:tcPr>
            <w:tcW w:w="3765" w:type="dxa"/>
          </w:tcPr>
          <w:p w14:paraId="4B08567F" w14:textId="77777777" w:rsidR="00635792" w:rsidRPr="00AE7299" w:rsidRDefault="00635792"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Financing Expert / Economics Assistant,</w:t>
            </w:r>
            <w:r w:rsidRPr="00AE7299">
              <w:rPr>
                <w:rFonts w:cstheme="minorHAnsi"/>
              </w:rPr>
              <w:t xml:space="preserve"> Shared Economic Prosperity Cluster – United Nations</w:t>
            </w:r>
            <w:r w:rsidRPr="00AE7299">
              <w:rPr>
                <w:rFonts w:cstheme="minorHAnsi"/>
                <w:spacing w:val="-10"/>
              </w:rPr>
              <w:t xml:space="preserve"> </w:t>
            </w:r>
            <w:r w:rsidRPr="00AE7299">
              <w:rPr>
                <w:rFonts w:cstheme="minorHAnsi"/>
              </w:rPr>
              <w:t>Department</w:t>
            </w:r>
            <w:r w:rsidRPr="00AE7299">
              <w:rPr>
                <w:rFonts w:cstheme="minorHAnsi"/>
                <w:spacing w:val="-12"/>
              </w:rPr>
              <w:t xml:space="preserve"> </w:t>
            </w:r>
            <w:r w:rsidRPr="00AE7299">
              <w:rPr>
                <w:rFonts w:cstheme="minorHAnsi"/>
              </w:rPr>
              <w:t>of</w:t>
            </w:r>
            <w:r w:rsidRPr="00AE7299">
              <w:rPr>
                <w:rFonts w:cstheme="minorHAnsi"/>
                <w:spacing w:val="-11"/>
              </w:rPr>
              <w:t xml:space="preserve"> </w:t>
            </w:r>
            <w:r w:rsidRPr="00AE7299">
              <w:rPr>
                <w:rFonts w:cstheme="minorHAnsi"/>
              </w:rPr>
              <w:t>Economic</w:t>
            </w:r>
            <w:r w:rsidRPr="00AE7299">
              <w:rPr>
                <w:rFonts w:cstheme="minorHAnsi"/>
                <w:spacing w:val="-13"/>
              </w:rPr>
              <w:t xml:space="preserve"> </w:t>
            </w:r>
            <w:r w:rsidRPr="00AE7299">
              <w:rPr>
                <w:rFonts w:cstheme="minorHAnsi"/>
              </w:rPr>
              <w:t>and</w:t>
            </w:r>
            <w:r w:rsidRPr="00AE7299">
              <w:rPr>
                <w:rFonts w:cstheme="minorHAnsi"/>
                <w:spacing w:val="-11"/>
              </w:rPr>
              <w:t xml:space="preserve"> </w:t>
            </w:r>
            <w:r w:rsidRPr="00AE7299">
              <w:rPr>
                <w:rFonts w:cstheme="minorHAnsi"/>
              </w:rPr>
              <w:t>Social Commission for Western Asia, Economic Development and Integration Division</w:t>
            </w:r>
          </w:p>
        </w:tc>
        <w:tc>
          <w:tcPr>
            <w:tcW w:w="2173" w:type="dxa"/>
          </w:tcPr>
          <w:p w14:paraId="19EB12CA" w14:textId="77777777" w:rsidR="00635792" w:rsidRPr="00AE7299" w:rsidRDefault="00635792"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6A3CA240" w14:textId="77777777" w:rsidR="00635792" w:rsidRPr="00AE7299" w:rsidRDefault="00635792"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630C4E" w:rsidRPr="00AE7299" w14:paraId="425E67F1"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180CE94A" w14:textId="7D3C8914" w:rsidR="00630C4E" w:rsidRPr="00630C4E" w:rsidRDefault="00630C4E" w:rsidP="006E53D6">
            <w:pPr>
              <w:jc w:val="center"/>
            </w:pPr>
            <w:r w:rsidRPr="00630C4E">
              <w:rPr>
                <w:lang w:eastAsia="en-CA"/>
              </w:rPr>
              <w:t>UNCTAD</w:t>
            </w:r>
          </w:p>
        </w:tc>
      </w:tr>
      <w:tr w:rsidR="004D7DFF" w:rsidRPr="00AE7299" w14:paraId="358CBD71"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AC65AE6" w14:textId="77777777" w:rsidR="004D7DFF" w:rsidRPr="008F74D0" w:rsidRDefault="004D7DFF" w:rsidP="006E53D6">
            <w:r w:rsidRPr="008F74D0">
              <w:t>BOTVINA, Elena</w:t>
            </w:r>
          </w:p>
        </w:tc>
        <w:tc>
          <w:tcPr>
            <w:tcW w:w="3765" w:type="dxa"/>
          </w:tcPr>
          <w:p w14:paraId="6699F4EE"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Accounting and Corporate Governance – </w:t>
            </w:r>
            <w:r w:rsidRPr="00AE7299">
              <w:rPr>
                <w:rFonts w:cstheme="minorHAnsi"/>
              </w:rPr>
              <w:t>United Nations Conference on Trade and Development, Investment and Enterprise Division</w:t>
            </w:r>
          </w:p>
        </w:tc>
        <w:tc>
          <w:tcPr>
            <w:tcW w:w="2173" w:type="dxa"/>
          </w:tcPr>
          <w:p w14:paraId="3B564453"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7787F346" w14:textId="77777777" w:rsidR="004D7DFF" w:rsidRPr="00AE7299" w:rsidRDefault="004D7DFF"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4D7DFF" w:rsidRPr="00AE7299" w14:paraId="56058B1D"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734C5903" w14:textId="77777777" w:rsidR="004D7DFF" w:rsidRPr="008F74D0" w:rsidRDefault="004D7DFF" w:rsidP="006E53D6">
            <w:r w:rsidRPr="008F74D0">
              <w:t>DABBOU, Alexandre</w:t>
            </w:r>
          </w:p>
        </w:tc>
        <w:tc>
          <w:tcPr>
            <w:tcW w:w="3765" w:type="dxa"/>
          </w:tcPr>
          <w:p w14:paraId="52FFB46F"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Head, Enterprise Branch – </w:t>
            </w:r>
            <w:r w:rsidRPr="00AE7299">
              <w:rPr>
                <w:rFonts w:cstheme="minorHAnsi"/>
              </w:rPr>
              <w:t>United Nations Conference on Trade and Development, Investment and Enterprise Division</w:t>
            </w:r>
          </w:p>
        </w:tc>
        <w:tc>
          <w:tcPr>
            <w:tcW w:w="2173" w:type="dxa"/>
          </w:tcPr>
          <w:p w14:paraId="36B9F957" w14:textId="77777777" w:rsidR="004D7DFF" w:rsidRPr="00AE7299" w:rsidRDefault="004D7DFF"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79F517B" w14:textId="77777777" w:rsidR="004D7DFF" w:rsidRPr="00AE7299" w:rsidRDefault="004D7DFF"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FC2B9E" w:rsidRPr="00AE7299" w14:paraId="277E9059"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D69CE60" w14:textId="77777777" w:rsidR="00FC2B9E" w:rsidRPr="008F74D0" w:rsidRDefault="00FC2B9E" w:rsidP="006E53D6">
            <w:r w:rsidRPr="008F74D0">
              <w:t>TOSINI, Lorenzo</w:t>
            </w:r>
          </w:p>
        </w:tc>
        <w:tc>
          <w:tcPr>
            <w:tcW w:w="3765" w:type="dxa"/>
          </w:tcPr>
          <w:p w14:paraId="1F1F0C7F" w14:textId="77777777" w:rsidR="00FC2B9E" w:rsidRPr="00AE7299" w:rsidRDefault="00FC2B9E"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Economic Affairs Officer, Enterprise Branch - </w:t>
            </w:r>
            <w:r w:rsidRPr="00AE7299">
              <w:rPr>
                <w:rFonts w:cstheme="minorHAnsi"/>
              </w:rPr>
              <w:t>United Nations Conference on Trade and Development, Investment and Enterprise Division</w:t>
            </w:r>
          </w:p>
        </w:tc>
        <w:tc>
          <w:tcPr>
            <w:tcW w:w="2173" w:type="dxa"/>
          </w:tcPr>
          <w:p w14:paraId="052F32E4" w14:textId="77777777" w:rsidR="00FC2B9E" w:rsidRPr="00AE7299" w:rsidRDefault="00FC2B9E"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7EC004A1" w14:textId="77777777" w:rsidR="00FC2B9E" w:rsidRPr="00AE7299" w:rsidRDefault="00FC2B9E" w:rsidP="006E53D6">
            <w:pPr>
              <w:jc w:val="center"/>
              <w:cnfStyle w:val="000000000000" w:firstRow="0" w:lastRow="0" w:firstColumn="0" w:lastColumn="0" w:oddVBand="0" w:evenVBand="0" w:oddHBand="0" w:evenHBand="0" w:firstRowFirstColumn="0" w:firstRowLastColumn="0" w:lastRowFirstColumn="0" w:lastRowLastColumn="0"/>
            </w:pPr>
            <w:r w:rsidRPr="00AE7299">
              <w:t>Male</w:t>
            </w:r>
          </w:p>
        </w:tc>
      </w:tr>
      <w:tr w:rsidR="00FC2B9E" w:rsidRPr="00AE7299" w14:paraId="53362222"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518CB2A" w14:textId="77777777" w:rsidR="00FC2B9E" w:rsidRPr="008F74D0" w:rsidRDefault="00FC2B9E" w:rsidP="006E53D6">
            <w:r w:rsidRPr="008F74D0">
              <w:t xml:space="preserve">VERPLOEGH CHABOT, Arlette </w:t>
            </w:r>
          </w:p>
        </w:tc>
        <w:tc>
          <w:tcPr>
            <w:tcW w:w="3765" w:type="dxa"/>
          </w:tcPr>
          <w:p w14:paraId="1336CA40" w14:textId="77777777" w:rsidR="00FC2B9E" w:rsidRPr="00AE7299" w:rsidRDefault="00FC2B9E"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Chief, Entrepreneurship Development – </w:t>
            </w:r>
            <w:r w:rsidRPr="00AE7299">
              <w:rPr>
                <w:rFonts w:cstheme="minorHAnsi"/>
              </w:rPr>
              <w:t>United Nations Conference on Trade and Development, Investment and Enterprise Division</w:t>
            </w:r>
          </w:p>
        </w:tc>
        <w:tc>
          <w:tcPr>
            <w:tcW w:w="2173" w:type="dxa"/>
          </w:tcPr>
          <w:p w14:paraId="37F9B15F" w14:textId="77777777" w:rsidR="00FC2B9E" w:rsidRPr="00AE7299" w:rsidRDefault="00FC2B9E"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0116653A" w14:textId="77777777" w:rsidR="00FC2B9E" w:rsidRPr="00AE7299" w:rsidRDefault="00FC2B9E"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5D2FE0" w:rsidRPr="00AE7299" w14:paraId="3C30D3F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58AF863F" w14:textId="77777777" w:rsidR="005D2FE0" w:rsidRPr="008F74D0" w:rsidRDefault="005D2FE0" w:rsidP="006E53D6">
            <w:r w:rsidRPr="008F74D0">
              <w:t>YOUSSEF, Frida</w:t>
            </w:r>
          </w:p>
        </w:tc>
        <w:tc>
          <w:tcPr>
            <w:tcW w:w="3765" w:type="dxa"/>
          </w:tcPr>
          <w:p w14:paraId="60BE150C" w14:textId="77777777" w:rsidR="005D2FE0" w:rsidRPr="00AE7299" w:rsidRDefault="005D2FE0" w:rsidP="006E53D6">
            <w:pPr>
              <w:cnfStyle w:val="000000000000" w:firstRow="0" w:lastRow="0" w:firstColumn="0" w:lastColumn="0" w:oddVBand="0" w:evenVBand="0" w:oddHBand="0" w:evenHBand="0" w:firstRowFirstColumn="0" w:firstRowLastColumn="0" w:lastRowFirstColumn="0" w:lastRowLastColumn="0"/>
            </w:pPr>
            <w:r w:rsidRPr="00AE7299">
              <w:rPr>
                <w:lang w:eastAsia="en-CA"/>
              </w:rPr>
              <w:t xml:space="preserve">Chief, Transport and Logistics – </w:t>
            </w:r>
            <w:r w:rsidRPr="00AE7299">
              <w:rPr>
                <w:rFonts w:cstheme="minorHAnsi"/>
              </w:rPr>
              <w:t>United Nations Conference on Trade and Development, Technology and Logistics Division</w:t>
            </w:r>
          </w:p>
        </w:tc>
        <w:tc>
          <w:tcPr>
            <w:tcW w:w="2173" w:type="dxa"/>
          </w:tcPr>
          <w:p w14:paraId="773A585B" w14:textId="77777777" w:rsidR="005D2FE0" w:rsidRPr="00AE7299" w:rsidRDefault="005D2FE0" w:rsidP="006E53D6">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45C8396" w14:textId="77777777" w:rsidR="005D2FE0" w:rsidRPr="00AE7299" w:rsidRDefault="005D2FE0" w:rsidP="006E53D6">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C31269" w:rsidRPr="00AE7299" w14:paraId="60B02600" w14:textId="77777777" w:rsidTr="00BD540D">
        <w:tc>
          <w:tcPr>
            <w:cnfStyle w:val="001000000000" w:firstRow="0" w:lastRow="0" w:firstColumn="1" w:lastColumn="0" w:oddVBand="0" w:evenVBand="0" w:oddHBand="0" w:evenHBand="0" w:firstRowFirstColumn="0" w:firstRowLastColumn="0" w:lastRowFirstColumn="0" w:lastRowLastColumn="0"/>
            <w:tcW w:w="9678" w:type="dxa"/>
            <w:gridSpan w:val="4"/>
          </w:tcPr>
          <w:p w14:paraId="50622848" w14:textId="1ABDB13E" w:rsidR="00C31269" w:rsidRPr="00AE7299" w:rsidRDefault="00C31269" w:rsidP="00C31269">
            <w:r>
              <w:t>Cooperating Entities:</w:t>
            </w:r>
          </w:p>
        </w:tc>
      </w:tr>
      <w:tr w:rsidR="003C6171" w:rsidRPr="00AE7299" w14:paraId="4D42D094"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4B540B1" w14:textId="269AAB67" w:rsidR="003C6171" w:rsidRPr="008F74D0" w:rsidRDefault="003C6171" w:rsidP="003C6171">
            <w:r>
              <w:t>KHAN, Shabano</w:t>
            </w:r>
          </w:p>
        </w:tc>
        <w:tc>
          <w:tcPr>
            <w:tcW w:w="3765" w:type="dxa"/>
          </w:tcPr>
          <w:p w14:paraId="287FA7A2" w14:textId="57C5031A" w:rsidR="003C6171" w:rsidRPr="00AE7299" w:rsidRDefault="003C6171" w:rsidP="003C6171">
            <w:pPr>
              <w:cnfStyle w:val="000000000000" w:firstRow="0" w:lastRow="0" w:firstColumn="0" w:lastColumn="0" w:oddVBand="0" w:evenVBand="0" w:oddHBand="0" w:evenHBand="0" w:firstRowFirstColumn="0" w:firstRowLastColumn="0" w:lastRowFirstColumn="0" w:lastRowLastColumn="0"/>
              <w:rPr>
                <w:lang w:eastAsia="en-CA"/>
              </w:rPr>
            </w:pPr>
            <w:r>
              <w:rPr>
                <w:lang w:eastAsia="en-CA"/>
              </w:rPr>
              <w:t xml:space="preserve">SDG Specialist, </w:t>
            </w:r>
            <w:r w:rsidRPr="00AE7299">
              <w:rPr>
                <w:rFonts w:cstheme="minorHAnsi"/>
              </w:rPr>
              <w:t>United Nations</w:t>
            </w:r>
            <w:r>
              <w:rPr>
                <w:rFonts w:cstheme="minorHAnsi"/>
              </w:rPr>
              <w:t xml:space="preserve"> Development Programme, Pakistan, Policy Development Unit</w:t>
            </w:r>
          </w:p>
        </w:tc>
        <w:tc>
          <w:tcPr>
            <w:tcW w:w="2173" w:type="dxa"/>
          </w:tcPr>
          <w:p w14:paraId="444EC9D1" w14:textId="69854EFB" w:rsidR="003C6171" w:rsidRPr="00AE7299" w:rsidRDefault="003C6171" w:rsidP="003C6171">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1DA13A35" w14:textId="3A33D1BE" w:rsidR="003C6171" w:rsidRPr="00AE7299" w:rsidRDefault="003C6171" w:rsidP="003C6171">
            <w:pPr>
              <w:jc w:val="center"/>
              <w:cnfStyle w:val="000000000000" w:firstRow="0" w:lastRow="0" w:firstColumn="0" w:lastColumn="0" w:oddVBand="0" w:evenVBand="0" w:oddHBand="0" w:evenHBand="0" w:firstRowFirstColumn="0" w:firstRowLastColumn="0" w:lastRowFirstColumn="0" w:lastRowLastColumn="0"/>
            </w:pPr>
            <w:r w:rsidRPr="00AE7299">
              <w:t>Female</w:t>
            </w:r>
          </w:p>
        </w:tc>
      </w:tr>
      <w:tr w:rsidR="003C6171" w:rsidRPr="00AE7299" w14:paraId="580FCE5F" w14:textId="77777777" w:rsidTr="00BD540D">
        <w:tc>
          <w:tcPr>
            <w:cnfStyle w:val="001000000000" w:firstRow="0" w:lastRow="0" w:firstColumn="1" w:lastColumn="0" w:oddVBand="0" w:evenVBand="0" w:oddHBand="0" w:evenHBand="0" w:firstRowFirstColumn="0" w:firstRowLastColumn="0" w:lastRowFirstColumn="0" w:lastRowLastColumn="0"/>
            <w:tcW w:w="2782" w:type="dxa"/>
          </w:tcPr>
          <w:p w14:paraId="3914B856" w14:textId="10FB48C5" w:rsidR="003C6171" w:rsidRPr="008F74D0" w:rsidRDefault="003C6171" w:rsidP="003C6171">
            <w:r>
              <w:t>MALIK, Umer</w:t>
            </w:r>
          </w:p>
        </w:tc>
        <w:tc>
          <w:tcPr>
            <w:tcW w:w="3765" w:type="dxa"/>
          </w:tcPr>
          <w:p w14:paraId="6AF095AE" w14:textId="678B8C32" w:rsidR="003C6171" w:rsidRPr="00AE7299" w:rsidRDefault="003C6171" w:rsidP="003C6171">
            <w:pPr>
              <w:cnfStyle w:val="000000000000" w:firstRow="0" w:lastRow="0" w:firstColumn="0" w:lastColumn="0" w:oddVBand="0" w:evenVBand="0" w:oddHBand="0" w:evenHBand="0" w:firstRowFirstColumn="0" w:firstRowLastColumn="0" w:lastRowFirstColumn="0" w:lastRowLastColumn="0"/>
              <w:rPr>
                <w:lang w:eastAsia="en-CA"/>
              </w:rPr>
            </w:pPr>
            <w:r>
              <w:rPr>
                <w:lang w:eastAsia="en-CA"/>
              </w:rPr>
              <w:t xml:space="preserve">Policy Analyst, </w:t>
            </w:r>
            <w:r w:rsidRPr="00AE7299">
              <w:rPr>
                <w:rFonts w:cstheme="minorHAnsi"/>
              </w:rPr>
              <w:t>United Nations</w:t>
            </w:r>
            <w:r>
              <w:rPr>
                <w:rFonts w:cstheme="minorHAnsi"/>
              </w:rPr>
              <w:t xml:space="preserve"> Development Programme, Pakistan, Policy Development Unit</w:t>
            </w:r>
          </w:p>
        </w:tc>
        <w:tc>
          <w:tcPr>
            <w:tcW w:w="2173" w:type="dxa"/>
          </w:tcPr>
          <w:p w14:paraId="2AAB1745" w14:textId="7757FBD3" w:rsidR="003C6171" w:rsidRPr="00AE7299" w:rsidRDefault="003C6171" w:rsidP="003C6171">
            <w:pPr>
              <w:cnfStyle w:val="000000000000" w:firstRow="0" w:lastRow="0" w:firstColumn="0" w:lastColumn="0" w:oddVBand="0" w:evenVBand="0" w:oddHBand="0" w:evenHBand="0" w:firstRowFirstColumn="0" w:firstRowLastColumn="0" w:lastRowFirstColumn="0" w:lastRowLastColumn="0"/>
            </w:pPr>
            <w:r w:rsidRPr="00AE7299">
              <w:t>Small-group interview</w:t>
            </w:r>
          </w:p>
        </w:tc>
        <w:tc>
          <w:tcPr>
            <w:tcW w:w="958" w:type="dxa"/>
          </w:tcPr>
          <w:p w14:paraId="00A86AA4" w14:textId="76B97EF4" w:rsidR="003C6171" w:rsidRPr="00AE7299" w:rsidRDefault="003C6171" w:rsidP="003C6171">
            <w:pPr>
              <w:jc w:val="center"/>
              <w:cnfStyle w:val="000000000000" w:firstRow="0" w:lastRow="0" w:firstColumn="0" w:lastColumn="0" w:oddVBand="0" w:evenVBand="0" w:oddHBand="0" w:evenHBand="0" w:firstRowFirstColumn="0" w:firstRowLastColumn="0" w:lastRowFirstColumn="0" w:lastRowLastColumn="0"/>
            </w:pPr>
            <w:r>
              <w:t>M</w:t>
            </w:r>
            <w:r w:rsidRPr="00AE7299">
              <w:t>ale</w:t>
            </w:r>
          </w:p>
        </w:tc>
      </w:tr>
    </w:tbl>
    <w:p w14:paraId="660E1E10" w14:textId="46A444E6" w:rsidR="00E04B83" w:rsidRDefault="00E04B83">
      <w:pPr>
        <w:spacing w:after="200" w:line="276" w:lineRule="auto"/>
      </w:pPr>
      <w:r>
        <w:br w:type="page"/>
      </w:r>
    </w:p>
    <w:p w14:paraId="30C0146B" w14:textId="6633949C" w:rsidR="00E04B83" w:rsidRDefault="00E04B83" w:rsidP="008C075F">
      <w:pPr>
        <w:pStyle w:val="Heading9"/>
      </w:pPr>
      <w:bookmarkStart w:id="65" w:name="_Toc210730360"/>
      <w:r w:rsidRPr="003A1EA9">
        <w:lastRenderedPageBreak/>
        <w:t xml:space="preserve">Annex </w:t>
      </w:r>
      <w:r w:rsidR="0092261C">
        <w:t>8</w:t>
      </w:r>
      <w:r w:rsidRPr="003A1EA9">
        <w:t xml:space="preserve"> List of Documents </w:t>
      </w:r>
      <w:r w:rsidR="003A1EA9">
        <w:t xml:space="preserve">and Websites </w:t>
      </w:r>
      <w:r w:rsidRPr="003A1EA9">
        <w:t>Reviewed</w:t>
      </w:r>
      <w:bookmarkEnd w:id="65"/>
    </w:p>
    <w:p w14:paraId="7134E463" w14:textId="2E7BB8C7" w:rsidR="00CD665C" w:rsidRPr="00661EAC" w:rsidRDefault="00CD665C" w:rsidP="00CD665C">
      <w:pPr>
        <w:pStyle w:val="Reporttext"/>
        <w:spacing w:before="240" w:after="240" w:line="240" w:lineRule="auto"/>
        <w:ind w:left="227"/>
        <w:rPr>
          <w:b/>
          <w:bCs/>
          <w:lang w:val="en-GB"/>
        </w:rPr>
      </w:pPr>
      <w:r>
        <w:rPr>
          <w:b/>
          <w:bCs/>
          <w:lang w:val="en-GB"/>
        </w:rPr>
        <w:t>Document</w:t>
      </w:r>
      <w:r w:rsidRPr="00661EAC">
        <w:rPr>
          <w:b/>
          <w:bCs/>
          <w:lang w:val="en-GB"/>
        </w:rPr>
        <w:t>s:</w:t>
      </w:r>
    </w:p>
    <w:bookmarkEnd w:id="0"/>
    <w:p w14:paraId="58AC61F3" w14:textId="77777777" w:rsidR="00C06E83" w:rsidRPr="00EC7F69" w:rsidRDefault="00C06E83" w:rsidP="00784F36">
      <w:pPr>
        <w:pStyle w:val="ListNumber"/>
        <w:numPr>
          <w:ilvl w:val="0"/>
          <w:numId w:val="41"/>
        </w:numPr>
        <w:ind w:left="567"/>
        <w:rPr>
          <w:lang w:val="en-CA"/>
        </w:rPr>
      </w:pPr>
      <w:r w:rsidRPr="00B93E89">
        <w:t xml:space="preserve">African Development Bank, 2024. </w:t>
      </w:r>
      <w:r w:rsidRPr="00EC7F69">
        <w:rPr>
          <w:lang w:val="en-CA"/>
        </w:rPr>
        <w:t>Financing PPP Projects in Zambia. PowerPoint Presentation.</w:t>
      </w:r>
    </w:p>
    <w:p w14:paraId="683689BB" w14:textId="77777777" w:rsidR="00C06E83" w:rsidRPr="00C822C9" w:rsidRDefault="00C06E83" w:rsidP="00910A94">
      <w:pPr>
        <w:pStyle w:val="ListNumber"/>
        <w:rPr>
          <w:lang w:val="en-CA"/>
        </w:rPr>
      </w:pPr>
      <w:r>
        <w:t xml:space="preserve">Federal Board of Revenue, 2023. </w:t>
      </w:r>
      <w:r w:rsidRPr="00C822C9">
        <w:rPr>
          <w:lang w:val="en-CA"/>
        </w:rPr>
        <w:t>Data analytic tools to enhance tax compliance through</w:t>
      </w:r>
      <w:r>
        <w:rPr>
          <w:lang w:val="en-CA"/>
        </w:rPr>
        <w:t xml:space="preserve"> </w:t>
      </w:r>
      <w:r w:rsidRPr="00C822C9">
        <w:rPr>
          <w:lang w:val="en-CA"/>
        </w:rPr>
        <w:t>e-invoicing, track and trace systems, e-withholding taxes</w:t>
      </w:r>
      <w:r>
        <w:rPr>
          <w:lang w:val="en-CA"/>
        </w:rPr>
        <w:t xml:space="preserve"> </w:t>
      </w:r>
      <w:r w:rsidRPr="00C822C9">
        <w:rPr>
          <w:lang w:val="en-CA"/>
        </w:rPr>
        <w:t>and POS systems</w:t>
      </w:r>
      <w:r>
        <w:rPr>
          <w:lang w:val="en-CA"/>
        </w:rPr>
        <w:t xml:space="preserve">. Concept Note. </w:t>
      </w:r>
      <w:r w:rsidRPr="00C822C9">
        <w:rPr>
          <w:lang w:val="en-CA"/>
        </w:rPr>
        <w:t>Capacity building workshop</w:t>
      </w:r>
      <w:r>
        <w:rPr>
          <w:lang w:val="en-CA"/>
        </w:rPr>
        <w:t xml:space="preserve">. </w:t>
      </w:r>
      <w:r>
        <w:t>Federal Board of Revenue</w:t>
      </w:r>
      <w:r>
        <w:rPr>
          <w:lang w:val="en-CA"/>
        </w:rPr>
        <w:t xml:space="preserve">, Pakistan. </w:t>
      </w:r>
      <w:r w:rsidRPr="00C822C9">
        <w:rPr>
          <w:lang w:val="en-CA"/>
        </w:rPr>
        <w:t>Inland Revenue Service Academy, Lahore</w:t>
      </w:r>
      <w:r>
        <w:rPr>
          <w:lang w:val="en-CA"/>
        </w:rPr>
        <w:t xml:space="preserve">, </w:t>
      </w:r>
      <w:r w:rsidRPr="00C822C9">
        <w:rPr>
          <w:lang w:val="en-CA"/>
        </w:rPr>
        <w:t>9-12 October 2023</w:t>
      </w:r>
      <w:r>
        <w:rPr>
          <w:lang w:val="en-CA"/>
        </w:rPr>
        <w:t>.</w:t>
      </w:r>
    </w:p>
    <w:p w14:paraId="0F4EBEB3" w14:textId="77777777" w:rsidR="00C06E83" w:rsidRDefault="00C06E83" w:rsidP="00910A94">
      <w:pPr>
        <w:pStyle w:val="ListNumber"/>
      </w:pPr>
      <w:r>
        <w:t xml:space="preserve">Federal Board of Revenue, 2023. </w:t>
      </w:r>
      <w:r w:rsidRPr="00C34817">
        <w:rPr>
          <w:lang w:val="en-CA"/>
        </w:rPr>
        <w:t>POS- Experiences and Plans</w:t>
      </w:r>
      <w:r>
        <w:rPr>
          <w:lang w:val="en-CA"/>
        </w:rPr>
        <w:t>. PowerPoint Presentation. Federal Board of Revenue, Pakistan.</w:t>
      </w:r>
    </w:p>
    <w:p w14:paraId="5AF6A4DA" w14:textId="77777777" w:rsidR="00C06E83" w:rsidRDefault="00C06E83" w:rsidP="00910A94">
      <w:pPr>
        <w:pStyle w:val="ListNumber"/>
      </w:pPr>
      <w:r>
        <w:t>Federal Board of Revenue, n.d. Digital Invoicing. PowerPoint Presentation. Directorate General of Digital Initiatives, Pakistan.</w:t>
      </w:r>
    </w:p>
    <w:p w14:paraId="431F3881" w14:textId="77777777" w:rsidR="00C06E83" w:rsidRDefault="00C06E83" w:rsidP="00910A94">
      <w:pPr>
        <w:pStyle w:val="ListNumber"/>
        <w:rPr>
          <w:lang w:val="en-CA"/>
        </w:rPr>
      </w:pPr>
      <w:r>
        <w:t xml:space="preserve">Federal Board of Revenue, n.d. </w:t>
      </w:r>
      <w:r w:rsidRPr="00057BFF">
        <w:rPr>
          <w:lang w:val="en-CA"/>
        </w:rPr>
        <w:t>Digitalization of Taxes in Pakistan</w:t>
      </w:r>
      <w:r>
        <w:rPr>
          <w:lang w:val="en-CA"/>
        </w:rPr>
        <w:t xml:space="preserve"> </w:t>
      </w:r>
      <w:r w:rsidRPr="00057BFF">
        <w:rPr>
          <w:lang w:val="en-CA"/>
        </w:rPr>
        <w:t>Synchronized Withholding</w:t>
      </w:r>
      <w:r>
        <w:rPr>
          <w:lang w:val="en-CA"/>
        </w:rPr>
        <w:t xml:space="preserve"> </w:t>
      </w:r>
      <w:r w:rsidRPr="00057BFF">
        <w:rPr>
          <w:lang w:val="en-CA"/>
        </w:rPr>
        <w:t>Administration and Payment System</w:t>
      </w:r>
      <w:r>
        <w:rPr>
          <w:lang w:val="en-CA"/>
        </w:rPr>
        <w:t xml:space="preserve"> </w:t>
      </w:r>
      <w:r w:rsidRPr="00057BFF">
        <w:rPr>
          <w:lang w:val="en-CA"/>
        </w:rPr>
        <w:t>(SWAPS)</w:t>
      </w:r>
      <w:r>
        <w:rPr>
          <w:lang w:val="en-CA"/>
        </w:rPr>
        <w:t>. PowerPoint Presentation. Federal Board of Revenue, Pakistan</w:t>
      </w:r>
    </w:p>
    <w:p w14:paraId="1FC789A0" w14:textId="77777777" w:rsidR="00C06E83" w:rsidRDefault="00C06E83" w:rsidP="00910A94">
      <w:pPr>
        <w:pStyle w:val="ListNumber"/>
      </w:pPr>
      <w:r>
        <w:t xml:space="preserve">Federal Ministry Republic of Austria Finance, 2023. </w:t>
      </w:r>
      <w:r w:rsidRPr="006401DA">
        <w:rPr>
          <w:lang w:val="en-CA"/>
        </w:rPr>
        <w:t>The implementation of the Austrian Point</w:t>
      </w:r>
      <w:r>
        <w:rPr>
          <w:lang w:val="en-CA"/>
        </w:rPr>
        <w:t xml:space="preserve"> </w:t>
      </w:r>
      <w:r w:rsidRPr="006401DA">
        <w:rPr>
          <w:lang w:val="en-CA"/>
        </w:rPr>
        <w:t>of Sales System</w:t>
      </w:r>
      <w:r>
        <w:rPr>
          <w:lang w:val="en-CA"/>
        </w:rPr>
        <w:t xml:space="preserve">: </w:t>
      </w:r>
      <w:r w:rsidRPr="006401DA">
        <w:rPr>
          <w:lang w:val="en-CA"/>
        </w:rPr>
        <w:t>The obligatory electronic cash register in Austria</w:t>
      </w:r>
      <w:r>
        <w:rPr>
          <w:lang w:val="en-CA"/>
        </w:rPr>
        <w:t>. PowerPoint Presentation.</w:t>
      </w:r>
    </w:p>
    <w:p w14:paraId="44F79405" w14:textId="77777777" w:rsidR="00C06E83" w:rsidRDefault="00C06E83" w:rsidP="00910A94">
      <w:pPr>
        <w:pStyle w:val="ListNumber"/>
        <w:rPr>
          <w:lang w:val="en-CA"/>
        </w:rPr>
      </w:pPr>
      <w:r>
        <w:t>Government of Zambia</w:t>
      </w:r>
      <w:r w:rsidRPr="00591331">
        <w:t xml:space="preserve">, 2024. </w:t>
      </w:r>
      <w:r>
        <w:rPr>
          <w:lang w:val="en-CA"/>
        </w:rPr>
        <w:t>Balanced Scorecard for PPP</w:t>
      </w:r>
      <w:r w:rsidRPr="00591331">
        <w:rPr>
          <w:lang w:val="en-CA"/>
        </w:rPr>
        <w:t>. PowerPoint Presentation</w:t>
      </w:r>
      <w:r>
        <w:rPr>
          <w:lang w:val="en-CA"/>
        </w:rPr>
        <w:t xml:space="preserve">. </w:t>
      </w:r>
      <w:r w:rsidRPr="00591331">
        <w:t>Ministry of Finance and National Planning</w:t>
      </w:r>
      <w:r>
        <w:t>,</w:t>
      </w:r>
      <w:r w:rsidRPr="00591331">
        <w:rPr>
          <w:lang w:val="en-CA"/>
        </w:rPr>
        <w:t xml:space="preserve"> PPP Office, 12 February 2024.</w:t>
      </w:r>
    </w:p>
    <w:p w14:paraId="68F655F0" w14:textId="77777777" w:rsidR="00C06E83" w:rsidRDefault="00C06E83" w:rsidP="00910A94">
      <w:pPr>
        <w:pStyle w:val="ListNumber"/>
        <w:rPr>
          <w:lang w:val="en-CA"/>
        </w:rPr>
      </w:pPr>
      <w:r>
        <w:rPr>
          <w:lang w:val="en-CA"/>
        </w:rPr>
        <w:t xml:space="preserve">Government of Zambia, 2024. Capacity-building Workshops on Public-Private-Partnerships in Zambia. Concept Note. </w:t>
      </w:r>
    </w:p>
    <w:p w14:paraId="4D4BB506" w14:textId="77777777" w:rsidR="00C06E83" w:rsidRDefault="00C06E83" w:rsidP="00910A94">
      <w:pPr>
        <w:pStyle w:val="ListNumber"/>
        <w:rPr>
          <w:lang w:val="en-CA"/>
        </w:rPr>
      </w:pPr>
      <w:r>
        <w:t>Government of Zambia</w:t>
      </w:r>
      <w:r w:rsidRPr="00591331">
        <w:t xml:space="preserve">, 2024. </w:t>
      </w:r>
      <w:r w:rsidRPr="00591331">
        <w:rPr>
          <w:lang w:val="en-CA"/>
        </w:rPr>
        <w:t>PPPs Legal Framework in Zambia. PowerPoint Presentation</w:t>
      </w:r>
      <w:r>
        <w:rPr>
          <w:lang w:val="en-CA"/>
        </w:rPr>
        <w:t xml:space="preserve">. </w:t>
      </w:r>
      <w:r w:rsidRPr="00591331">
        <w:t>Ministry of Finance and National Planning</w:t>
      </w:r>
      <w:r>
        <w:t>,</w:t>
      </w:r>
      <w:r w:rsidRPr="00591331">
        <w:rPr>
          <w:lang w:val="en-CA"/>
        </w:rPr>
        <w:t xml:space="preserve"> PPP Office, 12 February 2024.</w:t>
      </w:r>
    </w:p>
    <w:p w14:paraId="6C6C830A" w14:textId="77777777" w:rsidR="00C06E83" w:rsidRPr="00591331" w:rsidRDefault="00C06E83" w:rsidP="00910A94">
      <w:pPr>
        <w:pStyle w:val="ListNumber"/>
      </w:pPr>
      <w:r>
        <w:t>Government of Zambia</w:t>
      </w:r>
      <w:r w:rsidRPr="00591331">
        <w:t xml:space="preserve">, 2024. </w:t>
      </w:r>
      <w:r>
        <w:rPr>
          <w:lang w:val="en-CA"/>
        </w:rPr>
        <w:t>Status on PPP Projects. P</w:t>
      </w:r>
      <w:r w:rsidRPr="00591331">
        <w:rPr>
          <w:lang w:val="en-CA"/>
        </w:rPr>
        <w:t>owerPoint Presentation</w:t>
      </w:r>
      <w:r>
        <w:rPr>
          <w:lang w:val="en-CA"/>
        </w:rPr>
        <w:t>.</w:t>
      </w:r>
      <w:r w:rsidRPr="00591331">
        <w:rPr>
          <w:lang w:val="en-CA"/>
        </w:rPr>
        <w:t xml:space="preserve"> </w:t>
      </w:r>
      <w:r w:rsidRPr="00591331">
        <w:t>Ministry of Finance and National Planning</w:t>
      </w:r>
      <w:r>
        <w:t>,</w:t>
      </w:r>
      <w:r w:rsidRPr="00591331">
        <w:rPr>
          <w:lang w:val="en-CA"/>
        </w:rPr>
        <w:t xml:space="preserve"> PPP Office, 12 February 2024.</w:t>
      </w:r>
    </w:p>
    <w:p w14:paraId="19EC0B00" w14:textId="77777777" w:rsidR="00C06E83" w:rsidRDefault="00C06E83" w:rsidP="00910A94">
      <w:pPr>
        <w:pStyle w:val="ListNumber"/>
        <w:rPr>
          <w:lang w:val="en-CA"/>
        </w:rPr>
      </w:pPr>
      <w:r>
        <w:t>Government of Zambia</w:t>
      </w:r>
      <w:r w:rsidRPr="00591331">
        <w:t xml:space="preserve">, 2024. </w:t>
      </w:r>
      <w:r w:rsidRPr="00586A59">
        <w:rPr>
          <w:lang w:val="en-CA"/>
        </w:rPr>
        <w:t xml:space="preserve">UNCTAD/UNECA </w:t>
      </w:r>
      <w:r w:rsidRPr="00591331">
        <w:rPr>
          <w:lang w:val="en-CA"/>
        </w:rPr>
        <w:t>PPP</w:t>
      </w:r>
      <w:r>
        <w:rPr>
          <w:lang w:val="en-CA"/>
        </w:rPr>
        <w:t xml:space="preserve"> Workshop Ca</w:t>
      </w:r>
      <w:r w:rsidRPr="00591331">
        <w:rPr>
          <w:lang w:val="en-CA"/>
        </w:rPr>
        <w:t>s</w:t>
      </w:r>
      <w:r>
        <w:rPr>
          <w:lang w:val="en-CA"/>
        </w:rPr>
        <w:t>e Study. P</w:t>
      </w:r>
      <w:r w:rsidRPr="00591331">
        <w:rPr>
          <w:lang w:val="en-CA"/>
        </w:rPr>
        <w:t>owerPoint Presentation</w:t>
      </w:r>
      <w:r>
        <w:rPr>
          <w:lang w:val="en-CA"/>
        </w:rPr>
        <w:t xml:space="preserve">. </w:t>
      </w:r>
      <w:r w:rsidRPr="00591331">
        <w:t>Ministry of Finance and National Planning</w:t>
      </w:r>
      <w:r>
        <w:t>,</w:t>
      </w:r>
      <w:r w:rsidRPr="00591331">
        <w:rPr>
          <w:lang w:val="en-CA"/>
        </w:rPr>
        <w:t xml:space="preserve"> PPP Office, 12 February 2024.</w:t>
      </w:r>
    </w:p>
    <w:p w14:paraId="2545FE0C" w14:textId="77777777" w:rsidR="00C06E83" w:rsidRDefault="00C06E83" w:rsidP="00910A94">
      <w:pPr>
        <w:pStyle w:val="ListNumber"/>
        <w:rPr>
          <w:lang w:val="en-CA"/>
        </w:rPr>
      </w:pPr>
      <w:r>
        <w:rPr>
          <w:lang w:val="en-CA"/>
        </w:rPr>
        <w:t xml:space="preserve">INFF Facility, n.d. Making Finance Work for People and Planet. How countries and building their sustainable finance ecosystem through integrated national financing frameworks. </w:t>
      </w:r>
      <w:hyperlink r:id="rId144" w:history="1">
        <w:r w:rsidRPr="00AC4A80">
          <w:rPr>
            <w:rStyle w:val="Hyperlink"/>
            <w:lang w:val="en-CA"/>
          </w:rPr>
          <w:t>https://inff.org/assets/resource/making-finance-work-for-people-and-planet_final-web.pdf</w:t>
        </w:r>
      </w:hyperlink>
      <w:r>
        <w:rPr>
          <w:lang w:val="en-CA"/>
        </w:rPr>
        <w:t xml:space="preserve"> </w:t>
      </w:r>
    </w:p>
    <w:p w14:paraId="092FC7A3" w14:textId="77777777" w:rsidR="00C06E83" w:rsidRPr="00FD4626" w:rsidRDefault="00C06E83" w:rsidP="00910A94">
      <w:pPr>
        <w:pStyle w:val="ListNumber"/>
      </w:pPr>
      <w:r w:rsidRPr="00FD4626">
        <w:rPr>
          <w:lang w:val="en-CA"/>
        </w:rPr>
        <w:t xml:space="preserve">INFF Steering Committee, 2021. </w:t>
      </w:r>
      <w:r w:rsidRPr="00800F02">
        <w:rPr>
          <w:lang w:val="en-CA"/>
        </w:rPr>
        <w:t xml:space="preserve">Speech by Mr Joseph </w:t>
      </w:r>
      <w:r w:rsidRPr="00FD4626">
        <w:rPr>
          <w:lang w:val="en-CA"/>
        </w:rPr>
        <w:t xml:space="preserve">Maganga, </w:t>
      </w:r>
      <w:r w:rsidRPr="00FD4626">
        <w:t xml:space="preserve">Vice-president of the INFF steering committee, </w:t>
      </w:r>
      <w:r w:rsidRPr="00FD4626">
        <w:rPr>
          <w:lang w:val="en-CA"/>
        </w:rPr>
        <w:t>Inspector of services within the Ministry of Economy and Revival of Gabon</w:t>
      </w:r>
      <w:r>
        <w:rPr>
          <w:lang w:val="en-CA"/>
        </w:rPr>
        <w:t xml:space="preserve"> </w:t>
      </w:r>
      <w:r w:rsidRPr="00FD4626">
        <w:rPr>
          <w:lang w:val="en-CA"/>
        </w:rPr>
        <w:t>Training Workshop on Integrated National Financing Frameworks (INFF) in Africa, 24 August 2021.</w:t>
      </w:r>
    </w:p>
    <w:p w14:paraId="090A7150" w14:textId="77777777" w:rsidR="00C06E83" w:rsidRDefault="00C06E83" w:rsidP="00910A94">
      <w:pPr>
        <w:pStyle w:val="ListNumber"/>
      </w:pPr>
      <w:r>
        <w:t>Inter-Agency Task Force on Financing for Development/ UNDESA, 2022. INFFs and Climate Finance: Guidance Note.</w:t>
      </w:r>
    </w:p>
    <w:p w14:paraId="70A9CD45" w14:textId="77777777" w:rsidR="00C06E83" w:rsidRDefault="00C06E83" w:rsidP="00910A94">
      <w:pPr>
        <w:pStyle w:val="ListNumber"/>
      </w:pPr>
      <w:r>
        <w:t>Inter-Agency Task Force on Financing for Development/ UNDESA, 2023. INFFs for Disaster Risk Reduction: Guidance Note.</w:t>
      </w:r>
    </w:p>
    <w:p w14:paraId="3D34CDA6" w14:textId="77777777" w:rsidR="00C06E83" w:rsidRDefault="00C06E83" w:rsidP="00910A94">
      <w:pPr>
        <w:pStyle w:val="ListNumber"/>
      </w:pPr>
      <w:r>
        <w:t>Inter-Agency Task Force on Financing for Development/ UNDESA, 2023. INFFs and Agriculture Finance: Guidance Note.</w:t>
      </w:r>
    </w:p>
    <w:p w14:paraId="2DC21D44" w14:textId="77777777" w:rsidR="00C06E83" w:rsidRDefault="00C06E83" w:rsidP="00910A94">
      <w:pPr>
        <w:pStyle w:val="ListNumber"/>
      </w:pPr>
      <w:r>
        <w:t>Inter-Agency Task Force on Financing for Development/ UNDESA, 2024. Budget Credibility and INFFs: Guidance Note.</w:t>
      </w:r>
    </w:p>
    <w:p w14:paraId="0AE989E1" w14:textId="77777777" w:rsidR="00C06E83" w:rsidRDefault="00C06E83" w:rsidP="00910A94">
      <w:pPr>
        <w:pStyle w:val="ListNumber"/>
      </w:pPr>
      <w:r>
        <w:lastRenderedPageBreak/>
        <w:t>Inter-Agency Task Force on Financing for Development/ UNDESA, 2022. INFFs and Development Cooperation: Guidance Note.</w:t>
      </w:r>
    </w:p>
    <w:p w14:paraId="3C5B3DDA" w14:textId="77777777" w:rsidR="00C06E83" w:rsidRDefault="00C06E83" w:rsidP="00910A94">
      <w:pPr>
        <w:pStyle w:val="ListNumber"/>
      </w:pPr>
      <w:r>
        <w:t>Inter-Agency Task Force on Financing for Development/ UNDESA, 2023. INFFs and Education: Guidance Note.</w:t>
      </w:r>
    </w:p>
    <w:p w14:paraId="1360A81E" w14:textId="77777777" w:rsidR="00C06E83" w:rsidRDefault="00C06E83" w:rsidP="00910A94">
      <w:pPr>
        <w:pStyle w:val="ListNumber"/>
      </w:pPr>
      <w:r>
        <w:t>Inter-Agency Task Force on Financing for Development/ UNDESA, 2023. INFFs and Health Finance: Guidance Note.</w:t>
      </w:r>
    </w:p>
    <w:p w14:paraId="7E1E4B28" w14:textId="77777777" w:rsidR="00C06E83" w:rsidRDefault="00C06E83" w:rsidP="00910A94">
      <w:pPr>
        <w:pStyle w:val="ListNumber"/>
      </w:pPr>
      <w:r>
        <w:t>Inter-Agency Task Force on Financing for Development/ UNDESA, 2024. INFFs and Infrastructure Financing: Guidance Note.</w:t>
      </w:r>
    </w:p>
    <w:p w14:paraId="6B362993" w14:textId="77777777" w:rsidR="00C06E83" w:rsidRDefault="00C06E83" w:rsidP="00910A94">
      <w:pPr>
        <w:pStyle w:val="ListNumber"/>
      </w:pPr>
      <w:r>
        <w:t>Inter-Agency Task Force on Financing for Development/ UNDESA, 2023. INFFs and Least Developed Countries (LDCs): Guidance Note.</w:t>
      </w:r>
    </w:p>
    <w:p w14:paraId="17E5E9E9" w14:textId="77777777" w:rsidR="00C06E83" w:rsidRDefault="00C06E83" w:rsidP="00910A94">
      <w:pPr>
        <w:pStyle w:val="ListNumber"/>
      </w:pPr>
      <w:r>
        <w:t>Inter-Agency Task Force on Financing for Development/ UNDESA, 2022. INFFs and Leave No One Behind (LNOB): Guidance Note.</w:t>
      </w:r>
    </w:p>
    <w:p w14:paraId="6A4B4CB5" w14:textId="77777777" w:rsidR="00C06E83" w:rsidRDefault="00C06E83" w:rsidP="00910A94">
      <w:pPr>
        <w:pStyle w:val="ListNumber"/>
      </w:pPr>
      <w:r>
        <w:t>Inter-Agency Task Force on Financing for Development/ UNDESA, 2023. INFFs and Small Island Developing States (SIDS): Guidance Note.</w:t>
      </w:r>
    </w:p>
    <w:p w14:paraId="65CABD61" w14:textId="77777777" w:rsidR="00C06E83" w:rsidRDefault="00C06E83" w:rsidP="00910A94">
      <w:pPr>
        <w:pStyle w:val="ListNumber"/>
      </w:pPr>
      <w:r>
        <w:t xml:space="preserve">List of Participants, </w:t>
      </w:r>
      <w:r w:rsidRPr="00220441">
        <w:rPr>
          <w:lang w:val="en-CA"/>
        </w:rPr>
        <w:t>Transforming Economies through Integrated National Financing Frameworks (INFFs) An INFF Event Friday, 26 April 2024,</w:t>
      </w:r>
      <w:r w:rsidRPr="005E23BB">
        <w:t xml:space="preserve"> </w:t>
      </w:r>
      <w:r>
        <w:t>UNDESA Development Account Workshop.</w:t>
      </w:r>
    </w:p>
    <w:p w14:paraId="2DD01538" w14:textId="77777777" w:rsidR="00C06E83" w:rsidRPr="00D57D12" w:rsidRDefault="00C06E83" w:rsidP="00910A94">
      <w:pPr>
        <w:pStyle w:val="ListNumber"/>
      </w:pPr>
      <w:r w:rsidRPr="00D57D12">
        <w:t xml:space="preserve">Ministry of Planning and Economic Development, 2021. </w:t>
      </w:r>
      <w:r w:rsidRPr="00D57D12">
        <w:rPr>
          <w:lang w:val="en-CA"/>
        </w:rPr>
        <w:t>The Governance and Coordination Arrangement for the INFF: A bottom-Up approach in Sierra Leone.</w:t>
      </w:r>
      <w:r>
        <w:rPr>
          <w:lang w:val="en-CA"/>
        </w:rPr>
        <w:t xml:space="preserve"> PowerPoint Presentation, 26 August 2021. </w:t>
      </w:r>
      <w:r w:rsidRPr="00D57D12">
        <w:t>Ministry of Planning and Economic Development</w:t>
      </w:r>
      <w:r>
        <w:t>, Sierra Leone.</w:t>
      </w:r>
    </w:p>
    <w:p w14:paraId="22CADD29" w14:textId="553BA4A9" w:rsidR="00C06E83" w:rsidRDefault="00C06E83" w:rsidP="00910A94">
      <w:pPr>
        <w:pStyle w:val="ListNumber"/>
      </w:pPr>
      <w:r>
        <w:t xml:space="preserve">Ministry of Planning and Economic Development, 2024. </w:t>
      </w:r>
      <w:r w:rsidRPr="005C65E7">
        <w:rPr>
          <w:rFonts w:ascii="Calibri" w:eastAsia="Times New Roman" w:hAnsi="Calibri" w:cs="Times New Roman"/>
          <w:lang w:val="en-CA"/>
        </w:rPr>
        <w:t>Towards an Evidence-Based</w:t>
      </w:r>
      <w:r>
        <w:rPr>
          <w:lang w:val="en-CA"/>
        </w:rPr>
        <w:t xml:space="preserve"> </w:t>
      </w:r>
      <w:r w:rsidRPr="005C65E7">
        <w:rPr>
          <w:rFonts w:ascii="Calibri" w:eastAsia="Times New Roman" w:hAnsi="Calibri" w:cs="Times New Roman"/>
          <w:lang w:val="en-CA"/>
        </w:rPr>
        <w:t>Integrated National</w:t>
      </w:r>
      <w:r>
        <w:rPr>
          <w:lang w:val="en-CA"/>
        </w:rPr>
        <w:t xml:space="preserve"> </w:t>
      </w:r>
      <w:r w:rsidRPr="005C65E7">
        <w:rPr>
          <w:lang w:val="en-CA"/>
        </w:rPr>
        <w:t>Financing Strategy</w:t>
      </w:r>
      <w:r>
        <w:rPr>
          <w:lang w:val="en-CA"/>
        </w:rPr>
        <w:t xml:space="preserve">. The Arab Republic of Egypt. </w:t>
      </w:r>
      <w:r w:rsidR="005F0F12">
        <w:rPr>
          <w:lang w:val="en-CA"/>
        </w:rPr>
        <w:t xml:space="preserve"> </w:t>
      </w:r>
      <w:hyperlink r:id="rId145" w:history="1">
        <w:r w:rsidR="005F0F12" w:rsidRPr="00937D3B">
          <w:rPr>
            <w:rStyle w:val="Hyperlink"/>
            <w:lang w:val="en-CA"/>
          </w:rPr>
          <w:t>https://www.unescwa.org/sites/default/files/inline-files/integrated-national-financing-strategy-egypt-info-graphics-english.pdf</w:t>
        </w:r>
      </w:hyperlink>
      <w:r w:rsidR="005F0F12">
        <w:rPr>
          <w:lang w:val="en-CA"/>
        </w:rPr>
        <w:t xml:space="preserve"> </w:t>
      </w:r>
    </w:p>
    <w:p w14:paraId="5B93433D" w14:textId="77777777" w:rsidR="00C06E83" w:rsidRDefault="00C06E83" w:rsidP="00910A94">
      <w:pPr>
        <w:pStyle w:val="ListNumber"/>
      </w:pPr>
      <w:r>
        <w:rPr>
          <w:lang w:val="en-CA"/>
        </w:rPr>
        <w:t xml:space="preserve">National Tax and Customs Administration, n.d. </w:t>
      </w:r>
      <w:r w:rsidRPr="00EE1E01">
        <w:rPr>
          <w:rFonts w:ascii="Calibri" w:eastAsia="Times New Roman" w:hAnsi="Calibri" w:cs="Times New Roman"/>
          <w:lang w:val="en-CA"/>
        </w:rPr>
        <w:t>Online Cash Registers and e-Receipts</w:t>
      </w:r>
      <w:r>
        <w:rPr>
          <w:lang w:val="en-CA"/>
        </w:rPr>
        <w:t>. National Tax and Customs Administration</w:t>
      </w:r>
      <w:r w:rsidRPr="00EE1E01">
        <w:rPr>
          <w:lang w:val="en-CA"/>
        </w:rPr>
        <w:t xml:space="preserve"> </w:t>
      </w:r>
      <w:r>
        <w:rPr>
          <w:lang w:val="en-CA"/>
        </w:rPr>
        <w:t xml:space="preserve"> of Hungary, </w:t>
      </w:r>
      <w:r w:rsidRPr="00EE1E01">
        <w:rPr>
          <w:rFonts w:ascii="Calibri" w:eastAsia="Times New Roman" w:hAnsi="Calibri" w:cs="Times New Roman"/>
          <w:lang w:val="en-CA"/>
        </w:rPr>
        <w:t>Central Management</w:t>
      </w:r>
      <w:r>
        <w:rPr>
          <w:lang w:val="en-CA"/>
        </w:rPr>
        <w:t xml:space="preserve">, </w:t>
      </w:r>
      <w:r w:rsidRPr="00EE1E01">
        <w:rPr>
          <w:lang w:val="en-CA"/>
        </w:rPr>
        <w:t>Risk Analysis and Data Science Department</w:t>
      </w:r>
      <w:r>
        <w:rPr>
          <w:lang w:val="en-CA"/>
        </w:rPr>
        <w:t>. PowerPoint Presentation.</w:t>
      </w:r>
    </w:p>
    <w:p w14:paraId="3B8750BB" w14:textId="1BB8DA77" w:rsidR="00C06E83" w:rsidRDefault="00C06E83" w:rsidP="00910A94">
      <w:pPr>
        <w:pStyle w:val="ListNumber"/>
      </w:pPr>
      <w:r>
        <w:rPr>
          <w:lang w:val="en-CA"/>
        </w:rPr>
        <w:t xml:space="preserve">Nigeria INFF Core Working Group, 2021. </w:t>
      </w:r>
      <w:r w:rsidRPr="002038EE">
        <w:t>Integrated</w:t>
      </w:r>
      <w:r>
        <w:t xml:space="preserve"> </w:t>
      </w:r>
      <w:r w:rsidRPr="002038EE">
        <w:t>National Financing</w:t>
      </w:r>
      <w:r>
        <w:t xml:space="preserve"> </w:t>
      </w:r>
      <w:r w:rsidRPr="002038EE">
        <w:t>Frameworks: The</w:t>
      </w:r>
      <w:r>
        <w:t xml:space="preserve"> </w:t>
      </w:r>
      <w:r w:rsidRPr="002038EE">
        <w:t xml:space="preserve">Nigeria </w:t>
      </w:r>
      <w:r>
        <w:t>e</w:t>
      </w:r>
      <w:r w:rsidRPr="002038EE">
        <w:t>xperience</w:t>
      </w:r>
      <w:r>
        <w:t>. 25 August 2021.</w:t>
      </w:r>
      <w:r w:rsidR="00356887">
        <w:t xml:space="preserve"> </w:t>
      </w:r>
      <w:r w:rsidR="00356887">
        <w:rPr>
          <w:lang w:val="en-CA"/>
        </w:rPr>
        <w:t xml:space="preserve">PowerPoint Presentation </w:t>
      </w:r>
    </w:p>
    <w:p w14:paraId="5130DA0B" w14:textId="77777777" w:rsidR="00C06E83" w:rsidRDefault="00C06E83" w:rsidP="00910A94">
      <w:pPr>
        <w:pStyle w:val="ListNumber"/>
      </w:pPr>
      <w:r>
        <w:t>PowerPoint Presentation. Online Cash Registers in Slovakia. 22 June 2023.</w:t>
      </w:r>
    </w:p>
    <w:p w14:paraId="5A29B61B" w14:textId="77777777" w:rsidR="00C06E83" w:rsidRDefault="00C06E83" w:rsidP="00910A94">
      <w:pPr>
        <w:pStyle w:val="ListNumber"/>
      </w:pPr>
      <w:r>
        <w:t>PowerPoint Presentation. PPPs in Zambia: State of the Art and Lessons Learned, February 2024.</w:t>
      </w:r>
    </w:p>
    <w:p w14:paraId="5D3CDB49" w14:textId="2223C009" w:rsidR="003C3FE9" w:rsidRDefault="003C3FE9" w:rsidP="00910A94">
      <w:pPr>
        <w:pStyle w:val="ListNumber"/>
      </w:pPr>
      <w:r>
        <w:t xml:space="preserve">PowerPoint Presentation. </w:t>
      </w:r>
      <w:r w:rsidRPr="00514635">
        <w:rPr>
          <w:lang w:val="en-CA"/>
        </w:rPr>
        <w:t xml:space="preserve">The Certificate of Compliance for the Alignment of Annual Budget to NDPIII: </w:t>
      </w:r>
      <w:r w:rsidRPr="00587666">
        <w:rPr>
          <w:lang w:val="en-CA"/>
        </w:rPr>
        <w:t xml:space="preserve">Overview of the </w:t>
      </w:r>
      <w:r w:rsidRPr="00514635">
        <w:rPr>
          <w:lang w:val="en-CA"/>
        </w:rPr>
        <w:t>b</w:t>
      </w:r>
      <w:r w:rsidRPr="00587666">
        <w:rPr>
          <w:lang w:val="en-CA"/>
        </w:rPr>
        <w:t xml:space="preserve">udget </w:t>
      </w:r>
      <w:r w:rsidRPr="00514635">
        <w:rPr>
          <w:lang w:val="en-CA"/>
        </w:rPr>
        <w:t>c</w:t>
      </w:r>
      <w:r w:rsidRPr="00587666">
        <w:rPr>
          <w:lang w:val="en-CA"/>
        </w:rPr>
        <w:t xml:space="preserve">ompliance </w:t>
      </w:r>
      <w:r w:rsidRPr="00514635">
        <w:rPr>
          <w:lang w:val="en-CA"/>
        </w:rPr>
        <w:t>a</w:t>
      </w:r>
      <w:r w:rsidRPr="00587666">
        <w:rPr>
          <w:lang w:val="en-CA"/>
        </w:rPr>
        <w:t>ssessment</w:t>
      </w:r>
      <w:r w:rsidRPr="00514635">
        <w:rPr>
          <w:lang w:val="en-CA"/>
        </w:rPr>
        <w:t xml:space="preserve">. </w:t>
      </w:r>
      <w:r>
        <w:rPr>
          <w:lang w:val="en-CA"/>
        </w:rPr>
        <w:t>PowerPoint Presentation.</w:t>
      </w:r>
    </w:p>
    <w:p w14:paraId="0D3C090C" w14:textId="0B412533" w:rsidR="00C06E83" w:rsidRDefault="00C06E83" w:rsidP="00910A94">
      <w:pPr>
        <w:pStyle w:val="ListNumber"/>
      </w:pPr>
      <w:r>
        <w:t>PPP Centre of the Kyrgyz Republic, 2024. n.d. Development Public-Private Partnership in the Kyrgyz Republic. PowerPoint Presentation.</w:t>
      </w:r>
    </w:p>
    <w:p w14:paraId="034CC057" w14:textId="5E41BD5A" w:rsidR="00C06E83" w:rsidRDefault="00C06E83" w:rsidP="00910A94">
      <w:pPr>
        <w:pStyle w:val="ListNumber"/>
      </w:pPr>
      <w:r>
        <w:t xml:space="preserve">UNCTAD, 2021. Embracing </w:t>
      </w:r>
      <w:r w:rsidRPr="008074AC">
        <w:rPr>
          <w:lang w:val="en-CA"/>
        </w:rPr>
        <w:t xml:space="preserve">a </w:t>
      </w:r>
      <w:r>
        <w:rPr>
          <w:lang w:val="en-CA"/>
        </w:rPr>
        <w:t>N</w:t>
      </w:r>
      <w:r w:rsidRPr="008074AC">
        <w:rPr>
          <w:lang w:val="en-CA"/>
        </w:rPr>
        <w:t xml:space="preserve">ew </w:t>
      </w:r>
      <w:r>
        <w:rPr>
          <w:lang w:val="en-CA"/>
        </w:rPr>
        <w:t>C</w:t>
      </w:r>
      <w:r w:rsidRPr="008074AC">
        <w:rPr>
          <w:lang w:val="en-CA"/>
        </w:rPr>
        <w:t>onceptual</w:t>
      </w:r>
      <w:r>
        <w:rPr>
          <w:lang w:val="en-CA"/>
        </w:rPr>
        <w:t xml:space="preserve"> F</w:t>
      </w:r>
      <w:r w:rsidRPr="008074AC">
        <w:rPr>
          <w:lang w:val="en-CA"/>
        </w:rPr>
        <w:t xml:space="preserve">ramework for the </w:t>
      </w:r>
      <w:r>
        <w:rPr>
          <w:lang w:val="en-CA"/>
        </w:rPr>
        <w:t>S</w:t>
      </w:r>
      <w:r w:rsidRPr="008074AC">
        <w:rPr>
          <w:lang w:val="en-CA"/>
        </w:rPr>
        <w:t>tatistical</w:t>
      </w:r>
      <w:r>
        <w:rPr>
          <w:lang w:val="en-CA"/>
        </w:rPr>
        <w:t xml:space="preserve"> M</w:t>
      </w:r>
      <w:r w:rsidRPr="008074AC">
        <w:rPr>
          <w:lang w:val="en-CA"/>
        </w:rPr>
        <w:t xml:space="preserve">easurement of </w:t>
      </w:r>
      <w:r>
        <w:rPr>
          <w:lang w:val="en-CA"/>
        </w:rPr>
        <w:t>I</w:t>
      </w:r>
      <w:r w:rsidRPr="008074AC">
        <w:rPr>
          <w:lang w:val="en-CA"/>
        </w:rPr>
        <w:t xml:space="preserve">llicit </w:t>
      </w:r>
      <w:r>
        <w:rPr>
          <w:lang w:val="en-CA"/>
        </w:rPr>
        <w:t>F</w:t>
      </w:r>
      <w:r w:rsidRPr="008074AC">
        <w:rPr>
          <w:lang w:val="en-CA"/>
        </w:rPr>
        <w:t>inancial</w:t>
      </w:r>
      <w:r>
        <w:rPr>
          <w:lang w:val="en-CA"/>
        </w:rPr>
        <w:t xml:space="preserve"> F</w:t>
      </w:r>
      <w:r w:rsidRPr="008074AC">
        <w:rPr>
          <w:lang w:val="en-CA"/>
        </w:rPr>
        <w:t>lows</w:t>
      </w:r>
      <w:r>
        <w:rPr>
          <w:lang w:val="en-CA"/>
        </w:rPr>
        <w:t xml:space="preserve">. Policy Brief No. 87, July 2021. </w:t>
      </w:r>
      <w:hyperlink r:id="rId146" w:history="1">
        <w:r w:rsidR="00166E9D" w:rsidRPr="00937D3B">
          <w:rPr>
            <w:rStyle w:val="Hyperlink"/>
            <w:lang w:val="en-CA"/>
          </w:rPr>
          <w:t>https://unctad.org/publication/embracing-new-conceptual-framework-statistical-measurement-illicit-financial-flows</w:t>
        </w:r>
      </w:hyperlink>
      <w:r w:rsidR="00166E9D">
        <w:rPr>
          <w:lang w:val="en-CA"/>
        </w:rPr>
        <w:t xml:space="preserve"> </w:t>
      </w:r>
    </w:p>
    <w:p w14:paraId="327B8C71" w14:textId="77777777" w:rsidR="00C06E83" w:rsidRDefault="00C06E83" w:rsidP="00910A94">
      <w:pPr>
        <w:pStyle w:val="ListNumber"/>
      </w:pPr>
      <w:r w:rsidRPr="009C26D1">
        <w:t>UNCTAD,</w:t>
      </w:r>
      <w:r>
        <w:t xml:space="preserve"> 2022. Annual Progress Reports for Development Account Projects for 2022. Project 2124A: Towards Integrated National Financing Frameworks, January – December 2022.</w:t>
      </w:r>
    </w:p>
    <w:p w14:paraId="48C7A5CB" w14:textId="77777777" w:rsidR="00C06E83" w:rsidRDefault="00C06E83" w:rsidP="00910A94">
      <w:pPr>
        <w:pStyle w:val="ListNumber"/>
      </w:pPr>
      <w:r>
        <w:t xml:space="preserve">UNCTAD, 2024. Annual Progress Reports for Development Account Projects for 2023. Project 2124A: </w:t>
      </w:r>
      <w:r w:rsidRPr="00090671">
        <w:t>Towards Integrated National Financing Frameworks, January – December 2023.</w:t>
      </w:r>
    </w:p>
    <w:p w14:paraId="2E3025F4" w14:textId="314D3BDD" w:rsidR="00C06E83" w:rsidRPr="00CD665C" w:rsidRDefault="00C06E83" w:rsidP="00910A94">
      <w:pPr>
        <w:pStyle w:val="ListNumber"/>
        <w:rPr>
          <w:lang w:val="es-ES"/>
        </w:rPr>
      </w:pPr>
      <w:r>
        <w:lastRenderedPageBreak/>
        <w:t xml:space="preserve">UNCTAD, 2024. Workshops Report. Capacity-building (back-to-back) Workshops on Public-Private Partnerships (PPPs) in Zambia. </w:t>
      </w:r>
      <w:r w:rsidRPr="00CD665C">
        <w:rPr>
          <w:lang w:val="es-ES"/>
        </w:rPr>
        <w:t>12-16 February, Lusaka Zambia.</w:t>
      </w:r>
      <w:r w:rsidR="00CD097C" w:rsidRPr="00CD665C">
        <w:rPr>
          <w:lang w:val="es-ES"/>
        </w:rPr>
        <w:t xml:space="preserve"> </w:t>
      </w:r>
      <w:hyperlink r:id="rId147" w:history="1">
        <w:r w:rsidR="00CD097C" w:rsidRPr="00CD665C">
          <w:rPr>
            <w:rStyle w:val="Hyperlink"/>
            <w:lang w:val="es-ES"/>
          </w:rPr>
          <w:t>https://unctad.org/system/files/information-document/tlb_2024-02-12-zambia_report.pdf</w:t>
        </w:r>
      </w:hyperlink>
      <w:r w:rsidR="00CD097C" w:rsidRPr="00CD665C">
        <w:rPr>
          <w:lang w:val="es-ES"/>
        </w:rPr>
        <w:t xml:space="preserve"> </w:t>
      </w:r>
    </w:p>
    <w:p w14:paraId="082CC6E1" w14:textId="7941FF34" w:rsidR="00C06E83" w:rsidRDefault="00C06E83" w:rsidP="00910A94">
      <w:pPr>
        <w:pStyle w:val="ListNumber"/>
      </w:pPr>
      <w:r>
        <w:t>UNCTAD, n.d. Accounting and Financial Reporting Guidelines for Small and Medium-Sized Enterprises (SMEGA) – Level 3 Guidance.</w:t>
      </w:r>
      <w:r w:rsidR="006771DC">
        <w:t xml:space="preserve"> </w:t>
      </w:r>
      <w:hyperlink r:id="rId148" w:history="1">
        <w:r w:rsidR="006771DC" w:rsidRPr="00937D3B">
          <w:rPr>
            <w:rStyle w:val="Hyperlink"/>
          </w:rPr>
          <w:t>https://unctad.org/system/files/official-document/diaeed20092_en.pdf</w:t>
        </w:r>
      </w:hyperlink>
      <w:r w:rsidR="006771DC">
        <w:t xml:space="preserve"> </w:t>
      </w:r>
    </w:p>
    <w:p w14:paraId="38D652EC" w14:textId="77777777" w:rsidR="00C06E83" w:rsidRDefault="00C06E83" w:rsidP="00910A94">
      <w:pPr>
        <w:pStyle w:val="ListNumber"/>
      </w:pPr>
      <w:r>
        <w:t>UNDESA, 2021. Development Account Project ‘Towards Integrated National Financing Frameworks’: Baseline Paper (20 August 2021)</w:t>
      </w:r>
    </w:p>
    <w:p w14:paraId="1137EF85" w14:textId="77777777" w:rsidR="00C06E83" w:rsidRDefault="00C06E83" w:rsidP="00910A94">
      <w:pPr>
        <w:pStyle w:val="ListNumber"/>
      </w:pPr>
      <w:r>
        <w:t>UNDESA, 2021. Draft Project Document for the 13</w:t>
      </w:r>
      <w:r w:rsidRPr="00A8581B">
        <w:rPr>
          <w:vertAlign w:val="superscript"/>
        </w:rPr>
        <w:t>th</w:t>
      </w:r>
      <w:r>
        <w:t xml:space="preserve"> Tranche of the Development Account</w:t>
      </w:r>
    </w:p>
    <w:p w14:paraId="29EC753E" w14:textId="77777777" w:rsidR="00C06E83" w:rsidRPr="00FE5865" w:rsidRDefault="00C06E83" w:rsidP="00910A94">
      <w:pPr>
        <w:pStyle w:val="ListNumber"/>
      </w:pPr>
      <w:r w:rsidRPr="00FE5865">
        <w:t xml:space="preserve">UNDESA, 2021. </w:t>
      </w:r>
      <w:r w:rsidRPr="003F775A">
        <w:rPr>
          <w:lang w:val="en-CA"/>
        </w:rPr>
        <w:t>INFF Building Block 1</w:t>
      </w:r>
      <w:r w:rsidRPr="00FE5865">
        <w:rPr>
          <w:lang w:val="en-CA"/>
        </w:rPr>
        <w:t xml:space="preserve">: </w:t>
      </w:r>
      <w:r w:rsidRPr="003F775A">
        <w:rPr>
          <w:lang w:val="en-CA"/>
        </w:rPr>
        <w:t>Assessments and</w:t>
      </w:r>
      <w:r w:rsidRPr="00FE5865">
        <w:rPr>
          <w:lang w:val="en-CA"/>
        </w:rPr>
        <w:t xml:space="preserve"> </w:t>
      </w:r>
      <w:r w:rsidRPr="003F775A">
        <w:rPr>
          <w:lang w:val="en-CA"/>
        </w:rPr>
        <w:t>Diagnostics</w:t>
      </w:r>
      <w:r w:rsidRPr="00FE5865">
        <w:rPr>
          <w:lang w:val="en-CA"/>
        </w:rPr>
        <w:t xml:space="preserve">. </w:t>
      </w:r>
      <w:r>
        <w:rPr>
          <w:lang w:val="en-CA"/>
        </w:rPr>
        <w:t xml:space="preserve">PowerPoint Presentation. </w:t>
      </w:r>
      <w:r w:rsidRPr="003F775A">
        <w:rPr>
          <w:lang w:val="en-CA"/>
        </w:rPr>
        <w:t>DESA/FSDO</w:t>
      </w:r>
      <w:r w:rsidRPr="00FE5865">
        <w:rPr>
          <w:lang w:val="en-CA"/>
        </w:rPr>
        <w:t>. 25 August</w:t>
      </w:r>
    </w:p>
    <w:p w14:paraId="6F5AA0A4" w14:textId="77777777" w:rsidR="00C06E83" w:rsidRDefault="00C06E83" w:rsidP="00910A94">
      <w:pPr>
        <w:pStyle w:val="ListNumber"/>
        <w:rPr>
          <w:lang w:val="en-CA"/>
        </w:rPr>
      </w:pPr>
      <w:r w:rsidRPr="0091560B">
        <w:t xml:space="preserve">UNDESA, 2021. </w:t>
      </w:r>
      <w:r w:rsidRPr="0091560B">
        <w:rPr>
          <w:lang w:val="en-CA"/>
        </w:rPr>
        <w:t xml:space="preserve">INFF Building Block 2 Financing Strategy. </w:t>
      </w:r>
      <w:r>
        <w:rPr>
          <w:lang w:val="en-CA"/>
        </w:rPr>
        <w:t xml:space="preserve">PowerPoint Presentation. </w:t>
      </w:r>
      <w:r w:rsidRPr="0091560B">
        <w:rPr>
          <w:lang w:val="en-CA"/>
        </w:rPr>
        <w:t>UNDESA.</w:t>
      </w:r>
    </w:p>
    <w:p w14:paraId="02D19A9C" w14:textId="77777777" w:rsidR="00C06E83" w:rsidRDefault="00C06E83" w:rsidP="00910A94">
      <w:pPr>
        <w:pStyle w:val="ListNumber"/>
      </w:pPr>
      <w:r w:rsidRPr="0091560B">
        <w:t xml:space="preserve">UNDESA, 2021. </w:t>
      </w:r>
      <w:r w:rsidRPr="0091560B">
        <w:rPr>
          <w:lang w:val="en-CA"/>
        </w:rPr>
        <w:t xml:space="preserve">INFF Building Block </w:t>
      </w:r>
      <w:r>
        <w:rPr>
          <w:lang w:val="en-CA"/>
        </w:rPr>
        <w:t>3</w:t>
      </w:r>
      <w:r w:rsidRPr="0091560B">
        <w:rPr>
          <w:lang w:val="en-CA"/>
        </w:rPr>
        <w:t xml:space="preserve"> </w:t>
      </w:r>
      <w:r>
        <w:rPr>
          <w:lang w:val="en-CA"/>
        </w:rPr>
        <w:t>Monitoring and Review</w:t>
      </w:r>
      <w:r w:rsidRPr="0091560B">
        <w:rPr>
          <w:lang w:val="en-CA"/>
        </w:rPr>
        <w:t xml:space="preserve">. </w:t>
      </w:r>
      <w:r>
        <w:rPr>
          <w:lang w:val="en-CA"/>
        </w:rPr>
        <w:t xml:space="preserve">PowerPoint Presentation. </w:t>
      </w:r>
      <w:r w:rsidRPr="0091560B">
        <w:rPr>
          <w:lang w:val="en-CA"/>
        </w:rPr>
        <w:t>UNDESA.</w:t>
      </w:r>
    </w:p>
    <w:p w14:paraId="3E24FCDB" w14:textId="77777777" w:rsidR="00C06E83" w:rsidRDefault="00C06E83" w:rsidP="00910A94">
      <w:pPr>
        <w:pStyle w:val="ListNumber"/>
      </w:pPr>
      <w:r w:rsidRPr="0091560B">
        <w:t xml:space="preserve">UNDESA, 2021. </w:t>
      </w:r>
      <w:r w:rsidRPr="0091560B">
        <w:rPr>
          <w:lang w:val="en-CA"/>
        </w:rPr>
        <w:t xml:space="preserve">INFF Building Block </w:t>
      </w:r>
      <w:r>
        <w:rPr>
          <w:lang w:val="en-CA"/>
        </w:rPr>
        <w:t>4 Governance and Coordination</w:t>
      </w:r>
      <w:r w:rsidRPr="0091560B">
        <w:rPr>
          <w:lang w:val="en-CA"/>
        </w:rPr>
        <w:t xml:space="preserve">. </w:t>
      </w:r>
      <w:r>
        <w:rPr>
          <w:lang w:val="en-CA"/>
        </w:rPr>
        <w:t xml:space="preserve">PowerPoint Presentation. </w:t>
      </w:r>
      <w:r w:rsidRPr="0091560B">
        <w:rPr>
          <w:lang w:val="en-CA"/>
        </w:rPr>
        <w:t>UNDESA.</w:t>
      </w:r>
    </w:p>
    <w:p w14:paraId="2C054184" w14:textId="77777777" w:rsidR="00C06E83" w:rsidRDefault="00C06E83" w:rsidP="00910A94">
      <w:pPr>
        <w:pStyle w:val="ListNumber"/>
      </w:pPr>
      <w:r>
        <w:t>UNDESA, 2021. Progress Report of Project 2124A: Towards Integrated National Financing Frameworks., March – December 2021.</w:t>
      </w:r>
    </w:p>
    <w:p w14:paraId="60AF3B45" w14:textId="7E5184FF" w:rsidR="00C06E83" w:rsidRDefault="00C06E83" w:rsidP="00910A94">
      <w:pPr>
        <w:pStyle w:val="ListNumber"/>
      </w:pPr>
      <w:r>
        <w:t>UNDESA, 2022. Support to Integrated National Financing Frameworks (INFFs) in SIDS</w:t>
      </w:r>
      <w:r w:rsidR="006A791D">
        <w:t>. Project document.</w:t>
      </w:r>
    </w:p>
    <w:p w14:paraId="3D81A97F" w14:textId="77777777" w:rsidR="00C06E83" w:rsidRDefault="00C06E83" w:rsidP="00910A94">
      <w:pPr>
        <w:pStyle w:val="ListNumber"/>
      </w:pPr>
      <w:r>
        <w:t>UNDESA, 2024. Annual Progress Report for Development Account Projects for 2023</w:t>
      </w:r>
    </w:p>
    <w:p w14:paraId="32504867" w14:textId="77777777" w:rsidR="00C06E83" w:rsidRDefault="00C06E83" w:rsidP="00910A94">
      <w:pPr>
        <w:pStyle w:val="ListNumber"/>
      </w:pPr>
      <w:r>
        <w:t>UNDESA, 2024. Budget Annex. Final Progress Report of Project 2124A: Towards Integrated National Financing Frameworks., March – December 2024.</w:t>
      </w:r>
    </w:p>
    <w:p w14:paraId="4CF65409" w14:textId="77777777" w:rsidR="00C06E83" w:rsidRDefault="00C06E83" w:rsidP="00910A94">
      <w:pPr>
        <w:pStyle w:val="ListNumber"/>
      </w:pPr>
      <w:r>
        <w:t>UNDESA, 2024. Final Progress Report of Project 2124A: Towards Integrated National Financing Frameworks., March – December 2024.</w:t>
      </w:r>
    </w:p>
    <w:p w14:paraId="2102B516" w14:textId="77777777" w:rsidR="00C06E83" w:rsidRDefault="00C06E83" w:rsidP="00910A94">
      <w:pPr>
        <w:pStyle w:val="ListNumber"/>
        <w:rPr>
          <w:lang w:val="en-CA"/>
        </w:rPr>
      </w:pPr>
      <w:r>
        <w:t xml:space="preserve">UNDESA, 2024. </w:t>
      </w:r>
      <w:r w:rsidRPr="00220441">
        <w:rPr>
          <w:lang w:val="en-CA"/>
        </w:rPr>
        <w:t>Transforming Economies through Integrated National Financing Frameworks (INFFs) An INFF Event Friday, 26 April 2024</w:t>
      </w:r>
      <w:r>
        <w:rPr>
          <w:lang w:val="en-CA"/>
        </w:rPr>
        <w:t>. Event Report.</w:t>
      </w:r>
    </w:p>
    <w:p w14:paraId="7FE9E255" w14:textId="77777777" w:rsidR="00C06E83" w:rsidRDefault="00C06E83" w:rsidP="00910A94">
      <w:pPr>
        <w:pStyle w:val="ListNumber"/>
      </w:pPr>
      <w:r>
        <w:t>UNDESA, n.d. Financing for Small Island Developing States – FINS project, 2-pager</w:t>
      </w:r>
    </w:p>
    <w:p w14:paraId="4A9CD2CF" w14:textId="77777777" w:rsidR="00C06E83" w:rsidRDefault="00C06E83" w:rsidP="00910A94">
      <w:pPr>
        <w:pStyle w:val="ListNumber"/>
      </w:pPr>
      <w:r>
        <w:t>UNDESA, n.d. Integrated National Financing Framework (INFF): Compendium of Experiences on the Design and Implementation of the Approach. Working Draft.</w:t>
      </w:r>
    </w:p>
    <w:p w14:paraId="7D5039D2" w14:textId="77777777" w:rsidR="00C06E83" w:rsidRDefault="00C06E83" w:rsidP="00910A94">
      <w:pPr>
        <w:pStyle w:val="ListNumber"/>
        <w:rPr>
          <w:lang w:val="en-CA"/>
        </w:rPr>
      </w:pPr>
      <w:r w:rsidRPr="00C9743E">
        <w:rPr>
          <w:lang w:val="en-CA"/>
        </w:rPr>
        <w:t>UNDP Africa Finance Sector Hub</w:t>
      </w:r>
      <w:r>
        <w:rPr>
          <w:lang w:val="en-CA"/>
        </w:rPr>
        <w:t xml:space="preserve">, 2021. </w:t>
      </w:r>
      <w:r w:rsidRPr="00C9743E">
        <w:rPr>
          <w:lang w:val="en-CA"/>
        </w:rPr>
        <w:t xml:space="preserve">The INFF African </w:t>
      </w:r>
      <w:r>
        <w:rPr>
          <w:lang w:val="en-CA"/>
        </w:rPr>
        <w:t>C</w:t>
      </w:r>
      <w:r w:rsidRPr="00C9743E">
        <w:rPr>
          <w:lang w:val="en-CA"/>
        </w:rPr>
        <w:t>ountry</w:t>
      </w:r>
      <w:r>
        <w:rPr>
          <w:lang w:val="en-CA"/>
        </w:rPr>
        <w:t xml:space="preserve"> </w:t>
      </w:r>
      <w:r w:rsidRPr="00C9743E">
        <w:rPr>
          <w:lang w:val="en-CA"/>
        </w:rPr>
        <w:t xml:space="preserve">and </w:t>
      </w:r>
      <w:r>
        <w:rPr>
          <w:lang w:val="en-CA"/>
        </w:rPr>
        <w:t>R</w:t>
      </w:r>
      <w:r w:rsidRPr="00C9743E">
        <w:rPr>
          <w:lang w:val="en-CA"/>
        </w:rPr>
        <w:t xml:space="preserve">egional </w:t>
      </w:r>
      <w:r>
        <w:rPr>
          <w:lang w:val="en-CA"/>
        </w:rPr>
        <w:t>L</w:t>
      </w:r>
      <w:r w:rsidRPr="00C9743E">
        <w:rPr>
          <w:lang w:val="en-CA"/>
        </w:rPr>
        <w:t>andscape</w:t>
      </w:r>
      <w:r>
        <w:rPr>
          <w:lang w:val="en-CA"/>
        </w:rPr>
        <w:t>. PowerPoint Presentation.</w:t>
      </w:r>
    </w:p>
    <w:p w14:paraId="09C71957" w14:textId="77777777" w:rsidR="00C06E83" w:rsidRDefault="00C06E83" w:rsidP="00910A94">
      <w:pPr>
        <w:pStyle w:val="ListNumber"/>
        <w:rPr>
          <w:lang w:val="en-CA"/>
        </w:rPr>
      </w:pPr>
      <w:r w:rsidRPr="00C9743E">
        <w:rPr>
          <w:lang w:val="en-CA"/>
        </w:rPr>
        <w:t>UNDP Africa Finance Sector Hub</w:t>
      </w:r>
      <w:r>
        <w:rPr>
          <w:lang w:val="en-CA"/>
        </w:rPr>
        <w:t xml:space="preserve">, 2021. </w:t>
      </w:r>
      <w:r w:rsidRPr="00C9743E">
        <w:rPr>
          <w:lang w:val="en-CA"/>
        </w:rPr>
        <w:t xml:space="preserve">The </w:t>
      </w:r>
      <w:r>
        <w:rPr>
          <w:lang w:val="en-CA"/>
        </w:rPr>
        <w:t xml:space="preserve">Next Steps: </w:t>
      </w:r>
      <w:r w:rsidRPr="00C9743E">
        <w:rPr>
          <w:lang w:val="en-CA"/>
        </w:rPr>
        <w:t xml:space="preserve">INFF African </w:t>
      </w:r>
      <w:r>
        <w:rPr>
          <w:lang w:val="en-CA"/>
        </w:rPr>
        <w:t xml:space="preserve">Agenda. PowerPoint Presentation. </w:t>
      </w:r>
    </w:p>
    <w:p w14:paraId="3623CF62" w14:textId="02041569" w:rsidR="00C06E83" w:rsidRPr="00A61870" w:rsidRDefault="00C06E83" w:rsidP="00910A94">
      <w:pPr>
        <w:pStyle w:val="ListNumber"/>
      </w:pPr>
      <w:r w:rsidRPr="00A61870">
        <w:rPr>
          <w:lang w:val="en-CA"/>
        </w:rPr>
        <w:t xml:space="preserve">UNECA , 2021. </w:t>
      </w:r>
      <w:r w:rsidRPr="00D57115">
        <w:t xml:space="preserve">The </w:t>
      </w:r>
      <w:r w:rsidR="00D350F1">
        <w:t>I</w:t>
      </w:r>
      <w:r w:rsidRPr="00D57115">
        <w:t xml:space="preserve">ntegrated </w:t>
      </w:r>
      <w:r w:rsidR="00D350F1">
        <w:t>N</w:t>
      </w:r>
      <w:r w:rsidRPr="00D57115">
        <w:t xml:space="preserve">ational </w:t>
      </w:r>
      <w:r w:rsidR="00D350F1">
        <w:t>F</w:t>
      </w:r>
      <w:r w:rsidRPr="00D57115">
        <w:t xml:space="preserve">inancing </w:t>
      </w:r>
      <w:r w:rsidR="00D350F1">
        <w:t>F</w:t>
      </w:r>
      <w:r w:rsidRPr="00D57115">
        <w:t>ramework and the</w:t>
      </w:r>
      <w:r w:rsidRPr="00A61870">
        <w:t xml:space="preserve"> </w:t>
      </w:r>
      <w:r w:rsidRPr="00D57115">
        <w:t>Development Account Tranche 13 Project in Africa</w:t>
      </w:r>
      <w:r w:rsidRPr="00A61870">
        <w:t xml:space="preserve">. UNDESA/ UNECA. PowerPoint Presentation. </w:t>
      </w:r>
      <w:r w:rsidRPr="00A61870">
        <w:rPr>
          <w:lang w:val="en-CA"/>
        </w:rPr>
        <w:t>August 24, 2021</w:t>
      </w:r>
    </w:p>
    <w:p w14:paraId="16D7C5F6" w14:textId="77777777" w:rsidR="00C06E83" w:rsidRDefault="00C06E83" w:rsidP="00910A94">
      <w:pPr>
        <w:pStyle w:val="ListNumber"/>
        <w:rPr>
          <w:lang w:val="en-CA"/>
        </w:rPr>
      </w:pPr>
      <w:r>
        <w:rPr>
          <w:lang w:val="en-CA"/>
        </w:rPr>
        <w:t xml:space="preserve">UNECA, 2019. </w:t>
      </w:r>
      <w:r w:rsidRPr="00761303">
        <w:t>Integrated Planning and Reporting Toolkit: A dynamic software for aligning</w:t>
      </w:r>
      <w:r>
        <w:t xml:space="preserve"> </w:t>
      </w:r>
      <w:r w:rsidRPr="00761303">
        <w:t>the 2030 Agenda and Agenda 2030 and national development plans</w:t>
      </w:r>
      <w:r>
        <w:t xml:space="preserve">. </w:t>
      </w:r>
      <w:r w:rsidRPr="00761303">
        <w:t>Information Note and Frequently Asked Questions</w:t>
      </w:r>
      <w:r>
        <w:t xml:space="preserve">, </w:t>
      </w:r>
      <w:r w:rsidRPr="00761303">
        <w:rPr>
          <w:lang w:val="en-CA"/>
        </w:rPr>
        <w:t>March 2019</w:t>
      </w:r>
      <w:r>
        <w:rPr>
          <w:lang w:val="en-CA"/>
        </w:rPr>
        <w:t>.</w:t>
      </w:r>
    </w:p>
    <w:p w14:paraId="6ED21C4C" w14:textId="77777777" w:rsidR="00C06E83" w:rsidRPr="00464503" w:rsidRDefault="00C06E83" w:rsidP="00910A94">
      <w:pPr>
        <w:pStyle w:val="ListNumber"/>
        <w:rPr>
          <w:lang w:val="en-CA"/>
        </w:rPr>
      </w:pPr>
      <w:r>
        <w:rPr>
          <w:lang w:val="en-CA"/>
        </w:rPr>
        <w:t xml:space="preserve">UNECA, 2021. </w:t>
      </w:r>
      <w:r w:rsidRPr="00183CA0">
        <w:t>Africa Regional Training</w:t>
      </w:r>
      <w:r w:rsidRPr="00464503">
        <w:t xml:space="preserve"> </w:t>
      </w:r>
      <w:r w:rsidRPr="00183CA0">
        <w:t>on Integrated National Financial Framework</w:t>
      </w:r>
      <w:r w:rsidRPr="00464503">
        <w:t>: .</w:t>
      </w:r>
      <w:r w:rsidRPr="00183CA0">
        <w:t>An overview of the ECA’s Integrated Planning and Reporting Toolkit (IPRT)</w:t>
      </w:r>
      <w:r w:rsidRPr="00464503">
        <w:t xml:space="preserve">. Concept Note, </w:t>
      </w:r>
      <w:r w:rsidRPr="00464503">
        <w:rPr>
          <w:lang w:val="en-CA"/>
        </w:rPr>
        <w:t>Tuesday, 24 August 2021.</w:t>
      </w:r>
    </w:p>
    <w:p w14:paraId="0D9476B7" w14:textId="77777777" w:rsidR="00C06E83" w:rsidRPr="000E632F" w:rsidRDefault="00C06E83" w:rsidP="00910A94">
      <w:pPr>
        <w:pStyle w:val="ListNumber"/>
        <w:rPr>
          <w:lang w:val="en-CA"/>
        </w:rPr>
      </w:pPr>
      <w:r w:rsidRPr="000E632F">
        <w:rPr>
          <w:lang w:val="en-CA"/>
        </w:rPr>
        <w:t xml:space="preserve">UNECA, 2021. </w:t>
      </w:r>
      <w:r w:rsidRPr="00183CA0">
        <w:t>Africa Regional Training</w:t>
      </w:r>
      <w:r w:rsidRPr="000E632F">
        <w:t xml:space="preserve"> </w:t>
      </w:r>
      <w:r w:rsidRPr="00183CA0">
        <w:t>on Integrated National Financial Framework</w:t>
      </w:r>
      <w:r w:rsidRPr="000E632F">
        <w:t xml:space="preserve">: </w:t>
      </w:r>
      <w:r w:rsidRPr="00517ECE">
        <w:t>Deep Dive into INFF Building Block 1 “Assessment and Diagnostics</w:t>
      </w:r>
      <w:r w:rsidRPr="000E632F">
        <w:t>.</w:t>
      </w:r>
      <w:r w:rsidRPr="00517ECE">
        <w:t>”</w:t>
      </w:r>
      <w:r w:rsidRPr="000E632F">
        <w:t xml:space="preserve"> Concept Note, </w:t>
      </w:r>
      <w:r w:rsidRPr="000E632F">
        <w:rPr>
          <w:lang w:val="en-CA"/>
        </w:rPr>
        <w:t>Wednesday, 25 August 2021.</w:t>
      </w:r>
    </w:p>
    <w:p w14:paraId="139AFB90" w14:textId="77777777" w:rsidR="00C06E83" w:rsidRPr="000E632F" w:rsidRDefault="00C06E83" w:rsidP="00910A94">
      <w:pPr>
        <w:pStyle w:val="ListNumber"/>
        <w:rPr>
          <w:lang w:val="en-CA"/>
        </w:rPr>
      </w:pPr>
      <w:r w:rsidRPr="000E632F">
        <w:rPr>
          <w:lang w:val="en-CA"/>
        </w:rPr>
        <w:lastRenderedPageBreak/>
        <w:t xml:space="preserve">UNECA, 2021. </w:t>
      </w:r>
      <w:r w:rsidRPr="00183CA0">
        <w:t>Africa Regional Training</w:t>
      </w:r>
      <w:r w:rsidRPr="000E632F">
        <w:t xml:space="preserve"> </w:t>
      </w:r>
      <w:r w:rsidRPr="00183CA0">
        <w:t>on Integrated National Financial Framework</w:t>
      </w:r>
      <w:r w:rsidRPr="000E632F">
        <w:t xml:space="preserve">: </w:t>
      </w:r>
      <w:r w:rsidRPr="00517ECE">
        <w:t xml:space="preserve">Deep Dive into INFF Building Block </w:t>
      </w:r>
      <w:r>
        <w:t>2</w:t>
      </w:r>
      <w:r w:rsidRPr="00517ECE">
        <w:t xml:space="preserve"> “</w:t>
      </w:r>
      <w:r>
        <w:t>Financing Strategy</w:t>
      </w:r>
      <w:r w:rsidRPr="000E632F">
        <w:t>.</w:t>
      </w:r>
      <w:r w:rsidRPr="00517ECE">
        <w:t>”</w:t>
      </w:r>
      <w:r w:rsidRPr="000E632F">
        <w:t xml:space="preserve"> Concept Note, </w:t>
      </w:r>
      <w:r w:rsidRPr="000E632F">
        <w:rPr>
          <w:lang w:val="en-CA"/>
        </w:rPr>
        <w:t>Wednesday, 25 August 2021.</w:t>
      </w:r>
    </w:p>
    <w:p w14:paraId="3BB175D1" w14:textId="77777777" w:rsidR="00C06E83" w:rsidRPr="000E632F" w:rsidRDefault="00C06E83" w:rsidP="00910A94">
      <w:pPr>
        <w:pStyle w:val="ListNumber"/>
        <w:rPr>
          <w:lang w:val="en-CA"/>
        </w:rPr>
      </w:pPr>
      <w:r w:rsidRPr="000E632F">
        <w:rPr>
          <w:lang w:val="en-CA"/>
        </w:rPr>
        <w:t xml:space="preserve">UNECA, 2021. </w:t>
      </w:r>
      <w:r w:rsidRPr="00183CA0">
        <w:t>Africa Regional Training</w:t>
      </w:r>
      <w:r w:rsidRPr="000E632F">
        <w:t xml:space="preserve"> </w:t>
      </w:r>
      <w:r w:rsidRPr="00183CA0">
        <w:t>on Integrated National Financial Framework</w:t>
      </w:r>
      <w:r w:rsidRPr="000E632F">
        <w:t xml:space="preserve">: </w:t>
      </w:r>
      <w:r w:rsidRPr="00517ECE">
        <w:t xml:space="preserve">Deep Dive into INFF Building Block </w:t>
      </w:r>
      <w:r>
        <w:t>3</w:t>
      </w:r>
      <w:r w:rsidRPr="00517ECE">
        <w:t xml:space="preserve"> “</w:t>
      </w:r>
      <w:r>
        <w:t>Monitoring and Review</w:t>
      </w:r>
      <w:r w:rsidRPr="000E632F">
        <w:t>.</w:t>
      </w:r>
      <w:r w:rsidRPr="00517ECE">
        <w:t>”</w:t>
      </w:r>
      <w:r w:rsidRPr="000E632F">
        <w:t xml:space="preserve"> Concept Note, </w:t>
      </w:r>
      <w:r w:rsidRPr="000E632F">
        <w:rPr>
          <w:lang w:val="en-CA"/>
        </w:rPr>
        <w:t>Wednesday, 25 August 2021.</w:t>
      </w:r>
    </w:p>
    <w:p w14:paraId="220196BD" w14:textId="77777777" w:rsidR="00C06E83" w:rsidRDefault="00C06E83" w:rsidP="00910A94">
      <w:pPr>
        <w:pStyle w:val="ListNumber"/>
        <w:rPr>
          <w:lang w:val="en-CA"/>
        </w:rPr>
      </w:pPr>
      <w:r w:rsidRPr="000E632F">
        <w:rPr>
          <w:lang w:val="en-CA"/>
        </w:rPr>
        <w:t xml:space="preserve">UNECA, 2021. </w:t>
      </w:r>
      <w:r w:rsidRPr="00183CA0">
        <w:t>Africa Regional Training</w:t>
      </w:r>
      <w:r w:rsidRPr="000E632F">
        <w:t xml:space="preserve"> </w:t>
      </w:r>
      <w:r w:rsidRPr="00183CA0">
        <w:t>on Integrated National Financial Framework</w:t>
      </w:r>
      <w:r w:rsidRPr="000E632F">
        <w:t xml:space="preserve">: </w:t>
      </w:r>
      <w:r w:rsidRPr="00517ECE">
        <w:t xml:space="preserve">Deep Dive into INFF Building Block </w:t>
      </w:r>
      <w:r>
        <w:t>4</w:t>
      </w:r>
      <w:r w:rsidRPr="00517ECE">
        <w:t xml:space="preserve"> “</w:t>
      </w:r>
      <w:r>
        <w:t>Governance and Coordination</w:t>
      </w:r>
      <w:r w:rsidRPr="000E632F">
        <w:t>.</w:t>
      </w:r>
      <w:r w:rsidRPr="00517ECE">
        <w:t>”</w:t>
      </w:r>
      <w:r w:rsidRPr="000E632F">
        <w:t xml:space="preserve"> Concept Note, </w:t>
      </w:r>
      <w:r>
        <w:t>Thursday 26</w:t>
      </w:r>
      <w:r w:rsidRPr="000E632F">
        <w:rPr>
          <w:lang w:val="en-CA"/>
        </w:rPr>
        <w:t xml:space="preserve"> August 2021.</w:t>
      </w:r>
    </w:p>
    <w:p w14:paraId="320092E6" w14:textId="2F1B377B" w:rsidR="00C06E83" w:rsidRPr="00B95120" w:rsidRDefault="00C06E83" w:rsidP="00910A94">
      <w:pPr>
        <w:pStyle w:val="ListNumber"/>
        <w:rPr>
          <w:lang w:val="en-CA"/>
        </w:rPr>
      </w:pPr>
      <w:r w:rsidRPr="00B95120">
        <w:rPr>
          <w:lang w:val="en-CA"/>
        </w:rPr>
        <w:t xml:space="preserve">UNECA, 2021. </w:t>
      </w:r>
      <w:r w:rsidRPr="001E7B73">
        <w:t xml:space="preserve">Integrated Planning </w:t>
      </w:r>
      <w:r w:rsidRPr="00B95120">
        <w:t xml:space="preserve">and </w:t>
      </w:r>
      <w:r w:rsidRPr="00B95120">
        <w:rPr>
          <w:lang w:val="en-CA"/>
        </w:rPr>
        <w:t xml:space="preserve">Reporting Toolkit. PowerPoint Presentation. </w:t>
      </w:r>
    </w:p>
    <w:p w14:paraId="5B104AE8" w14:textId="024B4A17" w:rsidR="00C06E83" w:rsidRDefault="00C06E83" w:rsidP="00910A94">
      <w:pPr>
        <w:pStyle w:val="ListNumber"/>
        <w:rPr>
          <w:lang w:val="en-CA"/>
        </w:rPr>
      </w:pPr>
      <w:r>
        <w:rPr>
          <w:lang w:val="en-CA"/>
        </w:rPr>
        <w:t>UNECA, 2021. Regional Training Workshop on Integrated National Financing Frameworks in Africa. Evaluation Report.</w:t>
      </w:r>
      <w:r w:rsidR="007635E9">
        <w:rPr>
          <w:lang w:val="en-CA"/>
        </w:rPr>
        <w:t xml:space="preserve"> </w:t>
      </w:r>
      <w:hyperlink r:id="rId149" w:history="1">
        <w:r w:rsidR="007635E9" w:rsidRPr="00937D3B">
          <w:rPr>
            <w:rStyle w:val="Hyperlink"/>
            <w:lang w:val="en-CA"/>
          </w:rPr>
          <w:t>https://www.uneca.org/sites/default/files/MGD/INFF/Evaluation%20Report%20-%20Workshop%20on%20Integrated%20National%20Financing%20Frameworks%20-%20INFF.pdf</w:t>
        </w:r>
      </w:hyperlink>
      <w:r w:rsidR="007635E9">
        <w:rPr>
          <w:lang w:val="en-CA"/>
        </w:rPr>
        <w:t xml:space="preserve"> </w:t>
      </w:r>
    </w:p>
    <w:p w14:paraId="1B169FD1" w14:textId="1312D046" w:rsidR="00C06E83" w:rsidRDefault="00C06E83" w:rsidP="00910A94">
      <w:pPr>
        <w:pStyle w:val="ListNumber"/>
        <w:rPr>
          <w:lang w:val="en-CA"/>
        </w:rPr>
      </w:pPr>
      <w:r>
        <w:rPr>
          <w:lang w:val="en-CA"/>
        </w:rPr>
        <w:t>UNECA, 2021. Regional Training Workshop on Integrated National Financing Frameworks in Africa. Workshop Report.</w:t>
      </w:r>
      <w:r w:rsidR="0015601C">
        <w:rPr>
          <w:lang w:val="en-CA"/>
        </w:rPr>
        <w:t xml:space="preserve"> </w:t>
      </w:r>
      <w:hyperlink r:id="rId150" w:history="1">
        <w:r w:rsidR="0015601C" w:rsidRPr="00937D3B">
          <w:rPr>
            <w:rStyle w:val="Hyperlink"/>
            <w:lang w:val="en-CA"/>
          </w:rPr>
          <w:t>https://inff.org/resource/regional-training-workshop-on-inffs-in-africa-workshop-report</w:t>
        </w:r>
      </w:hyperlink>
      <w:r w:rsidR="0015601C">
        <w:rPr>
          <w:lang w:val="en-CA"/>
        </w:rPr>
        <w:t xml:space="preserve"> </w:t>
      </w:r>
    </w:p>
    <w:p w14:paraId="4DFDE03A" w14:textId="581222D8" w:rsidR="00C06E83" w:rsidRDefault="00C06E83" w:rsidP="00910A94">
      <w:pPr>
        <w:pStyle w:val="ListNumber"/>
      </w:pPr>
      <w:r>
        <w:t>UNECA, 2021. Standard Letter of Agreement between UNDP and UNECA for the implementation of the Integrated National Financing Framework project in Burkina Faso</w:t>
      </w:r>
    </w:p>
    <w:p w14:paraId="1F8FFFF7" w14:textId="77777777" w:rsidR="00C06E83" w:rsidRDefault="00C06E83" w:rsidP="00910A94">
      <w:pPr>
        <w:pStyle w:val="ListNumber"/>
      </w:pPr>
      <w:r>
        <w:t>UNECA, 2022. Annual Progress Reports for Development Account Projects for 2022. Project 2124A: Towards Integrated National Financing Frameworks, January – December 2022.</w:t>
      </w:r>
    </w:p>
    <w:p w14:paraId="725B79F9" w14:textId="77777777" w:rsidR="00C06E83" w:rsidRPr="008E208A" w:rsidRDefault="00C06E83" w:rsidP="00910A94">
      <w:pPr>
        <w:pStyle w:val="ListNumber"/>
      </w:pPr>
      <w:r w:rsidRPr="008E208A">
        <w:t xml:space="preserve">UNECA, 2023. </w:t>
      </w:r>
      <w:r w:rsidRPr="00F340FE">
        <w:rPr>
          <w:lang w:val="en-CA"/>
        </w:rPr>
        <w:t>Zambia</w:t>
      </w:r>
      <w:r w:rsidRPr="008E208A">
        <w:rPr>
          <w:lang w:val="en-CA"/>
        </w:rPr>
        <w:t>: Infrastructure Public-Private Partnership Diagnostic Study Report, February 2023.</w:t>
      </w:r>
    </w:p>
    <w:p w14:paraId="3A633E18" w14:textId="77777777" w:rsidR="00C06E83" w:rsidRDefault="00C06E83" w:rsidP="00910A94">
      <w:pPr>
        <w:pStyle w:val="ListNumber"/>
      </w:pPr>
      <w:r>
        <w:t>UNECA, 2024. Annual Progress Reports for Development Account Projects for 2023. Project 2124A: Towards Integrated National Financing Frameworks, January – December 2023.</w:t>
      </w:r>
    </w:p>
    <w:p w14:paraId="0C51E348" w14:textId="77777777" w:rsidR="00C06E83" w:rsidRDefault="00C06E83" w:rsidP="00910A94">
      <w:pPr>
        <w:pStyle w:val="ListNumber"/>
        <w:rPr>
          <w:lang w:val="en-CA"/>
        </w:rPr>
      </w:pPr>
      <w:r w:rsidRPr="00D31DA2">
        <w:t>UNECA, 2024.</w:t>
      </w:r>
      <w:r w:rsidRPr="00D31DA2">
        <w:rPr>
          <w:lang w:val="en-CA"/>
        </w:rPr>
        <w:t xml:space="preserve"> Capacity-building (back-to-back) workshops on P</w:t>
      </w:r>
      <w:r>
        <w:rPr>
          <w:lang w:val="en-CA"/>
        </w:rPr>
        <w:t>PPs</w:t>
      </w:r>
      <w:r w:rsidRPr="00D31DA2">
        <w:rPr>
          <w:lang w:val="en-CA"/>
        </w:rPr>
        <w:t xml:space="preserve"> in Zambia.</w:t>
      </w:r>
      <w:r>
        <w:rPr>
          <w:lang w:val="en-CA"/>
        </w:rPr>
        <w:t xml:space="preserve"> </w:t>
      </w:r>
      <w:r w:rsidRPr="005875A9">
        <w:t>Public-private partnerships to catalyse infrastructure</w:t>
      </w:r>
      <w:r>
        <w:t xml:space="preserve"> </w:t>
      </w:r>
      <w:r w:rsidRPr="005875A9">
        <w:t>development and innovative financing for</w:t>
      </w:r>
      <w:r>
        <w:t xml:space="preserve"> </w:t>
      </w:r>
      <w:r w:rsidRPr="005875A9">
        <w:rPr>
          <w:lang w:val="en-CA"/>
        </w:rPr>
        <w:t>industrialisation in Africa</w:t>
      </w:r>
      <w:r>
        <w:rPr>
          <w:lang w:val="en-CA"/>
        </w:rPr>
        <w:t>. PowerPoint Presentation.</w:t>
      </w:r>
    </w:p>
    <w:p w14:paraId="3C88FC5A" w14:textId="77777777" w:rsidR="00C06E83" w:rsidRDefault="00C06E83" w:rsidP="00910A94">
      <w:pPr>
        <w:pStyle w:val="ListNumber"/>
        <w:rPr>
          <w:lang w:val="en-CA"/>
        </w:rPr>
      </w:pPr>
      <w:r w:rsidRPr="00D31DA2">
        <w:t>UNECA, 2024.</w:t>
      </w:r>
      <w:r w:rsidRPr="00D31DA2">
        <w:rPr>
          <w:lang w:val="en-CA"/>
        </w:rPr>
        <w:t xml:space="preserve"> Capacity-building (back-to-back) workshops on Public-Private Partnerships (PPPs) in Zambia. Workshop Report.</w:t>
      </w:r>
    </w:p>
    <w:p w14:paraId="6E45CF33" w14:textId="77777777" w:rsidR="00C06E83" w:rsidRPr="003F153E" w:rsidRDefault="00C06E83" w:rsidP="00910A94">
      <w:pPr>
        <w:pStyle w:val="ListNumber"/>
        <w:rPr>
          <w:lang w:val="en-CA"/>
        </w:rPr>
      </w:pPr>
      <w:r w:rsidRPr="003F153E">
        <w:rPr>
          <w:lang w:val="en-CA"/>
        </w:rPr>
        <w:t xml:space="preserve">UNECA, 2024. </w:t>
      </w:r>
      <w:r w:rsidRPr="00D2279F">
        <w:t>Towards an integrated national financing framework</w:t>
      </w:r>
      <w:r w:rsidRPr="003F153E">
        <w:t xml:space="preserve"> </w:t>
      </w:r>
      <w:r w:rsidRPr="00D2279F">
        <w:t>(INFF)</w:t>
      </w:r>
      <w:r w:rsidRPr="003F153E">
        <w:t xml:space="preserve">. </w:t>
      </w:r>
      <w:r w:rsidRPr="003F153E">
        <w:rPr>
          <w:lang w:val="en-CA"/>
        </w:rPr>
        <w:t>13th Tranche of the United Nations Development Account.</w:t>
      </w:r>
      <w:r w:rsidRPr="003F153E">
        <w:t xml:space="preserve"> PowerPoint Presentation.</w:t>
      </w:r>
    </w:p>
    <w:p w14:paraId="072AD4D0" w14:textId="77777777" w:rsidR="00C06E83" w:rsidRDefault="00C06E83" w:rsidP="00910A94">
      <w:pPr>
        <w:pStyle w:val="ListNumber"/>
      </w:pPr>
      <w:r>
        <w:t>UNECA, n.d. Project document: 13</w:t>
      </w:r>
      <w:r w:rsidRPr="00E431B2">
        <w:rPr>
          <w:vertAlign w:val="superscript"/>
        </w:rPr>
        <w:t>th</w:t>
      </w:r>
      <w:r>
        <w:t xml:space="preserve"> Tranche of the Development Account: Innovative Approaches for MSME Competitiveness to Promote Trade and Inclusive Industrialization in Southern Africa in the Post-COVID Context. ECA Sub-regional Office for Southern Africa.</w:t>
      </w:r>
    </w:p>
    <w:p w14:paraId="1132D7A7" w14:textId="379CD22A" w:rsidR="00C06E83" w:rsidRDefault="00C06E83" w:rsidP="00910A94">
      <w:pPr>
        <w:pStyle w:val="ListNumber"/>
        <w:rPr>
          <w:lang w:val="en-CA"/>
        </w:rPr>
      </w:pPr>
      <w:r>
        <w:t xml:space="preserve">UNECA/ UNCTAD, 2022. </w:t>
      </w:r>
      <w:r w:rsidRPr="00EB1E06">
        <w:rPr>
          <w:lang w:val="en-CA"/>
        </w:rPr>
        <w:t>Capacity Building Workshop on Domestic Resource Mobilization and Illicit Financial Flows in Zambia</w:t>
      </w:r>
      <w:r>
        <w:rPr>
          <w:lang w:val="en-CA"/>
        </w:rPr>
        <w:t xml:space="preserve">. </w:t>
      </w:r>
      <w:r w:rsidRPr="00EB1E06">
        <w:rPr>
          <w:lang w:val="en-CA"/>
        </w:rPr>
        <w:t>Concept Note</w:t>
      </w:r>
      <w:r>
        <w:rPr>
          <w:lang w:val="en-CA"/>
        </w:rPr>
        <w:t>.</w:t>
      </w:r>
    </w:p>
    <w:p w14:paraId="6687DBF6" w14:textId="77777777" w:rsidR="00C06E83" w:rsidRDefault="00C06E83" w:rsidP="00910A94">
      <w:pPr>
        <w:pStyle w:val="ListNumber"/>
      </w:pPr>
      <w:r>
        <w:t xml:space="preserve">UNECA/ UNCTAD, n.d. </w:t>
      </w:r>
      <w:r>
        <w:rPr>
          <w:lang w:val="en-CA"/>
        </w:rPr>
        <w:t>M</w:t>
      </w:r>
      <w:r w:rsidRPr="005E0FF2">
        <w:rPr>
          <w:lang w:val="en-CA"/>
        </w:rPr>
        <w:t xml:space="preserve">ethodological </w:t>
      </w:r>
      <w:r>
        <w:rPr>
          <w:lang w:val="en-CA"/>
        </w:rPr>
        <w:t>G</w:t>
      </w:r>
      <w:r w:rsidRPr="005E0FF2">
        <w:rPr>
          <w:lang w:val="en-CA"/>
        </w:rPr>
        <w:t xml:space="preserve">uidelines to </w:t>
      </w:r>
      <w:r>
        <w:rPr>
          <w:lang w:val="en-CA"/>
        </w:rPr>
        <w:t>M</w:t>
      </w:r>
      <w:r w:rsidRPr="005E0FF2">
        <w:rPr>
          <w:lang w:val="en-CA"/>
        </w:rPr>
        <w:t xml:space="preserve">easure </w:t>
      </w:r>
      <w:r>
        <w:rPr>
          <w:lang w:val="en-CA"/>
        </w:rPr>
        <w:t>T</w:t>
      </w:r>
      <w:r w:rsidRPr="005E0FF2">
        <w:rPr>
          <w:lang w:val="en-CA"/>
        </w:rPr>
        <w:t xml:space="preserve">ax and </w:t>
      </w:r>
      <w:r>
        <w:rPr>
          <w:lang w:val="en-CA"/>
        </w:rPr>
        <w:t>C</w:t>
      </w:r>
      <w:r w:rsidRPr="005E0FF2">
        <w:rPr>
          <w:lang w:val="en-CA"/>
        </w:rPr>
        <w:t xml:space="preserve">ommercial </w:t>
      </w:r>
      <w:r>
        <w:rPr>
          <w:lang w:val="en-CA"/>
        </w:rPr>
        <w:t>I</w:t>
      </w:r>
      <w:r w:rsidRPr="005E0FF2">
        <w:rPr>
          <w:lang w:val="en-CA"/>
        </w:rPr>
        <w:t xml:space="preserve">llicit </w:t>
      </w:r>
      <w:r>
        <w:rPr>
          <w:lang w:val="en-CA"/>
        </w:rPr>
        <w:t>F</w:t>
      </w:r>
      <w:r w:rsidRPr="005E0FF2">
        <w:rPr>
          <w:lang w:val="en-CA"/>
        </w:rPr>
        <w:t xml:space="preserve">inancial </w:t>
      </w:r>
      <w:r>
        <w:rPr>
          <w:lang w:val="en-CA"/>
        </w:rPr>
        <w:t>F</w:t>
      </w:r>
      <w:r w:rsidRPr="005E0FF2">
        <w:rPr>
          <w:lang w:val="en-CA"/>
        </w:rPr>
        <w:t>lows</w:t>
      </w:r>
      <w:r>
        <w:rPr>
          <w:lang w:val="en-CA"/>
        </w:rPr>
        <w:t>.</w:t>
      </w:r>
    </w:p>
    <w:p w14:paraId="050E5259" w14:textId="77777777" w:rsidR="00C06E83" w:rsidRDefault="00C06E83" w:rsidP="00910A94">
      <w:pPr>
        <w:pStyle w:val="ListNumber"/>
      </w:pPr>
      <w:r>
        <w:t>UNECE, 2022. Annual Progress Reports for Development Account Projects for 2022. Project 2124A: Towards Integrated National Financing Frameworks, January – December 2022.</w:t>
      </w:r>
    </w:p>
    <w:p w14:paraId="1179DBFA" w14:textId="77777777" w:rsidR="00C06E83" w:rsidRDefault="00C06E83" w:rsidP="00910A94">
      <w:pPr>
        <w:pStyle w:val="ListNumber"/>
      </w:pPr>
      <w:r>
        <w:t>UNECE, 2024. Annual Progress Reports for Development Account Projects for 2023. Project 2124A: Towards Integrated National Financing Frameworks, January – December 2023.</w:t>
      </w:r>
    </w:p>
    <w:p w14:paraId="0AF8CFC7" w14:textId="60866C81" w:rsidR="00C06E83" w:rsidRDefault="00C06E83" w:rsidP="00910A94">
      <w:pPr>
        <w:pStyle w:val="ListNumber"/>
      </w:pPr>
      <w:r>
        <w:t>UNECE, 2024. PPP and Infrastructure Evaluation and Rating System (PIERS). An Evaluation Methodology for the SDGs. User’s Guide to the Self-Assessment Tool, February 2024.</w:t>
      </w:r>
      <w:r w:rsidR="00A95EED">
        <w:t xml:space="preserve"> </w:t>
      </w:r>
      <w:hyperlink r:id="rId151" w:history="1">
        <w:r w:rsidR="00A95EED" w:rsidRPr="00937D3B">
          <w:rPr>
            <w:rStyle w:val="Hyperlink"/>
          </w:rPr>
          <w:t>https://unece.org/sites/default/files/2024-02/English%20-%20User%20Guide%20-%20PIERS%20Self-Assessment%20Tool.pdf</w:t>
        </w:r>
      </w:hyperlink>
      <w:r w:rsidR="00A95EED">
        <w:t xml:space="preserve"> </w:t>
      </w:r>
    </w:p>
    <w:p w14:paraId="0647C37D" w14:textId="7C9DA170" w:rsidR="00C06E83" w:rsidRPr="003A040D" w:rsidRDefault="00C06E83" w:rsidP="00910A94">
      <w:pPr>
        <w:pStyle w:val="ListNumber"/>
      </w:pPr>
      <w:r>
        <w:lastRenderedPageBreak/>
        <w:t xml:space="preserve">UNECE, 2024. </w:t>
      </w:r>
      <w:r w:rsidRPr="003A040D">
        <w:rPr>
          <w:lang w:val="en-CA"/>
        </w:rPr>
        <w:t xml:space="preserve">Towards Integrated National Financing Frameworks: Implementing sustainability focused normative tools in Eastern Europe, Western Balkans, the Caucasus, and Central Asia. </w:t>
      </w:r>
      <w:r w:rsidR="00C83B67">
        <w:rPr>
          <w:lang w:val="en-CA"/>
        </w:rPr>
        <w:t>Regional Wo</w:t>
      </w:r>
      <w:r w:rsidR="00983E36">
        <w:rPr>
          <w:lang w:val="en-CA"/>
        </w:rPr>
        <w:t xml:space="preserve">rkshop. </w:t>
      </w:r>
      <w:r w:rsidRPr="003A040D">
        <w:rPr>
          <w:lang w:val="en-CA"/>
        </w:rPr>
        <w:t>Thursday, 21 March 2024.</w:t>
      </w:r>
    </w:p>
    <w:p w14:paraId="0A233CC0" w14:textId="77777777" w:rsidR="00C06E83" w:rsidRDefault="00C06E83" w:rsidP="00910A94">
      <w:pPr>
        <w:pStyle w:val="ListNumber"/>
      </w:pPr>
      <w:r>
        <w:t>UNECE, 2024. UNECE PPPs for the SDGs. III International PPP Conference in the Kyrgyz Republic. 16 – 17 October 2024. PowerPoint Presentation.</w:t>
      </w:r>
    </w:p>
    <w:p w14:paraId="04DE36EB" w14:textId="7BE6E60C" w:rsidR="00C06E83" w:rsidRDefault="00C06E83" w:rsidP="00910A94">
      <w:pPr>
        <w:pStyle w:val="ListNumber"/>
      </w:pPr>
      <w:r>
        <w:t>UNECE, n.d. PPP and Infrastructure Evaluation and Rating System (PIERS). An Evaluation Methodology for the SDGs. Self-Assessment Tool.</w:t>
      </w:r>
      <w:r w:rsidR="00E852C3">
        <w:t xml:space="preserve"> </w:t>
      </w:r>
      <w:hyperlink r:id="rId152" w:history="1">
        <w:r w:rsidR="00E852C3" w:rsidRPr="00937D3B">
          <w:rPr>
            <w:rStyle w:val="Hyperlink"/>
          </w:rPr>
          <w:t>https://unece.org/ppp/em</w:t>
        </w:r>
      </w:hyperlink>
      <w:r w:rsidR="00E852C3">
        <w:t xml:space="preserve"> </w:t>
      </w:r>
    </w:p>
    <w:p w14:paraId="5BED8C71" w14:textId="77777777" w:rsidR="00C06E83" w:rsidRDefault="00C06E83" w:rsidP="00910A94">
      <w:pPr>
        <w:pStyle w:val="ListNumber"/>
      </w:pPr>
      <w:r>
        <w:t>UNECLAC, 2022. Annual Progress Reports for Development Account Projects for 2022. Project 2124A: Towards Integrated National Financing Frameworks, January – December 2022.</w:t>
      </w:r>
    </w:p>
    <w:p w14:paraId="4331B84C" w14:textId="77777777" w:rsidR="00C06E83" w:rsidRDefault="00C06E83" w:rsidP="00910A94">
      <w:pPr>
        <w:pStyle w:val="ListNumber"/>
      </w:pPr>
      <w:r>
        <w:t>UNECLAC, 2024. Annual Progress Reports for Development Account Projects for 2023. Project 2124A: Towards Integrated National Financing Frameworks, January – December 2023.</w:t>
      </w:r>
    </w:p>
    <w:p w14:paraId="65780F01" w14:textId="77777777" w:rsidR="00C06E83" w:rsidRPr="001B6C85" w:rsidRDefault="00C06E83" w:rsidP="00910A94">
      <w:pPr>
        <w:pStyle w:val="ListNumber"/>
        <w:rPr>
          <w:rFonts w:asciiTheme="majorHAnsi" w:hAnsiTheme="majorHAnsi"/>
        </w:rPr>
      </w:pPr>
      <w:r>
        <w:t xml:space="preserve">UNECLAC, 2024. </w:t>
      </w:r>
      <w:r w:rsidRPr="00C83C53">
        <w:t>Integrated National Financing Framework (INFF) LAC Workshop. Summary Report, Thursday, April 25, 2024</w:t>
      </w:r>
      <w:r>
        <w:t>.</w:t>
      </w:r>
    </w:p>
    <w:p w14:paraId="49E47992" w14:textId="77777777" w:rsidR="00C06E83" w:rsidRDefault="00C06E83" w:rsidP="00910A94">
      <w:pPr>
        <w:pStyle w:val="ListNumber"/>
      </w:pPr>
      <w:r>
        <w:t>UNESCAP, 2022. Annual Progress Reports for Development Account Projects for 2022. Project 2124A: Towards Integrated National Financing Frameworks, January – December 2022.</w:t>
      </w:r>
    </w:p>
    <w:p w14:paraId="5D18B891" w14:textId="77777777" w:rsidR="00C06E83" w:rsidRDefault="00C06E83" w:rsidP="00910A94">
      <w:pPr>
        <w:pStyle w:val="ListNumber"/>
      </w:pPr>
      <w:r>
        <w:t xml:space="preserve">UNESCAP, 2022. </w:t>
      </w:r>
      <w:r>
        <w:rPr>
          <w:lang w:val="en-CA"/>
        </w:rPr>
        <w:t>S</w:t>
      </w:r>
      <w:r w:rsidRPr="00EF34A1">
        <w:rPr>
          <w:lang w:val="en-CA"/>
        </w:rPr>
        <w:t xml:space="preserve">upporting the </w:t>
      </w:r>
      <w:r>
        <w:rPr>
          <w:lang w:val="en-CA"/>
        </w:rPr>
        <w:t>D</w:t>
      </w:r>
      <w:r w:rsidRPr="00EF34A1">
        <w:rPr>
          <w:lang w:val="en-CA"/>
        </w:rPr>
        <w:t xml:space="preserve">evelopment of </w:t>
      </w:r>
      <w:r>
        <w:rPr>
          <w:lang w:val="en-CA"/>
        </w:rPr>
        <w:t>A</w:t>
      </w:r>
      <w:r w:rsidRPr="00EF34A1">
        <w:rPr>
          <w:lang w:val="en-CA"/>
        </w:rPr>
        <w:t xml:space="preserve">n </w:t>
      </w:r>
      <w:r>
        <w:rPr>
          <w:lang w:val="en-CA"/>
        </w:rPr>
        <w:t>I</w:t>
      </w:r>
      <w:r w:rsidRPr="00EF34A1">
        <w:rPr>
          <w:lang w:val="en-CA"/>
        </w:rPr>
        <w:t xml:space="preserve">ntegrated </w:t>
      </w:r>
      <w:r>
        <w:rPr>
          <w:lang w:val="en-CA"/>
        </w:rPr>
        <w:t>N</w:t>
      </w:r>
      <w:r w:rsidRPr="00EF34A1">
        <w:rPr>
          <w:lang w:val="en-CA"/>
        </w:rPr>
        <w:t xml:space="preserve">ational </w:t>
      </w:r>
      <w:r>
        <w:rPr>
          <w:lang w:val="en-CA"/>
        </w:rPr>
        <w:t>F</w:t>
      </w:r>
      <w:r w:rsidRPr="00EF34A1">
        <w:rPr>
          <w:lang w:val="en-CA"/>
        </w:rPr>
        <w:t xml:space="preserve">inancing </w:t>
      </w:r>
      <w:r>
        <w:rPr>
          <w:lang w:val="en-CA"/>
        </w:rPr>
        <w:t>F</w:t>
      </w:r>
      <w:r w:rsidRPr="00EF34A1">
        <w:rPr>
          <w:lang w:val="en-CA"/>
        </w:rPr>
        <w:t xml:space="preserve">ramework in </w:t>
      </w:r>
      <w:r>
        <w:rPr>
          <w:lang w:val="en-CA"/>
        </w:rPr>
        <w:t>P</w:t>
      </w:r>
      <w:r w:rsidRPr="00EF34A1">
        <w:rPr>
          <w:lang w:val="en-CA"/>
        </w:rPr>
        <w:t>akistan</w:t>
      </w:r>
      <w:r>
        <w:rPr>
          <w:lang w:val="en-CA"/>
        </w:rPr>
        <w:t>.</w:t>
      </w:r>
      <w:r w:rsidRPr="00EF34A1">
        <w:rPr>
          <w:lang w:val="en-CA"/>
        </w:rPr>
        <w:t xml:space="preserve"> </w:t>
      </w:r>
      <w:r>
        <w:rPr>
          <w:lang w:val="en-CA"/>
        </w:rPr>
        <w:t xml:space="preserve">Concept Note. </w:t>
      </w:r>
    </w:p>
    <w:p w14:paraId="186D8D69" w14:textId="77777777" w:rsidR="00C06E83" w:rsidRDefault="00C06E83" w:rsidP="00910A94">
      <w:pPr>
        <w:pStyle w:val="ListNumber"/>
        <w:rPr>
          <w:lang w:val="en-CA"/>
        </w:rPr>
      </w:pPr>
      <w:r>
        <w:t xml:space="preserve">UNESCAP, 2023. </w:t>
      </w:r>
      <w:r w:rsidRPr="00A35AC5">
        <w:rPr>
          <w:lang w:val="en-CA"/>
        </w:rPr>
        <w:t>International Conference on</w:t>
      </w:r>
      <w:r>
        <w:rPr>
          <w:lang w:val="en-CA"/>
        </w:rPr>
        <w:t xml:space="preserve"> </w:t>
      </w:r>
      <w:r w:rsidRPr="00A35AC5">
        <w:rPr>
          <w:lang w:val="en-CA"/>
        </w:rPr>
        <w:t>Digitalization of Taxes in</w:t>
      </w:r>
      <w:r>
        <w:rPr>
          <w:lang w:val="en-CA"/>
        </w:rPr>
        <w:t xml:space="preserve"> </w:t>
      </w:r>
      <w:r w:rsidRPr="00A35AC5">
        <w:rPr>
          <w:lang w:val="en-CA"/>
        </w:rPr>
        <w:t>Pakistan</w:t>
      </w:r>
      <w:r>
        <w:rPr>
          <w:lang w:val="en-CA"/>
        </w:rPr>
        <w:t xml:space="preserve">: </w:t>
      </w:r>
      <w:r w:rsidRPr="00A35AC5">
        <w:rPr>
          <w:lang w:val="en-CA"/>
        </w:rPr>
        <w:t>Presentation on International</w:t>
      </w:r>
      <w:r>
        <w:rPr>
          <w:lang w:val="en-CA"/>
        </w:rPr>
        <w:t xml:space="preserve"> </w:t>
      </w:r>
      <w:r w:rsidRPr="00A35AC5">
        <w:rPr>
          <w:lang w:val="en-CA"/>
        </w:rPr>
        <w:t>Experiences</w:t>
      </w:r>
      <w:r>
        <w:rPr>
          <w:lang w:val="en-CA"/>
        </w:rPr>
        <w:t>. PowerPoint Presentation.</w:t>
      </w:r>
    </w:p>
    <w:p w14:paraId="3DD6BCDA" w14:textId="52A7C082" w:rsidR="00C06E83" w:rsidRDefault="00C06E83" w:rsidP="00910A94">
      <w:pPr>
        <w:pStyle w:val="ListNumber"/>
      </w:pPr>
      <w:r>
        <w:t>UNESCAP, 2023</w:t>
      </w:r>
      <w:r w:rsidRPr="009E5A11">
        <w:t xml:space="preserve">. </w:t>
      </w:r>
      <w:r w:rsidRPr="00CA6DDC">
        <w:rPr>
          <w:lang w:val="en-CA"/>
        </w:rPr>
        <w:t xml:space="preserve">Regional </w:t>
      </w:r>
      <w:r w:rsidR="006321A6">
        <w:rPr>
          <w:lang w:val="en-CA"/>
        </w:rPr>
        <w:t>Knowledge-exchange</w:t>
      </w:r>
      <w:r w:rsidRPr="009E5A11">
        <w:rPr>
          <w:lang w:val="en-CA"/>
        </w:rPr>
        <w:t>: Financing sustainable development in Asia-Pacific region in times of volatility and uncertainties. Concept Note. 12-13 June 2023</w:t>
      </w:r>
      <w:r>
        <w:rPr>
          <w:lang w:val="en-CA"/>
        </w:rPr>
        <w:t>.</w:t>
      </w:r>
    </w:p>
    <w:p w14:paraId="7217CA83" w14:textId="77777777" w:rsidR="00C06E83" w:rsidRDefault="00C06E83" w:rsidP="00910A94">
      <w:pPr>
        <w:pStyle w:val="ListNumber"/>
        <w:rPr>
          <w:lang w:val="en-CA"/>
        </w:rPr>
      </w:pPr>
      <w:r>
        <w:t xml:space="preserve">UNESCAP, 2023. </w:t>
      </w:r>
      <w:r w:rsidRPr="00861D49">
        <w:rPr>
          <w:lang w:val="en-CA"/>
        </w:rPr>
        <w:t>Technical Assistance Mission to the Federal Board of Revenue, Islamabad International Conference on Digitalization of Taxes in</w:t>
      </w:r>
      <w:r>
        <w:rPr>
          <w:lang w:val="en-CA"/>
        </w:rPr>
        <w:t xml:space="preserve"> </w:t>
      </w:r>
      <w:r w:rsidRPr="00861D49">
        <w:rPr>
          <w:lang w:val="en-CA"/>
        </w:rPr>
        <w:t>Pakistan</w:t>
      </w:r>
      <w:r>
        <w:rPr>
          <w:lang w:val="en-CA"/>
        </w:rPr>
        <w:t xml:space="preserve">. Concept Note. </w:t>
      </w:r>
    </w:p>
    <w:p w14:paraId="15C10332" w14:textId="77777777" w:rsidR="00C06E83" w:rsidRDefault="00C06E83" w:rsidP="00910A94">
      <w:pPr>
        <w:pStyle w:val="ListNumber"/>
      </w:pPr>
      <w:r>
        <w:t>UNESCAP, 2024. Annual Progress Reports for Development Account Projects for 2023. Project 2124A: Towards Integrated National Financing Frameworks, January – December 2023.</w:t>
      </w:r>
    </w:p>
    <w:p w14:paraId="28A45587" w14:textId="25C6358D" w:rsidR="00C06E83" w:rsidRDefault="00C06E83" w:rsidP="00910A94">
      <w:pPr>
        <w:pStyle w:val="ListNumber"/>
      </w:pPr>
      <w:r>
        <w:t>UNESCAP, 2024. Enhancing Financing Opportunities for Clima</w:t>
      </w:r>
      <w:r w:rsidR="004365F8">
        <w:t>t</w:t>
      </w:r>
      <w:r>
        <w:t>e Action and Nature-based Solutions in Samoa. Bangkok: UNESCAP.</w:t>
      </w:r>
    </w:p>
    <w:p w14:paraId="4371F702" w14:textId="77777777" w:rsidR="00C06E83" w:rsidRDefault="00C06E83" w:rsidP="00910A94">
      <w:pPr>
        <w:pStyle w:val="ListNumber"/>
      </w:pPr>
      <w:r>
        <w:t xml:space="preserve">UNESCAP, 2025. </w:t>
      </w:r>
      <w:r w:rsidRPr="00830EB6">
        <w:rPr>
          <w:lang w:val="en-CA"/>
        </w:rPr>
        <w:t>Enhancing Investments for Equitable and Accelerated Climate Action in the post-COVID-19 Recovery. For Discussion: Potential Areas for Project Implementation in Samoa. 15</w:t>
      </w:r>
      <w:r w:rsidRPr="00830EB6">
        <w:rPr>
          <w:vertAlign w:val="superscript"/>
          <w:lang w:val="en-CA"/>
        </w:rPr>
        <w:t>th</w:t>
      </w:r>
      <w:r w:rsidRPr="00830EB6">
        <w:rPr>
          <w:lang w:val="en-CA"/>
        </w:rPr>
        <w:t xml:space="preserve"> Development Tranche. PowerPoint Presentation, February 2025.</w:t>
      </w:r>
    </w:p>
    <w:p w14:paraId="061DCED6" w14:textId="77777777" w:rsidR="00C06E83" w:rsidRDefault="00C06E83" w:rsidP="00910A94">
      <w:pPr>
        <w:pStyle w:val="ListNumber"/>
      </w:pPr>
      <w:r>
        <w:t>UNESCWA, 2022. Annual Progress Reports for Development Account Projects for 2022. Project 2124A: Towards Integrated National Financing Frameworks, January – December 2022.</w:t>
      </w:r>
    </w:p>
    <w:p w14:paraId="4094A9AE" w14:textId="5526FF78" w:rsidR="00C06E83" w:rsidRPr="00875C1C" w:rsidRDefault="00C06E83" w:rsidP="00910A94">
      <w:pPr>
        <w:pStyle w:val="ListNumber"/>
        <w:rPr>
          <w:lang w:val="en-CA"/>
        </w:rPr>
      </w:pPr>
      <w:r>
        <w:rPr>
          <w:lang w:val="en-CA"/>
        </w:rPr>
        <w:t>UNESCWA, 2022. A</w:t>
      </w:r>
      <w:r w:rsidRPr="00875C1C">
        <w:t xml:space="preserve">rab </w:t>
      </w:r>
      <w:r>
        <w:t>P</w:t>
      </w:r>
      <w:r w:rsidRPr="00875C1C">
        <w:t xml:space="preserve">olicy </w:t>
      </w:r>
      <w:r>
        <w:t>C</w:t>
      </w:r>
      <w:r w:rsidRPr="00875C1C">
        <w:t xml:space="preserve">hoices and </w:t>
      </w:r>
      <w:r>
        <w:t>F</w:t>
      </w:r>
      <w:r w:rsidRPr="00875C1C">
        <w:t xml:space="preserve">inancing </w:t>
      </w:r>
      <w:r>
        <w:t>O</w:t>
      </w:r>
      <w:r w:rsidRPr="00875C1C">
        <w:t>pportunities</w:t>
      </w:r>
      <w:r>
        <w:t xml:space="preserve"> </w:t>
      </w:r>
      <w:r w:rsidRPr="00875C1C">
        <w:rPr>
          <w:lang w:val="en-CA"/>
        </w:rPr>
        <w:t xml:space="preserve">in a </w:t>
      </w:r>
      <w:r>
        <w:rPr>
          <w:lang w:val="en-CA"/>
        </w:rPr>
        <w:t>N</w:t>
      </w:r>
      <w:r w:rsidRPr="00875C1C">
        <w:rPr>
          <w:lang w:val="en-CA"/>
        </w:rPr>
        <w:t xml:space="preserve">ew </w:t>
      </w:r>
      <w:r>
        <w:rPr>
          <w:lang w:val="en-CA"/>
        </w:rPr>
        <w:t>W</w:t>
      </w:r>
      <w:r w:rsidRPr="00875C1C">
        <w:rPr>
          <w:lang w:val="en-CA"/>
        </w:rPr>
        <w:t xml:space="preserve">orld </w:t>
      </w:r>
      <w:r>
        <w:rPr>
          <w:lang w:val="en-CA"/>
        </w:rPr>
        <w:t>T</w:t>
      </w:r>
      <w:r w:rsidRPr="00875C1C">
        <w:rPr>
          <w:lang w:val="en-CA"/>
        </w:rPr>
        <w:t xml:space="preserve">ax </w:t>
      </w:r>
      <w:r>
        <w:rPr>
          <w:lang w:val="en-CA"/>
        </w:rPr>
        <w:t>O</w:t>
      </w:r>
      <w:r w:rsidRPr="00875C1C">
        <w:rPr>
          <w:lang w:val="en-CA"/>
        </w:rPr>
        <w:t>rder</w:t>
      </w:r>
      <w:r>
        <w:rPr>
          <w:lang w:val="en-CA"/>
        </w:rPr>
        <w:t xml:space="preserve">. </w:t>
      </w:r>
      <w:r w:rsidRPr="00F7733D">
        <w:rPr>
          <w:lang w:val="en-CA"/>
        </w:rPr>
        <w:t>E/ESCWA/CL3.SEP/2022/Policy Brief.2</w:t>
      </w:r>
      <w:r>
        <w:rPr>
          <w:lang w:val="en-CA"/>
        </w:rPr>
        <w:t>.</w:t>
      </w:r>
      <w:r w:rsidR="004365F8">
        <w:rPr>
          <w:lang w:val="en-CA"/>
        </w:rPr>
        <w:t xml:space="preserve"> </w:t>
      </w:r>
      <w:hyperlink r:id="rId153" w:history="1">
        <w:r w:rsidR="004365F8" w:rsidRPr="00937D3B">
          <w:rPr>
            <w:rStyle w:val="Hyperlink"/>
            <w:lang w:val="en-CA"/>
          </w:rPr>
          <w:t>https://www.unescwa.org/sites/default/files/pubs/pdf/new-global-tax-reforms-arab-region-english.pdf</w:t>
        </w:r>
      </w:hyperlink>
      <w:r w:rsidR="004365F8">
        <w:rPr>
          <w:lang w:val="en-CA"/>
        </w:rPr>
        <w:t xml:space="preserve"> </w:t>
      </w:r>
    </w:p>
    <w:p w14:paraId="223E4C0F" w14:textId="4A4C288F" w:rsidR="00C06E83" w:rsidRDefault="00C06E83" w:rsidP="00910A94">
      <w:pPr>
        <w:pStyle w:val="ListNumber"/>
        <w:rPr>
          <w:lang w:val="en-CA"/>
        </w:rPr>
      </w:pPr>
      <w:r w:rsidRPr="00CD665C">
        <w:rPr>
          <w:lang w:val="fr-CH"/>
        </w:rPr>
        <w:t xml:space="preserve">UNESCWA, 2022. National Action Plan: Jordan. </w:t>
      </w:r>
      <w:hyperlink r:id="rId154" w:history="1">
        <w:r w:rsidR="00043E7B" w:rsidRPr="00937D3B">
          <w:rPr>
            <w:rStyle w:val="Hyperlink"/>
            <w:lang w:val="en-CA"/>
          </w:rPr>
          <w:t>https://www.unescwa.org/publications/national-action-plan-jordan</w:t>
        </w:r>
      </w:hyperlink>
      <w:r w:rsidR="00043E7B">
        <w:rPr>
          <w:lang w:val="en-CA"/>
        </w:rPr>
        <w:t xml:space="preserve"> </w:t>
      </w:r>
    </w:p>
    <w:p w14:paraId="4AF898BD" w14:textId="4F14D3C1" w:rsidR="00C06E83" w:rsidRDefault="00C06E83" w:rsidP="00910A94">
      <w:pPr>
        <w:pStyle w:val="ListNumber"/>
        <w:rPr>
          <w:lang w:val="en-CA"/>
        </w:rPr>
      </w:pPr>
      <w:r>
        <w:rPr>
          <w:lang w:val="en-CA"/>
        </w:rPr>
        <w:t xml:space="preserve">UNESCWA, 2023. </w:t>
      </w:r>
      <w:r w:rsidRPr="00A21947">
        <w:rPr>
          <w:rFonts w:ascii="Calibri" w:eastAsia="Times New Roman" w:hAnsi="Calibri" w:cs="Times New Roman"/>
        </w:rPr>
        <w:t>Conditional cash</w:t>
      </w:r>
      <w:r>
        <w:t xml:space="preserve"> </w:t>
      </w:r>
      <w:r w:rsidRPr="00A21947">
        <w:rPr>
          <w:rFonts w:ascii="Calibri" w:eastAsia="Times New Roman" w:hAnsi="Calibri" w:cs="Times New Roman"/>
        </w:rPr>
        <w:t>transfers in Egypt:</w:t>
      </w:r>
      <w:r>
        <w:t xml:space="preserve"> O</w:t>
      </w:r>
      <w:r w:rsidRPr="00A21947">
        <w:rPr>
          <w:rFonts w:ascii="Calibri" w:eastAsia="Times New Roman" w:hAnsi="Calibri" w:cs="Times New Roman"/>
        </w:rPr>
        <w:t>pportunities and challenges</w:t>
      </w:r>
      <w:r>
        <w:t xml:space="preserve"> </w:t>
      </w:r>
      <w:r w:rsidRPr="00A21947">
        <w:rPr>
          <w:lang w:val="en-CA"/>
        </w:rPr>
        <w:t>of introducing conditionalities</w:t>
      </w:r>
      <w:r>
        <w:rPr>
          <w:lang w:val="en-CA"/>
        </w:rPr>
        <w:t xml:space="preserve">. </w:t>
      </w:r>
      <w:r w:rsidRPr="005E4CD0">
        <w:rPr>
          <w:lang w:val="en-CA"/>
        </w:rPr>
        <w:t>E/ESCWA/CL2.GPID/2023/Policy brief.</w:t>
      </w:r>
      <w:r>
        <w:rPr>
          <w:lang w:val="en-CA"/>
        </w:rPr>
        <w:t xml:space="preserve"> </w:t>
      </w:r>
      <w:r w:rsidRPr="005E4CD0">
        <w:rPr>
          <w:lang w:val="en-CA"/>
        </w:rPr>
        <w:t>2</w:t>
      </w:r>
      <w:r>
        <w:rPr>
          <w:lang w:val="en-CA"/>
        </w:rPr>
        <w:t>.</w:t>
      </w:r>
      <w:r w:rsidR="00F1798D">
        <w:rPr>
          <w:lang w:val="en-CA"/>
        </w:rPr>
        <w:t xml:space="preserve"> </w:t>
      </w:r>
      <w:hyperlink r:id="rId155" w:history="1">
        <w:r w:rsidR="00F1798D" w:rsidRPr="00937D3B">
          <w:rPr>
            <w:rStyle w:val="Hyperlink"/>
            <w:lang w:val="en-CA"/>
          </w:rPr>
          <w:t>https://www.unescwa.org/cash-conditional-transfer-egypt-opportunities-challenges</w:t>
        </w:r>
      </w:hyperlink>
      <w:r w:rsidR="00F1798D">
        <w:rPr>
          <w:lang w:val="en-CA"/>
        </w:rPr>
        <w:t xml:space="preserve"> </w:t>
      </w:r>
    </w:p>
    <w:p w14:paraId="3E087AD4" w14:textId="683985DC" w:rsidR="00C06E83" w:rsidRDefault="00C06E83" w:rsidP="00910A94">
      <w:pPr>
        <w:pStyle w:val="ListNumber"/>
      </w:pPr>
      <w:r>
        <w:lastRenderedPageBreak/>
        <w:t xml:space="preserve">UNESCWA, 2023. </w:t>
      </w:r>
      <w:r w:rsidRPr="001F1886">
        <w:rPr>
          <w:lang w:val="en-CA"/>
        </w:rPr>
        <w:t>Consultative Meeting</w:t>
      </w:r>
      <w:r w:rsidR="00BB58EE">
        <w:rPr>
          <w:lang w:val="en-CA"/>
        </w:rPr>
        <w:t>.</w:t>
      </w:r>
      <w:r w:rsidRPr="001F1886">
        <w:rPr>
          <w:lang w:val="en-CA"/>
        </w:rPr>
        <w:t xml:space="preserve"> Integrated National Financing Framework </w:t>
      </w:r>
      <w:r w:rsidR="002754A8">
        <w:rPr>
          <w:lang w:val="en-CA"/>
        </w:rPr>
        <w:t>and</w:t>
      </w:r>
      <w:r w:rsidRPr="001F1886">
        <w:rPr>
          <w:i/>
          <w:iCs/>
          <w:lang w:val="en-CA"/>
        </w:rPr>
        <w:t xml:space="preserve"> </w:t>
      </w:r>
      <w:r w:rsidRPr="001F1886">
        <w:rPr>
          <w:lang w:val="en-CA"/>
        </w:rPr>
        <w:t>Evidence-Based Tools Support to the Hashemite Kingdom of Jordan in the field of Financing Sustainable Development</w:t>
      </w:r>
      <w:r>
        <w:rPr>
          <w:lang w:val="en-CA"/>
        </w:rPr>
        <w:t xml:space="preserve">, </w:t>
      </w:r>
      <w:r w:rsidRPr="001F1886">
        <w:rPr>
          <w:lang w:val="en-CA"/>
        </w:rPr>
        <w:t>September 14, 2023</w:t>
      </w:r>
      <w:r>
        <w:rPr>
          <w:lang w:val="en-CA"/>
        </w:rPr>
        <w:t>.</w:t>
      </w:r>
    </w:p>
    <w:p w14:paraId="665CEDA1" w14:textId="2F52143E" w:rsidR="00C06E83" w:rsidRDefault="00C06E83" w:rsidP="00910A94">
      <w:pPr>
        <w:pStyle w:val="ListNumber"/>
        <w:rPr>
          <w:lang w:val="en-CA"/>
        </w:rPr>
      </w:pPr>
      <w:r>
        <w:rPr>
          <w:lang w:val="en-CA"/>
        </w:rPr>
        <w:t xml:space="preserve">UNESCWA, 2023. </w:t>
      </w:r>
      <w:r w:rsidRPr="00210616">
        <w:rPr>
          <w:rFonts w:ascii="Calibri" w:eastAsia="Times New Roman" w:hAnsi="Calibri" w:cs="Times New Roman"/>
        </w:rPr>
        <w:t xml:space="preserve">Expected </w:t>
      </w:r>
      <w:r>
        <w:t>S</w:t>
      </w:r>
      <w:r w:rsidRPr="00210616">
        <w:rPr>
          <w:rFonts w:ascii="Calibri" w:eastAsia="Times New Roman" w:hAnsi="Calibri" w:cs="Times New Roman"/>
        </w:rPr>
        <w:t xml:space="preserve">ocioeconomic </w:t>
      </w:r>
      <w:r>
        <w:t>I</w:t>
      </w:r>
      <w:r w:rsidRPr="00210616">
        <w:rPr>
          <w:rFonts w:ascii="Calibri" w:eastAsia="Times New Roman" w:hAnsi="Calibri" w:cs="Times New Roman"/>
        </w:rPr>
        <w:t xml:space="preserve">mpacts of the Gaza </w:t>
      </w:r>
      <w:r>
        <w:t>W</w:t>
      </w:r>
      <w:r w:rsidRPr="00210616">
        <w:rPr>
          <w:rFonts w:ascii="Calibri" w:eastAsia="Times New Roman" w:hAnsi="Calibri" w:cs="Times New Roman"/>
        </w:rPr>
        <w:t>ar</w:t>
      </w:r>
      <w:r>
        <w:t xml:space="preserve"> </w:t>
      </w:r>
      <w:r w:rsidRPr="00210616">
        <w:rPr>
          <w:lang w:val="en-CA"/>
        </w:rPr>
        <w:t xml:space="preserve">on </w:t>
      </w:r>
      <w:r>
        <w:rPr>
          <w:lang w:val="en-CA"/>
        </w:rPr>
        <w:t>N</w:t>
      </w:r>
      <w:r w:rsidRPr="00210616">
        <w:rPr>
          <w:lang w:val="en-CA"/>
        </w:rPr>
        <w:t xml:space="preserve">eighbouring </w:t>
      </w:r>
      <w:r>
        <w:rPr>
          <w:lang w:val="en-CA"/>
        </w:rPr>
        <w:t>C</w:t>
      </w:r>
      <w:r w:rsidRPr="00210616">
        <w:rPr>
          <w:lang w:val="en-CA"/>
        </w:rPr>
        <w:t xml:space="preserve">ountries in the Arab </w:t>
      </w:r>
      <w:r>
        <w:rPr>
          <w:lang w:val="en-CA"/>
        </w:rPr>
        <w:t>R</w:t>
      </w:r>
      <w:r w:rsidRPr="00210616">
        <w:rPr>
          <w:lang w:val="en-CA"/>
        </w:rPr>
        <w:t>egion</w:t>
      </w:r>
      <w:r>
        <w:rPr>
          <w:lang w:val="en-CA"/>
        </w:rPr>
        <w:t xml:space="preserve">. </w:t>
      </w:r>
      <w:r w:rsidRPr="00727953">
        <w:rPr>
          <w:lang w:val="en-CA"/>
        </w:rPr>
        <w:t>E/ESCWA/UNDP/2023/Policy brief.</w:t>
      </w:r>
      <w:r>
        <w:rPr>
          <w:lang w:val="en-CA"/>
        </w:rPr>
        <w:t xml:space="preserve"> </w:t>
      </w:r>
      <w:r w:rsidRPr="00727953">
        <w:rPr>
          <w:lang w:val="en-CA"/>
        </w:rPr>
        <w:t>2</w:t>
      </w:r>
      <w:r>
        <w:rPr>
          <w:lang w:val="en-CA"/>
        </w:rPr>
        <w:t xml:space="preserve">. </w:t>
      </w:r>
      <w:hyperlink r:id="rId156" w:history="1">
        <w:r w:rsidR="00647B8D" w:rsidRPr="00937D3B">
          <w:rPr>
            <w:rStyle w:val="Hyperlink"/>
            <w:lang w:val="en-CA"/>
          </w:rPr>
          <w:t>https://www.undp.org/sites/g/files/zskgke326/files/2023-12/2302056E-Policybrief-Expected-Socio-Economic-Impacts-ESCWA-UNDP-Web-2.pdf</w:t>
        </w:r>
      </w:hyperlink>
      <w:r w:rsidR="00647B8D">
        <w:rPr>
          <w:lang w:val="en-CA"/>
        </w:rPr>
        <w:t xml:space="preserve"> </w:t>
      </w:r>
    </w:p>
    <w:p w14:paraId="161538CB" w14:textId="77777777" w:rsidR="00C06E83" w:rsidRDefault="00C06E83" w:rsidP="00910A94">
      <w:pPr>
        <w:pStyle w:val="ListNumber"/>
        <w:rPr>
          <w:lang w:val="en-CA"/>
        </w:rPr>
      </w:pPr>
      <w:r>
        <w:rPr>
          <w:lang w:val="en-CA"/>
        </w:rPr>
        <w:t xml:space="preserve">UNESCWA, 2023. </w:t>
      </w:r>
      <w:r w:rsidRPr="004C6BF7">
        <w:rPr>
          <w:rFonts w:ascii="Calibri" w:eastAsia="Times New Roman" w:hAnsi="Calibri" w:cs="Times New Roman"/>
        </w:rPr>
        <w:t>Information</w:t>
      </w:r>
      <w:r>
        <w:t xml:space="preserve"> N</w:t>
      </w:r>
      <w:r w:rsidRPr="004C6BF7">
        <w:rPr>
          <w:lang w:val="en-CA"/>
        </w:rPr>
        <w:t>ote</w:t>
      </w:r>
      <w:r>
        <w:rPr>
          <w:lang w:val="en-CA"/>
        </w:rPr>
        <w:t xml:space="preserve">. The Arab Forum for </w:t>
      </w:r>
      <w:r w:rsidRPr="00821690">
        <w:rPr>
          <w:rFonts w:ascii="Calibri" w:eastAsia="Times New Roman" w:hAnsi="Calibri" w:cs="Times New Roman"/>
        </w:rPr>
        <w:t>Sustainable</w:t>
      </w:r>
      <w:r>
        <w:t xml:space="preserve"> </w:t>
      </w:r>
      <w:r w:rsidRPr="00821690">
        <w:rPr>
          <w:lang w:val="en-CA"/>
        </w:rPr>
        <w:t>Development 2023 (AFSD-2023)</w:t>
      </w:r>
      <w:r>
        <w:rPr>
          <w:lang w:val="en-CA"/>
        </w:rPr>
        <w:t xml:space="preserve">: Solutions and Actions. </w:t>
      </w:r>
      <w:r w:rsidRPr="006F7F19">
        <w:rPr>
          <w:lang w:val="en-CA"/>
        </w:rPr>
        <w:t>E/ESCWA/RFSD/2023/INF.1</w:t>
      </w:r>
      <w:r>
        <w:rPr>
          <w:lang w:val="en-CA"/>
        </w:rPr>
        <w:t>.</w:t>
      </w:r>
    </w:p>
    <w:p w14:paraId="47308E86" w14:textId="374587F3" w:rsidR="00C06E83" w:rsidRPr="00CD665C" w:rsidRDefault="00C06E83" w:rsidP="00910A94">
      <w:pPr>
        <w:pStyle w:val="ListNumber"/>
        <w:rPr>
          <w:lang w:val="es-ES"/>
        </w:rPr>
      </w:pPr>
      <w:r>
        <w:rPr>
          <w:lang w:val="en-CA"/>
        </w:rPr>
        <w:t xml:space="preserve">UNESCWA, 2023. </w:t>
      </w:r>
      <w:r w:rsidRPr="00AF1A27">
        <w:t>Survey of Economic and Social Developments</w:t>
      </w:r>
      <w:r>
        <w:t xml:space="preserve"> </w:t>
      </w:r>
      <w:r w:rsidRPr="00AF1A27">
        <w:t>in the Arab Region</w:t>
      </w:r>
      <w:r>
        <w:t xml:space="preserve"> </w:t>
      </w:r>
      <w:r w:rsidRPr="00AF1A27">
        <w:rPr>
          <w:lang w:val="en-CA"/>
        </w:rPr>
        <w:t>2022-2023</w:t>
      </w:r>
      <w:r>
        <w:rPr>
          <w:lang w:val="en-CA"/>
        </w:rPr>
        <w:t xml:space="preserve">. </w:t>
      </w:r>
      <w:r w:rsidRPr="00CD665C">
        <w:rPr>
          <w:lang w:val="es-ES"/>
        </w:rPr>
        <w:t>E/ESCWA/CL3.SEP/2023/4</w:t>
      </w:r>
      <w:r w:rsidR="00AC44B8" w:rsidRPr="00CD665C">
        <w:rPr>
          <w:lang w:val="es-ES"/>
        </w:rPr>
        <w:t xml:space="preserve"> </w:t>
      </w:r>
      <w:hyperlink r:id="rId157" w:history="1">
        <w:r w:rsidR="00AC44B8" w:rsidRPr="00CD665C">
          <w:rPr>
            <w:rStyle w:val="Hyperlink"/>
            <w:lang w:val="es-ES"/>
          </w:rPr>
          <w:t>https://www.unescwa.org/sites/default/files/pubs/pdf/survey-economic-social-developments-arab-region-2022-2023-english_0.pdf</w:t>
        </w:r>
      </w:hyperlink>
      <w:r w:rsidR="00AC44B8" w:rsidRPr="00CD665C">
        <w:rPr>
          <w:lang w:val="es-ES"/>
        </w:rPr>
        <w:t xml:space="preserve"> </w:t>
      </w:r>
    </w:p>
    <w:p w14:paraId="2CD88F29" w14:textId="77777777" w:rsidR="00C06E83" w:rsidRDefault="00C06E83" w:rsidP="00910A94">
      <w:pPr>
        <w:pStyle w:val="ListNumber"/>
      </w:pPr>
      <w:r>
        <w:t>UNESCWA, 2024. Annual Progress Reports for Development Account Projects for 2023. Project 2124A: Towards Integrated National Financing Frameworks, January – December 2023.</w:t>
      </w:r>
    </w:p>
    <w:p w14:paraId="0AF8E1A1" w14:textId="54C0CD5F" w:rsidR="00C06E83" w:rsidRPr="00CD665C" w:rsidRDefault="00C06E83" w:rsidP="00910A94">
      <w:pPr>
        <w:pStyle w:val="ListNumber"/>
        <w:rPr>
          <w:lang w:val="es-ES"/>
        </w:rPr>
      </w:pPr>
      <w:r>
        <w:rPr>
          <w:lang w:val="en-CA"/>
        </w:rPr>
        <w:t xml:space="preserve">UNESCWA, 2024. Disability in the Arab Region. </w:t>
      </w:r>
      <w:r w:rsidRPr="00CD665C">
        <w:rPr>
          <w:lang w:val="es-ES"/>
        </w:rPr>
        <w:t>E/ESCWA/CL4.SIT/2024/1</w:t>
      </w:r>
      <w:r w:rsidR="006A425B" w:rsidRPr="00CD665C">
        <w:rPr>
          <w:lang w:val="es-ES"/>
        </w:rPr>
        <w:t xml:space="preserve"> </w:t>
      </w:r>
      <w:hyperlink r:id="rId158" w:history="1">
        <w:r w:rsidR="006A425B" w:rsidRPr="00CD665C">
          <w:rPr>
            <w:rStyle w:val="Hyperlink"/>
            <w:lang w:val="es-ES"/>
          </w:rPr>
          <w:t>https://www.unescwa.org/publications/disability-arab-region-2023</w:t>
        </w:r>
      </w:hyperlink>
      <w:r w:rsidR="006A425B" w:rsidRPr="00CD665C">
        <w:rPr>
          <w:lang w:val="es-ES"/>
        </w:rPr>
        <w:t xml:space="preserve"> </w:t>
      </w:r>
    </w:p>
    <w:p w14:paraId="08F486C7" w14:textId="3348127A" w:rsidR="00C06E83" w:rsidRDefault="00C06E83" w:rsidP="00910A94">
      <w:pPr>
        <w:pStyle w:val="ListNumber"/>
        <w:rPr>
          <w:lang w:val="en-CA"/>
        </w:rPr>
      </w:pPr>
      <w:r>
        <w:t xml:space="preserve">United Nations Economic and Social Council, 2023. </w:t>
      </w:r>
      <w:r w:rsidRPr="00E20C68">
        <w:rPr>
          <w:lang w:val="en-CA"/>
        </w:rPr>
        <w:t xml:space="preserve">High-level </w:t>
      </w:r>
      <w:r>
        <w:rPr>
          <w:lang w:val="en-CA"/>
        </w:rPr>
        <w:t>P</w:t>
      </w:r>
      <w:r w:rsidRPr="00E20C68">
        <w:rPr>
          <w:lang w:val="en-CA"/>
        </w:rPr>
        <w:t xml:space="preserve">olitical </w:t>
      </w:r>
      <w:r>
        <w:rPr>
          <w:lang w:val="en-CA"/>
        </w:rPr>
        <w:t>F</w:t>
      </w:r>
      <w:r w:rsidRPr="00E20C68">
        <w:rPr>
          <w:lang w:val="en-CA"/>
        </w:rPr>
        <w:t xml:space="preserve">orum on </w:t>
      </w:r>
      <w:r>
        <w:rPr>
          <w:lang w:val="en-CA"/>
        </w:rPr>
        <w:t>S</w:t>
      </w:r>
      <w:r w:rsidRPr="00E20C68">
        <w:rPr>
          <w:lang w:val="en-CA"/>
        </w:rPr>
        <w:t xml:space="preserve">ustainable </w:t>
      </w:r>
      <w:r>
        <w:rPr>
          <w:lang w:val="en-CA"/>
        </w:rPr>
        <w:t>D</w:t>
      </w:r>
      <w:r w:rsidRPr="00E20C68">
        <w:rPr>
          <w:lang w:val="en-CA"/>
        </w:rPr>
        <w:t>evelopment</w:t>
      </w:r>
      <w:r>
        <w:rPr>
          <w:lang w:val="en-CA"/>
        </w:rPr>
        <w:t xml:space="preserve">. </w:t>
      </w:r>
      <w:r w:rsidRPr="00E20C68">
        <w:rPr>
          <w:lang w:val="en-CA"/>
        </w:rPr>
        <w:t>Report of the Arab Forum for Sustainable Development</w:t>
      </w:r>
      <w:r>
        <w:rPr>
          <w:lang w:val="en-CA"/>
        </w:rPr>
        <w:t xml:space="preserve">. </w:t>
      </w:r>
      <w:r w:rsidRPr="008201BE">
        <w:rPr>
          <w:lang w:val="en-CA"/>
        </w:rPr>
        <w:t>E/HLPF/2023/3/Add.5</w:t>
      </w:r>
      <w:r>
        <w:rPr>
          <w:lang w:val="en-CA"/>
        </w:rPr>
        <w:t>.</w:t>
      </w:r>
      <w:r w:rsidR="00214F7A">
        <w:rPr>
          <w:lang w:val="en-CA"/>
        </w:rPr>
        <w:t xml:space="preserve"> </w:t>
      </w:r>
      <w:hyperlink r:id="rId159" w:history="1">
        <w:r w:rsidR="00214F7A" w:rsidRPr="00937D3B">
          <w:rPr>
            <w:rStyle w:val="Hyperlink"/>
            <w:lang w:val="en-CA"/>
          </w:rPr>
          <w:t>https://docs.un.org/en/E/HLPF/2023/3/ADD.5</w:t>
        </w:r>
      </w:hyperlink>
      <w:r w:rsidR="00214F7A">
        <w:rPr>
          <w:lang w:val="en-CA"/>
        </w:rPr>
        <w:t xml:space="preserve"> </w:t>
      </w:r>
    </w:p>
    <w:p w14:paraId="27E336FE" w14:textId="77777777" w:rsidR="00C06E83" w:rsidRDefault="00C06E83" w:rsidP="00910A94">
      <w:pPr>
        <w:pStyle w:val="ListNumber"/>
      </w:pPr>
      <w:r>
        <w:t>WASH Per Experience: The Case of Malawi. PowerPoint Presentation.</w:t>
      </w:r>
    </w:p>
    <w:p w14:paraId="52C178AD" w14:textId="77777777" w:rsidR="00C06E83" w:rsidRPr="00661EAC" w:rsidRDefault="00C06E83" w:rsidP="00CD665C">
      <w:pPr>
        <w:pStyle w:val="Reporttext"/>
        <w:spacing w:before="240" w:after="240" w:line="240" w:lineRule="auto"/>
        <w:ind w:left="227"/>
        <w:rPr>
          <w:b/>
          <w:bCs/>
          <w:lang w:val="en-GB"/>
        </w:rPr>
      </w:pPr>
      <w:r w:rsidRPr="00661EAC">
        <w:rPr>
          <w:b/>
          <w:bCs/>
          <w:lang w:val="en-GB"/>
        </w:rPr>
        <w:t>Websites:</w:t>
      </w:r>
    </w:p>
    <w:p w14:paraId="633F6CD9" w14:textId="77777777" w:rsidR="00C06E83" w:rsidRDefault="00C06E83" w:rsidP="00C06E83">
      <w:pPr>
        <w:pStyle w:val="Reporttext"/>
        <w:spacing w:before="240" w:after="120" w:line="240" w:lineRule="auto"/>
        <w:ind w:left="360"/>
        <w:rPr>
          <w:lang w:val="en-GB"/>
        </w:rPr>
      </w:pPr>
      <w:hyperlink r:id="rId160" w:history="1">
        <w:r w:rsidRPr="00AC5ED9">
          <w:rPr>
            <w:rStyle w:val="Hyperlink"/>
            <w:lang w:val="en-GB"/>
          </w:rPr>
          <w:t>https://ffd.unescwa.org/</w:t>
        </w:r>
      </w:hyperlink>
    </w:p>
    <w:p w14:paraId="039A3963" w14:textId="77777777" w:rsidR="0007153E" w:rsidRDefault="0007153E" w:rsidP="0007153E">
      <w:pPr>
        <w:pStyle w:val="Reporttext"/>
        <w:spacing w:before="240" w:after="120" w:line="240" w:lineRule="auto"/>
        <w:ind w:left="360"/>
        <w:rPr>
          <w:lang w:val="en-GB"/>
        </w:rPr>
      </w:pPr>
      <w:hyperlink r:id="rId161" w:history="1">
        <w:r w:rsidRPr="00B37B71">
          <w:rPr>
            <w:rStyle w:val="Hyperlink"/>
            <w:lang w:val="en-GB"/>
          </w:rPr>
          <w:t>https://financing.desa.un.org/capacity-development/topics/integrated-national-financing-frameworks</w:t>
        </w:r>
      </w:hyperlink>
      <w:r>
        <w:rPr>
          <w:lang w:val="en-GB"/>
        </w:rPr>
        <w:t xml:space="preserve"> </w:t>
      </w:r>
    </w:p>
    <w:p w14:paraId="3576D79F" w14:textId="3A51530A" w:rsidR="00E128D8" w:rsidRDefault="00E128D8" w:rsidP="00C06E83">
      <w:pPr>
        <w:pStyle w:val="Reporttext"/>
        <w:spacing w:before="240" w:after="120" w:line="240" w:lineRule="auto"/>
        <w:ind w:left="360"/>
      </w:pPr>
      <w:hyperlink r:id="rId162" w:history="1">
        <w:r w:rsidRPr="00B37B71">
          <w:rPr>
            <w:rStyle w:val="Hyperlink"/>
          </w:rPr>
          <w:t>https://financing.desa.un.org/iatf/home</w:t>
        </w:r>
      </w:hyperlink>
      <w:r>
        <w:t xml:space="preserve"> </w:t>
      </w:r>
    </w:p>
    <w:p w14:paraId="133F9F2B" w14:textId="5F40B0F8" w:rsidR="00C06E83" w:rsidRDefault="00E128D8" w:rsidP="00C06E83">
      <w:pPr>
        <w:pStyle w:val="Reporttext"/>
        <w:spacing w:before="240" w:after="120" w:line="240" w:lineRule="auto"/>
        <w:ind w:left="360"/>
      </w:pPr>
      <w:hyperlink r:id="rId163" w:history="1">
        <w:r w:rsidRPr="00B37B71">
          <w:rPr>
            <w:rStyle w:val="Hyperlink"/>
            <w:lang w:val="en-GB"/>
          </w:rPr>
          <w:t>https://financing.desa.un.org/post-news/integrated-national-financing-frameworks-inff-inception-workshop-dominican-republic</w:t>
        </w:r>
      </w:hyperlink>
    </w:p>
    <w:p w14:paraId="0ACA0266" w14:textId="77777777" w:rsidR="00C06E83" w:rsidRDefault="00C06E83" w:rsidP="00C06E83">
      <w:pPr>
        <w:pStyle w:val="Reporttext"/>
        <w:spacing w:before="240" w:after="120" w:line="240" w:lineRule="auto"/>
        <w:ind w:left="360"/>
        <w:rPr>
          <w:lang w:val="en-GB"/>
        </w:rPr>
      </w:pPr>
      <w:hyperlink r:id="rId164" w:history="1">
        <w:r w:rsidRPr="00AC4A80">
          <w:rPr>
            <w:rStyle w:val="Hyperlink"/>
            <w:lang w:val="en-GB"/>
          </w:rPr>
          <w:t>https://inff.org/event/regional-training-workshop-integrated-national-financing-frameworks-in-africa</w:t>
        </w:r>
      </w:hyperlink>
    </w:p>
    <w:p w14:paraId="02CACB5D" w14:textId="77777777" w:rsidR="00C06E83" w:rsidRDefault="00C06E83" w:rsidP="00C06E83">
      <w:pPr>
        <w:pStyle w:val="Reporttext"/>
        <w:spacing w:before="240" w:after="120" w:line="240" w:lineRule="auto"/>
        <w:ind w:left="360"/>
        <w:rPr>
          <w:lang w:val="en-GB"/>
        </w:rPr>
      </w:pPr>
      <w:hyperlink r:id="rId165" w:history="1">
        <w:r w:rsidRPr="00AC5ED9">
          <w:rPr>
            <w:rStyle w:val="Hyperlink"/>
            <w:lang w:val="en-GB"/>
          </w:rPr>
          <w:t>https://inff.org/news/scenes-from-2023-ffd-forum-roundtable-dominican-republics-inff-experience</w:t>
        </w:r>
      </w:hyperlink>
      <w:r>
        <w:rPr>
          <w:lang w:val="en-GB"/>
        </w:rPr>
        <w:t xml:space="preserve"> </w:t>
      </w:r>
    </w:p>
    <w:p w14:paraId="77BCA917" w14:textId="50BEDBA1" w:rsidR="00035E2B" w:rsidRDefault="00035E2B" w:rsidP="00C06E83">
      <w:pPr>
        <w:pStyle w:val="Reporttext"/>
        <w:spacing w:before="240" w:after="120" w:line="240" w:lineRule="auto"/>
        <w:ind w:left="360"/>
        <w:rPr>
          <w:lang w:val="en-GB"/>
        </w:rPr>
      </w:pPr>
      <w:hyperlink r:id="rId166" w:history="1">
        <w:r w:rsidRPr="00937D3B">
          <w:rPr>
            <w:rStyle w:val="Hyperlink"/>
            <w:lang w:val="en-GB"/>
          </w:rPr>
          <w:t>https://inff.org/resource/the-state-of-integrated-national-financing-frameworks-in-2023</w:t>
        </w:r>
      </w:hyperlink>
      <w:r>
        <w:rPr>
          <w:lang w:val="en-GB"/>
        </w:rPr>
        <w:t xml:space="preserve"> </w:t>
      </w:r>
    </w:p>
    <w:p w14:paraId="38E86D20" w14:textId="77777777" w:rsidR="00C06E83" w:rsidRDefault="00C06E83" w:rsidP="00C06E83">
      <w:pPr>
        <w:pStyle w:val="Reporttext"/>
        <w:spacing w:before="240" w:after="120" w:line="240" w:lineRule="auto"/>
        <w:ind w:left="360"/>
        <w:rPr>
          <w:lang w:val="en-GB"/>
        </w:rPr>
      </w:pPr>
      <w:hyperlink r:id="rId167" w:anchor="!/tab/528710265-1" w:history="1">
        <w:r w:rsidRPr="00AC5ED9">
          <w:rPr>
            <w:rStyle w:val="Hyperlink"/>
            <w:lang w:val="en-GB"/>
          </w:rPr>
          <w:t>https://ppp.gov.kg/en/about-centre#!/tab/528710265-1</w:t>
        </w:r>
      </w:hyperlink>
    </w:p>
    <w:p w14:paraId="47AF4343" w14:textId="77777777" w:rsidR="00C06E83" w:rsidRDefault="00C06E83" w:rsidP="00C06E83">
      <w:pPr>
        <w:pStyle w:val="Reporttext"/>
        <w:spacing w:before="240" w:after="120" w:line="240" w:lineRule="auto"/>
        <w:ind w:left="360"/>
        <w:rPr>
          <w:lang w:val="en-GB"/>
        </w:rPr>
      </w:pPr>
      <w:hyperlink r:id="rId168" w:history="1">
        <w:r w:rsidRPr="00AC4A80">
          <w:rPr>
            <w:rStyle w:val="Hyperlink"/>
            <w:lang w:val="en-GB"/>
          </w:rPr>
          <w:t>https://ppp.gov.kg/iiipppconference</w:t>
        </w:r>
      </w:hyperlink>
    </w:p>
    <w:p w14:paraId="29B43BA1" w14:textId="77777777" w:rsidR="00C06E83" w:rsidRDefault="00C06E83" w:rsidP="00C06E83">
      <w:pPr>
        <w:pStyle w:val="Reporttext"/>
        <w:spacing w:before="240" w:after="120" w:line="240" w:lineRule="auto"/>
        <w:ind w:left="360"/>
        <w:rPr>
          <w:lang w:val="en-GB"/>
        </w:rPr>
      </w:pPr>
      <w:hyperlink r:id="rId169" w:history="1">
        <w:r w:rsidRPr="00AC4A80">
          <w:rPr>
            <w:rStyle w:val="Hyperlink"/>
            <w:lang w:val="en-GB"/>
          </w:rPr>
          <w:t>https://unctad.org/meeting/capacity-building-workshops-public-private-partnerships-zambia</w:t>
        </w:r>
      </w:hyperlink>
    </w:p>
    <w:p w14:paraId="0260649C" w14:textId="77777777" w:rsidR="00C06E83" w:rsidRDefault="00C06E83" w:rsidP="00C06E83">
      <w:pPr>
        <w:pStyle w:val="Reporttext"/>
        <w:spacing w:before="240" w:after="120" w:line="240" w:lineRule="auto"/>
        <w:ind w:left="360"/>
        <w:rPr>
          <w:lang w:val="en-GB"/>
        </w:rPr>
      </w:pPr>
      <w:hyperlink r:id="rId170" w:history="1">
        <w:r w:rsidRPr="00737F98">
          <w:rPr>
            <w:rStyle w:val="Hyperlink"/>
            <w:lang w:val="en-GB"/>
          </w:rPr>
          <w:t>https://unctad.org/meeting/interregional-training-workshop-statistical-measurement-tax-and-commercial-illicit</w:t>
        </w:r>
      </w:hyperlink>
      <w:r>
        <w:rPr>
          <w:lang w:val="en-GB"/>
        </w:rPr>
        <w:t xml:space="preserve"> </w:t>
      </w:r>
    </w:p>
    <w:p w14:paraId="47007556" w14:textId="77777777" w:rsidR="00C06E83" w:rsidRDefault="00C06E83" w:rsidP="00C06E83">
      <w:pPr>
        <w:pStyle w:val="Reporttext"/>
        <w:spacing w:before="240" w:after="120" w:line="240" w:lineRule="auto"/>
        <w:ind w:left="360"/>
        <w:rPr>
          <w:lang w:val="en-GB"/>
        </w:rPr>
      </w:pPr>
      <w:hyperlink r:id="rId171" w:history="1">
        <w:r w:rsidRPr="00AC4A80">
          <w:rPr>
            <w:rStyle w:val="Hyperlink"/>
            <w:lang w:val="en-GB"/>
          </w:rPr>
          <w:t>https://unece.org/ppp/em</w:t>
        </w:r>
      </w:hyperlink>
    </w:p>
    <w:p w14:paraId="77A234B7" w14:textId="77777777" w:rsidR="00C06E83" w:rsidRDefault="00C06E83" w:rsidP="00C06E83">
      <w:pPr>
        <w:pStyle w:val="Reporttext"/>
        <w:spacing w:before="240" w:after="120" w:line="240" w:lineRule="auto"/>
        <w:ind w:left="360"/>
        <w:rPr>
          <w:lang w:val="en-GB"/>
        </w:rPr>
      </w:pPr>
      <w:hyperlink r:id="rId172" w:history="1">
        <w:r w:rsidRPr="00AC4A80">
          <w:rPr>
            <w:rStyle w:val="Hyperlink"/>
            <w:lang w:val="en-GB"/>
          </w:rPr>
          <w:t>https://www.uneca.org/?q=events/macroeconomics-and-governance/workshop-on-integrated-national-financing-frameworks-in-africa</w:t>
        </w:r>
      </w:hyperlink>
    </w:p>
    <w:p w14:paraId="24CD4479" w14:textId="77777777" w:rsidR="00C06E83" w:rsidRDefault="00C06E83" w:rsidP="00C06E83">
      <w:pPr>
        <w:pStyle w:val="Reporttext"/>
        <w:spacing w:before="240" w:after="120" w:line="240" w:lineRule="auto"/>
        <w:ind w:left="360"/>
        <w:rPr>
          <w:lang w:val="en-GB"/>
        </w:rPr>
      </w:pPr>
      <w:hyperlink r:id="rId173" w:history="1">
        <w:r w:rsidRPr="00737F98">
          <w:rPr>
            <w:rStyle w:val="Hyperlink"/>
            <w:lang w:val="en-GB"/>
          </w:rPr>
          <w:t>https://www.youtube.com/playlist?list=PLji49uujoC9o0E2QBbsrZbWMOFE4Td8o7</w:t>
        </w:r>
      </w:hyperlink>
      <w:r>
        <w:rPr>
          <w:lang w:val="en-GB"/>
        </w:rPr>
        <w:t xml:space="preserve"> </w:t>
      </w:r>
    </w:p>
    <w:p w14:paraId="71C89053" w14:textId="77777777" w:rsidR="00C06E83" w:rsidRDefault="00C06E83" w:rsidP="00C06E83">
      <w:pPr>
        <w:pStyle w:val="Reporttext"/>
        <w:spacing w:before="240" w:after="120" w:line="240" w:lineRule="auto"/>
        <w:ind w:left="360"/>
        <w:rPr>
          <w:lang w:val="en-GB"/>
        </w:rPr>
      </w:pPr>
      <w:hyperlink r:id="rId174" w:history="1">
        <w:r w:rsidRPr="00AC4A80">
          <w:rPr>
            <w:rStyle w:val="Hyperlink"/>
            <w:lang w:val="en-GB"/>
          </w:rPr>
          <w:t>https://unece.org/media/economic-cooperation-and-integration/Public-Private-Partnerships-(PPP)/news/383796</w:t>
        </w:r>
      </w:hyperlink>
    </w:p>
    <w:p w14:paraId="3655AD19" w14:textId="77777777" w:rsidR="00C06E83" w:rsidRDefault="00C06E83" w:rsidP="00C06E83">
      <w:pPr>
        <w:pStyle w:val="Reporttext"/>
        <w:spacing w:before="240" w:after="120" w:line="240" w:lineRule="auto"/>
        <w:ind w:left="360"/>
        <w:rPr>
          <w:lang w:val="en-GB"/>
        </w:rPr>
      </w:pPr>
      <w:hyperlink r:id="rId175" w:history="1">
        <w:r w:rsidRPr="00AC4A80">
          <w:rPr>
            <w:rStyle w:val="Hyperlink"/>
            <w:lang w:val="en-GB"/>
          </w:rPr>
          <w:t>https://www.unescap.org/events/2023/regional-knowledge-exchange-financing-sustainable-development-asia-pacific-region-times</w:t>
        </w:r>
      </w:hyperlink>
    </w:p>
    <w:p w14:paraId="0FDE761F" w14:textId="77777777" w:rsidR="00C06E83" w:rsidRDefault="00C06E83" w:rsidP="00C06E83">
      <w:pPr>
        <w:pStyle w:val="Reporttext"/>
        <w:spacing w:before="240" w:after="120" w:line="240" w:lineRule="auto"/>
        <w:ind w:left="360"/>
        <w:rPr>
          <w:lang w:val="en-GB"/>
        </w:rPr>
      </w:pPr>
      <w:hyperlink r:id="rId176" w:history="1">
        <w:r w:rsidRPr="00AC4A80">
          <w:rPr>
            <w:rStyle w:val="Hyperlink"/>
            <w:lang w:val="en-GB"/>
          </w:rPr>
          <w:t>https://www.unescwa.org/about/committees/materials?type=64&amp;f%5B0%5D=committee_event_type%3A144</w:t>
        </w:r>
      </w:hyperlink>
    </w:p>
    <w:p w14:paraId="2B7C3FE8" w14:textId="64663529" w:rsidR="00C06E83" w:rsidRDefault="00C06E83" w:rsidP="00EC7F69">
      <w:pPr>
        <w:pStyle w:val="ListNumber"/>
        <w:numPr>
          <w:ilvl w:val="0"/>
          <w:numId w:val="0"/>
        </w:numPr>
        <w:ind w:left="360"/>
        <w:jc w:val="left"/>
      </w:pPr>
      <w:hyperlink r:id="rId177" w:history="1">
        <w:r w:rsidRPr="00AC4A80">
          <w:rPr>
            <w:rStyle w:val="Hyperlink"/>
          </w:rPr>
          <w:t>https://www.unescwa.org/integrated-national-financing-frameworks</w:t>
        </w:r>
      </w:hyperlink>
    </w:p>
    <w:p w14:paraId="1E9FC53D" w14:textId="77777777" w:rsidR="00C06E83" w:rsidRDefault="00C06E83" w:rsidP="00C06E83">
      <w:pPr>
        <w:pStyle w:val="ListNumber"/>
        <w:numPr>
          <w:ilvl w:val="0"/>
          <w:numId w:val="0"/>
        </w:numPr>
        <w:ind w:left="567" w:hanging="340"/>
        <w:jc w:val="left"/>
      </w:pPr>
    </w:p>
    <w:p w14:paraId="6FE5C30F" w14:textId="77777777" w:rsidR="00B82F90" w:rsidRDefault="00B82F90" w:rsidP="00C06E83">
      <w:pPr>
        <w:pStyle w:val="ListNumber"/>
        <w:numPr>
          <w:ilvl w:val="0"/>
          <w:numId w:val="0"/>
        </w:numPr>
        <w:ind w:left="567" w:hanging="340"/>
        <w:jc w:val="left"/>
      </w:pPr>
    </w:p>
    <w:p w14:paraId="2C38D87C" w14:textId="77777777" w:rsidR="00B82F90" w:rsidRDefault="00B82F90" w:rsidP="00C06E83">
      <w:pPr>
        <w:pStyle w:val="ListNumber"/>
        <w:numPr>
          <w:ilvl w:val="0"/>
          <w:numId w:val="0"/>
        </w:numPr>
        <w:ind w:left="567" w:hanging="340"/>
        <w:jc w:val="left"/>
      </w:pPr>
    </w:p>
    <w:p w14:paraId="77638B81" w14:textId="40EBD856" w:rsidR="00B82F90" w:rsidRDefault="00B82F90">
      <w:r>
        <w:br w:type="page"/>
      </w:r>
    </w:p>
    <w:p w14:paraId="05EB2EFE" w14:textId="45C2428D" w:rsidR="00B82F90" w:rsidRPr="008C075F" w:rsidRDefault="00B82F90" w:rsidP="00B82F90">
      <w:pPr>
        <w:pStyle w:val="Heading9"/>
      </w:pPr>
      <w:bookmarkStart w:id="66" w:name="_Toc210730361"/>
      <w:r w:rsidRPr="009349BE">
        <w:lastRenderedPageBreak/>
        <w:t xml:space="preserve">Annex </w:t>
      </w:r>
      <w:r w:rsidR="0092261C" w:rsidRPr="009349BE">
        <w:t>9</w:t>
      </w:r>
      <w:r w:rsidRPr="009349BE">
        <w:t xml:space="preserve"> </w:t>
      </w:r>
      <w:r w:rsidR="00BC2393" w:rsidRPr="009349BE">
        <w:t>Case Studies</w:t>
      </w:r>
      <w:bookmarkEnd w:id="66"/>
    </w:p>
    <w:p w14:paraId="43FBD615" w14:textId="77777777" w:rsidR="00D743A5" w:rsidRDefault="00D743A5" w:rsidP="001264D8">
      <w:pPr>
        <w:pStyle w:val="ListNumber"/>
        <w:numPr>
          <w:ilvl w:val="0"/>
          <w:numId w:val="0"/>
        </w:numPr>
        <w:ind w:left="340" w:hanging="340"/>
        <w:jc w:val="left"/>
        <w:rPr>
          <w:b/>
          <w:bCs/>
          <w:highlight w:val="yellow"/>
        </w:rPr>
        <w:sectPr w:rsidR="00D743A5" w:rsidSect="00F666A1">
          <w:type w:val="continuous"/>
          <w:pgSz w:w="12240" w:h="15840" w:code="1"/>
          <w:pgMar w:top="1276" w:right="1276" w:bottom="1588" w:left="1276" w:header="720" w:footer="720" w:gutter="0"/>
          <w:cols w:space="720"/>
          <w:docGrid w:linePitch="360"/>
        </w:sectPr>
      </w:pPr>
    </w:p>
    <w:p w14:paraId="791E417A" w14:textId="7F02BDB8" w:rsidR="00B63EEA" w:rsidRPr="00296604" w:rsidRDefault="00B63EEA" w:rsidP="00B63EEA">
      <w:pPr>
        <w:pStyle w:val="FrontMatterH2"/>
      </w:pPr>
      <w:r>
        <w:t xml:space="preserve">Case Study </w:t>
      </w:r>
      <w:r w:rsidR="00BF716D">
        <w:t>1</w:t>
      </w:r>
      <w:r>
        <w:t>:</w:t>
      </w:r>
      <w:r w:rsidR="00BF716D">
        <w:t xml:space="preserve"> Dominican Republic</w:t>
      </w:r>
      <w:r w:rsidRPr="00296604">
        <w:t xml:space="preserve"> </w:t>
      </w:r>
    </w:p>
    <w:p w14:paraId="18C2D3EB" w14:textId="3A607F92" w:rsidR="00B63EEA" w:rsidRPr="00B3125E" w:rsidRDefault="00C46D5A" w:rsidP="00B63EEA">
      <w:pPr>
        <w:pStyle w:val="FrontMatterH3"/>
        <w:spacing w:before="120" w:line="259" w:lineRule="auto"/>
        <w:jc w:val="both"/>
        <w:rPr>
          <w:color w:val="auto"/>
          <w:sz w:val="20"/>
          <w:szCs w:val="20"/>
        </w:rPr>
      </w:pPr>
      <w:r>
        <w:rPr>
          <w:color w:val="auto"/>
          <w:sz w:val="20"/>
          <w:szCs w:val="20"/>
        </w:rPr>
        <w:t>Country Overview</w:t>
      </w:r>
      <w:r w:rsidR="00B63EEA" w:rsidRPr="00B3125E">
        <w:rPr>
          <w:color w:val="auto"/>
          <w:sz w:val="20"/>
          <w:szCs w:val="20"/>
        </w:rPr>
        <w:t>:</w:t>
      </w:r>
    </w:p>
    <w:p w14:paraId="0548A149" w14:textId="77777777" w:rsidR="00B63EEA" w:rsidRDefault="00B63EEA" w:rsidP="00B63EEA">
      <w:pPr>
        <w:pStyle w:val="ListNumber"/>
        <w:numPr>
          <w:ilvl w:val="0"/>
          <w:numId w:val="0"/>
        </w:numPr>
        <w:jc w:val="left"/>
        <w:sectPr w:rsidR="00B63EEA" w:rsidSect="00B63EEA">
          <w:type w:val="continuous"/>
          <w:pgSz w:w="12240" w:h="15840" w:code="1"/>
          <w:pgMar w:top="1276" w:right="1276" w:bottom="1588" w:left="1276" w:header="720" w:footer="720" w:gutter="0"/>
          <w:cols w:space="720"/>
          <w:docGrid w:linePitch="360"/>
        </w:sectPr>
      </w:pPr>
    </w:p>
    <w:p w14:paraId="5213E023" w14:textId="08E2CFAE" w:rsidR="00974CFC" w:rsidRDefault="00BF716D" w:rsidP="00B63EEA">
      <w:pPr>
        <w:pStyle w:val="ListNumber"/>
        <w:numPr>
          <w:ilvl w:val="0"/>
          <w:numId w:val="0"/>
        </w:numPr>
      </w:pPr>
      <w:r>
        <w:t xml:space="preserve">The </w:t>
      </w:r>
      <w:r w:rsidR="00454422">
        <w:t xml:space="preserve">Dominican Republic is an upper-middle-income country </w:t>
      </w:r>
      <w:r w:rsidR="00B461EA">
        <w:t>that is located i</w:t>
      </w:r>
      <w:r w:rsidR="00454422">
        <w:t xml:space="preserve">n </w:t>
      </w:r>
      <w:r w:rsidR="00B461EA">
        <w:t xml:space="preserve">the </w:t>
      </w:r>
      <w:r w:rsidR="00454422">
        <w:t>Latin America and the Caribbean</w:t>
      </w:r>
      <w:r w:rsidR="00B461EA">
        <w:t xml:space="preserve"> region</w:t>
      </w:r>
      <w:r w:rsidR="00454422">
        <w:t>.</w:t>
      </w:r>
      <w:r w:rsidR="00156813">
        <w:rPr>
          <w:rStyle w:val="FootnoteReference"/>
        </w:rPr>
        <w:footnoteReference w:id="251"/>
      </w:r>
      <w:r w:rsidR="00454422">
        <w:t xml:space="preserve"> </w:t>
      </w:r>
      <w:r w:rsidR="002407EA">
        <w:t xml:space="preserve">As </w:t>
      </w:r>
      <w:r w:rsidR="00DF5D4F">
        <w:t>a small-island developing state</w:t>
      </w:r>
      <w:r w:rsidR="00A01D78">
        <w:t xml:space="preserve"> (SIDS), </w:t>
      </w:r>
      <w:r w:rsidR="00723B1B">
        <w:t>it</w:t>
      </w:r>
      <w:r w:rsidR="00A01D78">
        <w:t xml:space="preserve"> is</w:t>
      </w:r>
      <w:r w:rsidR="00876F6E">
        <w:t xml:space="preserve"> vulnerable to the effects of climate change</w:t>
      </w:r>
      <w:r w:rsidR="007B0F10">
        <w:t>;</w:t>
      </w:r>
      <w:r w:rsidR="00876F6E">
        <w:t xml:space="preserve"> natural disa</w:t>
      </w:r>
      <w:r w:rsidR="00C81001">
        <w:t>s</w:t>
      </w:r>
      <w:r w:rsidR="00876F6E">
        <w:t>ter</w:t>
      </w:r>
      <w:r w:rsidR="00C81001">
        <w:t>s</w:t>
      </w:r>
      <w:r w:rsidR="007B0F10">
        <w:t>;</w:t>
      </w:r>
      <w:r w:rsidR="00967620">
        <w:t xml:space="preserve"> and </w:t>
      </w:r>
      <w:r w:rsidR="00103FAD">
        <w:t xml:space="preserve">exogenous economic shocks that derive from its reliance on </w:t>
      </w:r>
      <w:r w:rsidR="00442594">
        <w:t xml:space="preserve">an </w:t>
      </w:r>
      <w:r w:rsidR="00103FAD">
        <w:t>external international market.</w:t>
      </w:r>
      <w:r w:rsidR="0084649E">
        <w:rPr>
          <w:rStyle w:val="FootnoteReference"/>
        </w:rPr>
        <w:footnoteReference w:id="252"/>
      </w:r>
      <w:r w:rsidR="00103FAD">
        <w:t xml:space="preserve"> </w:t>
      </w:r>
      <w:r w:rsidR="00C471DD">
        <w:t>Fragil</w:t>
      </w:r>
      <w:r w:rsidR="00F31AFD">
        <w:t xml:space="preserve">e land and marine ecosystems also contribute towards a loss of biodiversity, </w:t>
      </w:r>
      <w:r w:rsidR="00AE0EA3">
        <w:t xml:space="preserve">which have </w:t>
      </w:r>
      <w:r w:rsidR="001F6B6C">
        <w:t>implication</w:t>
      </w:r>
      <w:r w:rsidR="00EB6216">
        <w:t>s</w:t>
      </w:r>
      <w:r w:rsidR="001F6B6C">
        <w:t xml:space="preserve"> for human well-being</w:t>
      </w:r>
      <w:r w:rsidR="00220F4D">
        <w:t xml:space="preserve"> and </w:t>
      </w:r>
      <w:r w:rsidR="00EB6216">
        <w:t>socio-economic stability.</w:t>
      </w:r>
      <w:r w:rsidR="00220F4D">
        <w:rPr>
          <w:rStyle w:val="FootnoteReference"/>
        </w:rPr>
        <w:footnoteReference w:id="253"/>
      </w:r>
      <w:r w:rsidR="00EB6216">
        <w:t xml:space="preserve"> </w:t>
      </w:r>
      <w:r w:rsidR="009845F7">
        <w:t xml:space="preserve">In support of </w:t>
      </w:r>
      <w:r w:rsidR="007740E8">
        <w:t>country-</w:t>
      </w:r>
      <w:r w:rsidR="00F954E2">
        <w:t>level resilience</w:t>
      </w:r>
      <w:r w:rsidR="007740E8">
        <w:t xml:space="preserve"> </w:t>
      </w:r>
      <w:r w:rsidR="007425A0">
        <w:t>and sustainable development,</w:t>
      </w:r>
      <w:r w:rsidR="00974CFC">
        <w:t xml:space="preserve"> </w:t>
      </w:r>
      <w:r w:rsidR="0063064F">
        <w:t xml:space="preserve">therefore, </w:t>
      </w:r>
      <w:r w:rsidR="00677818">
        <w:t xml:space="preserve">national </w:t>
      </w:r>
      <w:r w:rsidR="00974CFC">
        <w:t>st</w:t>
      </w:r>
      <w:r w:rsidR="00677818">
        <w:t xml:space="preserve">rategic planning </w:t>
      </w:r>
      <w:r w:rsidR="00A851FD">
        <w:t xml:space="preserve">for the Dominican Republic </w:t>
      </w:r>
      <w:r w:rsidR="00942D43">
        <w:t xml:space="preserve">has </w:t>
      </w:r>
      <w:r w:rsidR="004A12DE">
        <w:t xml:space="preserve">focused on the </w:t>
      </w:r>
      <w:r w:rsidR="00942D43">
        <w:t xml:space="preserve">dual </w:t>
      </w:r>
      <w:r w:rsidR="004A12DE">
        <w:t xml:space="preserve">areas of </w:t>
      </w:r>
      <w:r w:rsidR="00BF2BD4">
        <w:t xml:space="preserve">climate and </w:t>
      </w:r>
      <w:r w:rsidR="005A121C">
        <w:t xml:space="preserve">inclusive </w:t>
      </w:r>
      <w:r w:rsidR="00BF2BD4">
        <w:t>development</w:t>
      </w:r>
      <w:r w:rsidR="00942D43">
        <w:t xml:space="preserve">. </w:t>
      </w:r>
    </w:p>
    <w:p w14:paraId="4E6028DD" w14:textId="03AEFF95" w:rsidR="00B63EEA" w:rsidRDefault="0014439F" w:rsidP="00B63EEA">
      <w:pPr>
        <w:pStyle w:val="ListNumber"/>
        <w:numPr>
          <w:ilvl w:val="0"/>
          <w:numId w:val="0"/>
        </w:numPr>
      </w:pPr>
      <w:r>
        <w:t xml:space="preserve">The </w:t>
      </w:r>
      <w:hyperlink r:id="rId178" w:history="1">
        <w:r w:rsidR="006E2560" w:rsidRPr="006E2560">
          <w:rPr>
            <w:rStyle w:val="Hyperlink"/>
          </w:rPr>
          <w:t>N</w:t>
        </w:r>
        <w:r w:rsidRPr="006E2560">
          <w:rPr>
            <w:rStyle w:val="Hyperlink"/>
          </w:rPr>
          <w:t xml:space="preserve">ational </w:t>
        </w:r>
        <w:r w:rsidR="006E2560" w:rsidRPr="006E2560">
          <w:rPr>
            <w:rStyle w:val="Hyperlink"/>
          </w:rPr>
          <w:t>D</w:t>
        </w:r>
        <w:r w:rsidRPr="006E2560">
          <w:rPr>
            <w:rStyle w:val="Hyperlink"/>
          </w:rPr>
          <w:t xml:space="preserve">evelopment </w:t>
        </w:r>
        <w:r w:rsidR="006E2560" w:rsidRPr="006E2560">
          <w:rPr>
            <w:rStyle w:val="Hyperlink"/>
          </w:rPr>
          <w:t>S</w:t>
        </w:r>
        <w:r w:rsidRPr="006E2560">
          <w:rPr>
            <w:rStyle w:val="Hyperlink"/>
          </w:rPr>
          <w:t>trategy</w:t>
        </w:r>
        <w:r w:rsidR="00FC4AE3" w:rsidRPr="006E2560">
          <w:rPr>
            <w:rStyle w:val="Hyperlink"/>
          </w:rPr>
          <w:t xml:space="preserve"> (NDS</w:t>
        </w:r>
        <w:r w:rsidR="006E2560" w:rsidRPr="006E2560">
          <w:rPr>
            <w:rStyle w:val="Hyperlink"/>
          </w:rPr>
          <w:t xml:space="preserve"> 2012-203</w:t>
        </w:r>
        <w:r w:rsidR="00FC4AE3" w:rsidRPr="006E2560">
          <w:rPr>
            <w:rStyle w:val="Hyperlink"/>
          </w:rPr>
          <w:t>)</w:t>
        </w:r>
      </w:hyperlink>
      <w:r>
        <w:t xml:space="preserve"> </w:t>
      </w:r>
      <w:r w:rsidR="006E2560">
        <w:t>was established by law in 2012</w:t>
      </w:r>
      <w:r w:rsidR="00CE7AD6">
        <w:t xml:space="preserve"> and is </w:t>
      </w:r>
      <w:r w:rsidR="007C2018">
        <w:t xml:space="preserve">structured around </w:t>
      </w:r>
      <w:r w:rsidR="006A7A3C">
        <w:t xml:space="preserve">four pillars: </w:t>
      </w:r>
    </w:p>
    <w:p w14:paraId="5191E3B2" w14:textId="015B5F55" w:rsidR="00983236" w:rsidRDefault="00983236" w:rsidP="00DD2DDC">
      <w:pPr>
        <w:pStyle w:val="ListNumber"/>
        <w:numPr>
          <w:ilvl w:val="0"/>
          <w:numId w:val="118"/>
        </w:numPr>
      </w:pPr>
      <w:r>
        <w:t xml:space="preserve">Fostering </w:t>
      </w:r>
      <w:r w:rsidR="006B090F">
        <w:t>a democratic social state of law;</w:t>
      </w:r>
    </w:p>
    <w:p w14:paraId="209F3E52" w14:textId="40ADDE92" w:rsidR="006B090F" w:rsidRDefault="006B090F" w:rsidP="00DD2DDC">
      <w:pPr>
        <w:pStyle w:val="ListNumber"/>
        <w:numPr>
          <w:ilvl w:val="0"/>
          <w:numId w:val="118"/>
        </w:numPr>
      </w:pPr>
      <w:r>
        <w:t xml:space="preserve">Promoting a society with equal rights and </w:t>
      </w:r>
      <w:r w:rsidR="00B479F4">
        <w:t>opportunities;</w:t>
      </w:r>
    </w:p>
    <w:p w14:paraId="65EB5F3F" w14:textId="7689F347" w:rsidR="00B479F4" w:rsidRDefault="00D16FC1" w:rsidP="00DD2DDC">
      <w:pPr>
        <w:pStyle w:val="ListNumber"/>
        <w:numPr>
          <w:ilvl w:val="0"/>
          <w:numId w:val="118"/>
        </w:numPr>
      </w:pPr>
      <w:r>
        <w:t xml:space="preserve">Developing a sustainable, inclusive </w:t>
      </w:r>
      <w:r w:rsidR="00A27675">
        <w:t>and competitive economy; and</w:t>
      </w:r>
    </w:p>
    <w:p w14:paraId="2D7B4155" w14:textId="0E9C7FFF" w:rsidR="00A27675" w:rsidRDefault="00A27675" w:rsidP="00DD2DDC">
      <w:pPr>
        <w:pStyle w:val="ListNumber"/>
        <w:numPr>
          <w:ilvl w:val="0"/>
          <w:numId w:val="118"/>
        </w:numPr>
      </w:pPr>
      <w:r>
        <w:t>Promoting environmentally sustainable practices.</w:t>
      </w:r>
    </w:p>
    <w:p w14:paraId="55ECB559" w14:textId="00A51897" w:rsidR="00EA5FD9" w:rsidRDefault="00F31735" w:rsidP="00B63EEA">
      <w:pPr>
        <w:pStyle w:val="ListNumber"/>
        <w:numPr>
          <w:ilvl w:val="0"/>
          <w:numId w:val="0"/>
        </w:numPr>
      </w:pPr>
      <w:r>
        <w:t>NDS 2012-20</w:t>
      </w:r>
      <w:r w:rsidR="00590278">
        <w:t xml:space="preserve">30 is supported by the </w:t>
      </w:r>
      <w:hyperlink r:id="rId179" w:history="1">
        <w:r w:rsidR="00590278" w:rsidRPr="00A71A1F">
          <w:rPr>
            <w:rStyle w:val="Hyperlink"/>
          </w:rPr>
          <w:t xml:space="preserve">National Multi-Year Public Sector </w:t>
        </w:r>
        <w:r w:rsidR="00495257" w:rsidRPr="00A71A1F">
          <w:rPr>
            <w:rStyle w:val="Hyperlink"/>
          </w:rPr>
          <w:t>Plan, 2021-2024</w:t>
        </w:r>
      </w:hyperlink>
      <w:r w:rsidR="0047667D">
        <w:t xml:space="preserve"> (</w:t>
      </w:r>
      <w:r w:rsidR="005A616E">
        <w:t>NPSP 2021-2024)</w:t>
      </w:r>
      <w:r>
        <w:t>,</w:t>
      </w:r>
      <w:r w:rsidR="00495257">
        <w:t xml:space="preserve"> which </w:t>
      </w:r>
      <w:r w:rsidR="00043AE3">
        <w:t xml:space="preserve">promotes inclusive development that is </w:t>
      </w:r>
      <w:r w:rsidR="008523E4">
        <w:t>based</w:t>
      </w:r>
      <w:r w:rsidR="00EE3CC6">
        <w:t xml:space="preserve"> on</w:t>
      </w:r>
      <w:r w:rsidR="008523E4">
        <w:t xml:space="preserve"> modernised</w:t>
      </w:r>
      <w:r w:rsidR="00571C24">
        <w:t>;</w:t>
      </w:r>
      <w:r w:rsidR="008523E4">
        <w:t xml:space="preserve"> efficient</w:t>
      </w:r>
      <w:r w:rsidR="00571C24">
        <w:t>;</w:t>
      </w:r>
      <w:r w:rsidR="008523E4">
        <w:t xml:space="preserve"> </w:t>
      </w:r>
      <w:r w:rsidR="00EE3CC6">
        <w:t xml:space="preserve">and effective public services delivery. </w:t>
      </w:r>
      <w:r w:rsidR="00C21A09">
        <w:t>NPSP 2021-2024</w:t>
      </w:r>
      <w:r w:rsidR="00F72F77">
        <w:t xml:space="preserve"> </w:t>
      </w:r>
      <w:r w:rsidR="0082133A">
        <w:t xml:space="preserve">focuses on </w:t>
      </w:r>
      <w:r w:rsidR="00F72F77">
        <w:t xml:space="preserve">33 priority areas </w:t>
      </w:r>
      <w:r w:rsidR="00523CEB">
        <w:t xml:space="preserve">that are aligned to the </w:t>
      </w:r>
      <w:r w:rsidR="00E50EBB">
        <w:t>Sustainable Development Goals (</w:t>
      </w:r>
      <w:r w:rsidR="00523CEB">
        <w:t>SDGs</w:t>
      </w:r>
      <w:r w:rsidR="00E50EBB">
        <w:t>)</w:t>
      </w:r>
      <w:r w:rsidR="00316C03">
        <w:t xml:space="preserve">; </w:t>
      </w:r>
      <w:r w:rsidR="00523CEB">
        <w:t>NDS 2021-2024</w:t>
      </w:r>
      <w:r w:rsidR="00316C03">
        <w:t>;</w:t>
      </w:r>
      <w:r w:rsidR="00523CEB">
        <w:t xml:space="preserve"> and </w:t>
      </w:r>
      <w:r w:rsidR="006420C2">
        <w:t xml:space="preserve">the </w:t>
      </w:r>
      <w:hyperlink r:id="rId180" w:history="1">
        <w:r w:rsidR="006420C2" w:rsidRPr="006D3AE6">
          <w:rPr>
            <w:rStyle w:val="Hyperlink"/>
          </w:rPr>
          <w:t>Nationally Determined Contributions</w:t>
        </w:r>
      </w:hyperlink>
      <w:r w:rsidR="00524063">
        <w:t>,</w:t>
      </w:r>
      <w:r w:rsidR="006D3AE6">
        <w:t xml:space="preserve"> which were updated in 2020</w:t>
      </w:r>
      <w:r w:rsidR="006420C2">
        <w:t>.</w:t>
      </w:r>
    </w:p>
    <w:p w14:paraId="5A0C7ABA" w14:textId="64FC5C76" w:rsidR="00B63EEA" w:rsidRPr="00B3125E" w:rsidRDefault="00B63EEA" w:rsidP="00B63EEA">
      <w:pPr>
        <w:pStyle w:val="FrontMatterH3"/>
        <w:spacing w:before="120" w:line="259" w:lineRule="auto"/>
        <w:jc w:val="both"/>
        <w:rPr>
          <w:color w:val="auto"/>
          <w:sz w:val="20"/>
          <w:szCs w:val="20"/>
        </w:rPr>
      </w:pPr>
      <w:r>
        <w:rPr>
          <w:color w:val="auto"/>
          <w:sz w:val="20"/>
          <w:szCs w:val="20"/>
        </w:rPr>
        <w:t xml:space="preserve">Development Financing in </w:t>
      </w:r>
      <w:r w:rsidR="00AE54C5">
        <w:rPr>
          <w:color w:val="auto"/>
          <w:sz w:val="20"/>
          <w:szCs w:val="20"/>
        </w:rPr>
        <w:t>the Dominican Republic</w:t>
      </w:r>
    </w:p>
    <w:p w14:paraId="106A7C80" w14:textId="43E86967" w:rsidR="005C504A" w:rsidRDefault="00BB263A" w:rsidP="00B63EEA">
      <w:pPr>
        <w:pStyle w:val="ListNumber"/>
        <w:numPr>
          <w:ilvl w:val="0"/>
          <w:numId w:val="0"/>
        </w:numPr>
      </w:pPr>
      <w:r>
        <w:t>In 2024, th</w:t>
      </w:r>
      <w:r w:rsidR="00BF716D">
        <w:t>e</w:t>
      </w:r>
      <w:r>
        <w:t xml:space="preserve"> Government of the Dominican Republic approved a Fiscal Responsibility Law</w:t>
      </w:r>
      <w:r w:rsidR="004B3CA7">
        <w:t xml:space="preserve"> (FRL)</w:t>
      </w:r>
      <w:r w:rsidR="00511482">
        <w:rPr>
          <w:rStyle w:val="FootnoteReference"/>
        </w:rPr>
        <w:footnoteReference w:id="254"/>
      </w:r>
      <w:r>
        <w:t xml:space="preserve"> </w:t>
      </w:r>
      <w:r w:rsidR="00D21071">
        <w:t xml:space="preserve">to strengthen </w:t>
      </w:r>
      <w:r w:rsidR="00976F8C">
        <w:t>its</w:t>
      </w:r>
      <w:r w:rsidR="00D21071">
        <w:t xml:space="preserve"> medium-term </w:t>
      </w:r>
      <w:r w:rsidR="009678C0">
        <w:t>fiscal framework.</w:t>
      </w:r>
      <w:r w:rsidR="004B3CA7">
        <w:t xml:space="preserve"> The FRL aligns with NDS </w:t>
      </w:r>
      <w:r w:rsidR="00590956">
        <w:t xml:space="preserve">2012-2030 and </w:t>
      </w:r>
      <w:r w:rsidR="00562F24">
        <w:t xml:space="preserve">has established a debit ceiling of 40 percent of the </w:t>
      </w:r>
      <w:r w:rsidR="00E353EF">
        <w:t>gross domestic product</w:t>
      </w:r>
      <w:r w:rsidR="004D1BB5">
        <w:t xml:space="preserve"> (GDP)</w:t>
      </w:r>
      <w:r w:rsidR="00E353EF">
        <w:t>, to ensure that debt remain</w:t>
      </w:r>
      <w:r w:rsidR="002804FB">
        <w:t>s</w:t>
      </w:r>
      <w:r w:rsidR="00E353EF">
        <w:t xml:space="preserve"> below 70 percent during exogenous shocks.</w:t>
      </w:r>
      <w:r w:rsidR="00927E86">
        <w:rPr>
          <w:rStyle w:val="FootnoteReference"/>
        </w:rPr>
        <w:footnoteReference w:id="255"/>
      </w:r>
      <w:r w:rsidR="00E353EF">
        <w:t xml:space="preserve"> </w:t>
      </w:r>
      <w:r w:rsidR="00E73E05">
        <w:t>In lin</w:t>
      </w:r>
      <w:r w:rsidR="003E1AB9">
        <w:t>e</w:t>
      </w:r>
      <w:r w:rsidR="00E73E05">
        <w:t xml:space="preserve"> with this objective, </w:t>
      </w:r>
      <w:r w:rsidR="003E1AB9">
        <w:t>the Dominican Republic has been investing in</w:t>
      </w:r>
      <w:r w:rsidR="00265056">
        <w:t xml:space="preserve"> </w:t>
      </w:r>
      <w:r w:rsidR="00902F1D">
        <w:t xml:space="preserve">a </w:t>
      </w:r>
      <w:r w:rsidR="000527B0">
        <w:t>sustainable development financing framework</w:t>
      </w:r>
      <w:r w:rsidR="00524063">
        <w:t xml:space="preserve"> and has used </w:t>
      </w:r>
      <w:r w:rsidR="003878AF">
        <w:t xml:space="preserve">a collaborative </w:t>
      </w:r>
      <w:r w:rsidR="00732184">
        <w:t>process</w:t>
      </w:r>
      <w:r w:rsidR="00883CE4">
        <w:t xml:space="preserve"> that has engaged the public and private sectors. </w:t>
      </w:r>
    </w:p>
    <w:p w14:paraId="5307223A" w14:textId="6D152F2E" w:rsidR="00883C8E" w:rsidRDefault="00732184" w:rsidP="00B63EEA">
      <w:pPr>
        <w:pStyle w:val="ListNumber"/>
        <w:numPr>
          <w:ilvl w:val="0"/>
          <w:numId w:val="0"/>
        </w:numPr>
      </w:pPr>
      <w:r>
        <w:t>From as early as 2017,</w:t>
      </w:r>
      <w:r w:rsidR="00956D83">
        <w:t xml:space="preserve"> for example,</w:t>
      </w:r>
      <w:r>
        <w:t xml:space="preserve"> </w:t>
      </w:r>
      <w:r w:rsidR="007500B7">
        <w:t xml:space="preserve">the </w:t>
      </w:r>
      <w:hyperlink r:id="rId181" w:history="1">
        <w:r w:rsidR="007500B7" w:rsidRPr="00F12C40">
          <w:rPr>
            <w:rStyle w:val="Hyperlink"/>
          </w:rPr>
          <w:t xml:space="preserve">Sustainable Banking </w:t>
        </w:r>
        <w:r w:rsidR="00A77F8F" w:rsidRPr="00F12C40">
          <w:rPr>
            <w:rStyle w:val="Hyperlink"/>
          </w:rPr>
          <w:t>and Financing Network</w:t>
        </w:r>
      </w:hyperlink>
      <w:r w:rsidR="00A77F8F">
        <w:t xml:space="preserve"> </w:t>
      </w:r>
      <w:r w:rsidR="009C3B2F">
        <w:t xml:space="preserve">(SBFN) </w:t>
      </w:r>
      <w:r w:rsidR="00956D83">
        <w:t xml:space="preserve">has </w:t>
      </w:r>
      <w:r w:rsidR="009F04C8">
        <w:t xml:space="preserve">provided support to the </w:t>
      </w:r>
      <w:r w:rsidR="00D935E2">
        <w:t>country’s financial sector, in partnership with the International Financial Corporation</w:t>
      </w:r>
      <w:r w:rsidR="00785DF1">
        <w:t xml:space="preserve"> (IFC) and the Government of Canada.</w:t>
      </w:r>
      <w:r w:rsidR="006F2D1C">
        <w:rPr>
          <w:rStyle w:val="FootnoteReference"/>
        </w:rPr>
        <w:footnoteReference w:id="256"/>
      </w:r>
      <w:r w:rsidR="00785DF1">
        <w:t xml:space="preserve"> </w:t>
      </w:r>
      <w:r w:rsidR="00541470">
        <w:t>In 2020,</w:t>
      </w:r>
      <w:r w:rsidR="00A10A73" w:rsidRPr="00A10A73">
        <w:t xml:space="preserve"> </w:t>
      </w:r>
      <w:r w:rsidR="00A10A73">
        <w:t xml:space="preserve">the </w:t>
      </w:r>
      <w:r w:rsidR="00A10A73" w:rsidRPr="001A1B45">
        <w:t xml:space="preserve">Superintendency of the </w:t>
      </w:r>
      <w:r w:rsidR="00A10A73">
        <w:t xml:space="preserve">Dominican Republic </w:t>
      </w:r>
      <w:r w:rsidR="00A10A73" w:rsidRPr="001A1B45">
        <w:t>Securities Market</w:t>
      </w:r>
      <w:r w:rsidR="00541470">
        <w:t xml:space="preserve"> </w:t>
      </w:r>
      <w:r w:rsidR="00A10A73">
        <w:t xml:space="preserve">also </w:t>
      </w:r>
      <w:r w:rsidR="00264E61">
        <w:t>establish</w:t>
      </w:r>
      <w:r w:rsidR="004C3601">
        <w:t>ed</w:t>
      </w:r>
      <w:r w:rsidR="00264E61">
        <w:t xml:space="preserve"> the </w:t>
      </w:r>
      <w:r w:rsidR="00502D2C">
        <w:t>green bond market and the national sustainable finance framew</w:t>
      </w:r>
      <w:r w:rsidR="00B319C2">
        <w:t>ork</w:t>
      </w:r>
      <w:r w:rsidR="003B1A10">
        <w:t>.</w:t>
      </w:r>
      <w:r w:rsidR="003B1A10">
        <w:rPr>
          <w:rStyle w:val="FootnoteReference"/>
        </w:rPr>
        <w:footnoteReference w:id="257"/>
      </w:r>
      <w:r w:rsidR="008400C1">
        <w:t xml:space="preserve"> </w:t>
      </w:r>
      <w:r w:rsidR="00ED09D4">
        <w:t xml:space="preserve">A </w:t>
      </w:r>
      <w:r w:rsidR="00A22F40">
        <w:t>Taskforce for National Sustainable Finance</w:t>
      </w:r>
      <w:r w:rsidR="00CE6474">
        <w:t xml:space="preserve">, comprising government regulators and representatives from industry, has </w:t>
      </w:r>
      <w:r w:rsidR="004C3601">
        <w:t xml:space="preserve">further </w:t>
      </w:r>
      <w:r w:rsidR="005A0DE3">
        <w:t>supported the inv</w:t>
      </w:r>
      <w:r w:rsidR="006538C5">
        <w:t>estment in fiscal sustainability</w:t>
      </w:r>
      <w:r w:rsidR="004D1E4D">
        <w:t xml:space="preserve"> </w:t>
      </w:r>
      <w:r w:rsidR="00F866A4">
        <w:t>in the form of awareness</w:t>
      </w:r>
      <w:r w:rsidR="00883C8E">
        <w:t>-</w:t>
      </w:r>
      <w:r w:rsidR="003C37CF">
        <w:t>raising</w:t>
      </w:r>
      <w:r w:rsidR="00883C8E">
        <w:t>;</w:t>
      </w:r>
      <w:r w:rsidR="003C37CF">
        <w:t xml:space="preserve"> </w:t>
      </w:r>
      <w:r w:rsidR="00883C8E">
        <w:t xml:space="preserve">capacity-building; and the </w:t>
      </w:r>
      <w:r w:rsidR="00286AB1">
        <w:t>develop</w:t>
      </w:r>
      <w:r w:rsidR="00883C8E">
        <w:t xml:space="preserve">ment of </w:t>
      </w:r>
      <w:r w:rsidR="00286AB1">
        <w:t>sustainable finance policy</w:t>
      </w:r>
      <w:r w:rsidR="00883C8E">
        <w:t>.</w:t>
      </w:r>
      <w:r w:rsidR="001E1BFC">
        <w:t xml:space="preserve"> The Taskforce was </w:t>
      </w:r>
      <w:r w:rsidR="001F4EC8">
        <w:t>established</w:t>
      </w:r>
      <w:r w:rsidR="001E1BFC">
        <w:t xml:space="preserve"> </w:t>
      </w:r>
      <w:r w:rsidR="009C3B2F">
        <w:t xml:space="preserve">by the Multiple Banks Association of the </w:t>
      </w:r>
      <w:r w:rsidR="009C3B2F">
        <w:lastRenderedPageBreak/>
        <w:t>Dominican Republic, which is</w:t>
      </w:r>
      <w:r w:rsidR="003F7BCA">
        <w:t xml:space="preserve"> </w:t>
      </w:r>
      <w:r w:rsidR="009C3B2F">
        <w:t>a registered member of</w:t>
      </w:r>
      <w:r w:rsidR="00A33D75">
        <w:t xml:space="preserve"> </w:t>
      </w:r>
      <w:r w:rsidR="009C3B2F">
        <w:t>SBFN.</w:t>
      </w:r>
    </w:p>
    <w:p w14:paraId="784EFDDE" w14:textId="74D491D3" w:rsidR="00B63EEA" w:rsidRPr="00B3125E" w:rsidRDefault="000C56F2" w:rsidP="00B63EEA">
      <w:pPr>
        <w:pStyle w:val="FrontMatterH3"/>
        <w:spacing w:before="120" w:line="259" w:lineRule="auto"/>
        <w:jc w:val="both"/>
        <w:rPr>
          <w:color w:val="auto"/>
          <w:sz w:val="20"/>
          <w:szCs w:val="20"/>
        </w:rPr>
      </w:pPr>
      <w:r>
        <w:rPr>
          <w:color w:val="auto"/>
          <w:sz w:val="20"/>
          <w:szCs w:val="20"/>
        </w:rPr>
        <w:t>Towards INFF</w:t>
      </w:r>
    </w:p>
    <w:p w14:paraId="302EB4FF" w14:textId="39899E9D" w:rsidR="00F00155" w:rsidRDefault="004262C3" w:rsidP="000C56F2">
      <w:pPr>
        <w:pStyle w:val="ListNumber"/>
        <w:numPr>
          <w:ilvl w:val="0"/>
          <w:numId w:val="0"/>
        </w:numPr>
      </w:pPr>
      <w:r>
        <w:t xml:space="preserve">In May 2025, the Government of the Dominican Republic launched </w:t>
      </w:r>
      <w:r w:rsidR="00294C9C">
        <w:t xml:space="preserve">a long-term national development plan, </w:t>
      </w:r>
      <w:hyperlink r:id="rId182" w:history="1">
        <w:r w:rsidR="00294C9C" w:rsidRPr="000E06B9">
          <w:rPr>
            <w:rStyle w:val="Hyperlink"/>
          </w:rPr>
          <w:t>Meta RD2036</w:t>
        </w:r>
      </w:hyperlink>
      <w:r w:rsidR="00294C9C">
        <w:t xml:space="preserve">, in the interest of doubling the GDP by 2036. </w:t>
      </w:r>
      <w:r w:rsidR="00CA2609">
        <w:t xml:space="preserve">Meta RD2036 prioritises inclusive and sustainable growth </w:t>
      </w:r>
      <w:r w:rsidR="00C350C6">
        <w:t xml:space="preserve">and </w:t>
      </w:r>
      <w:r w:rsidR="003E78E8">
        <w:t xml:space="preserve">has been designed to </w:t>
      </w:r>
      <w:r w:rsidR="003C234B">
        <w:t xml:space="preserve">support collaboration between </w:t>
      </w:r>
      <w:r w:rsidR="00AF44BB">
        <w:t xml:space="preserve">the government and the private sector </w:t>
      </w:r>
      <w:r w:rsidR="003E78E8">
        <w:t xml:space="preserve">to generate </w:t>
      </w:r>
      <w:r w:rsidR="00AF44BB">
        <w:t>national transformation.</w:t>
      </w:r>
      <w:r w:rsidR="00BE2655">
        <w:t xml:space="preserve"> </w:t>
      </w:r>
      <w:r w:rsidR="001B03EB">
        <w:t>It has established a permanent space for ongoing dialogue between the public and private sectors</w:t>
      </w:r>
      <w:r w:rsidR="00311C1B">
        <w:t xml:space="preserve">, in the form of an innovative consultative model for policy </w:t>
      </w:r>
      <w:r w:rsidR="00DE5A60">
        <w:t xml:space="preserve">development and </w:t>
      </w:r>
      <w:r w:rsidR="00311C1B">
        <w:t>follow-</w:t>
      </w:r>
      <w:r w:rsidR="00DE5A60">
        <w:t xml:space="preserve">on </w:t>
      </w:r>
      <w:r w:rsidR="004B1118">
        <w:t>programming, as a contribution towards sustainable development and growth.</w:t>
      </w:r>
      <w:r w:rsidR="005900EE">
        <w:t xml:space="preserve"> </w:t>
      </w:r>
    </w:p>
    <w:p w14:paraId="4E20E799" w14:textId="488588B3" w:rsidR="00AE74E5" w:rsidRDefault="00417C96" w:rsidP="000C56F2">
      <w:pPr>
        <w:pStyle w:val="ListNumber"/>
        <w:numPr>
          <w:ilvl w:val="0"/>
          <w:numId w:val="0"/>
        </w:numPr>
      </w:pPr>
      <w:r>
        <w:t xml:space="preserve">As </w:t>
      </w:r>
      <w:r w:rsidR="00233556">
        <w:t xml:space="preserve">it has </w:t>
      </w:r>
      <w:r w:rsidR="00BE04E2">
        <w:t xml:space="preserve">established </w:t>
      </w:r>
      <w:r w:rsidR="00A1624A">
        <w:t xml:space="preserve">ongoing </w:t>
      </w:r>
      <w:r w:rsidR="00524063">
        <w:t>interface</w:t>
      </w:r>
      <w:r w:rsidR="00EF7279" w:rsidRPr="004969D6">
        <w:t xml:space="preserve"> between the public and private sectors, </w:t>
      </w:r>
      <w:r w:rsidR="002D153C" w:rsidRPr="004969D6">
        <w:t>Meta RD2036</w:t>
      </w:r>
      <w:r w:rsidR="00EF7279" w:rsidRPr="004969D6">
        <w:t xml:space="preserve"> presents an innovative </w:t>
      </w:r>
      <w:r w:rsidR="001D1FAC" w:rsidRPr="004969D6">
        <w:t xml:space="preserve">consultative model </w:t>
      </w:r>
      <w:r w:rsidR="00645F03" w:rsidRPr="004969D6">
        <w:t xml:space="preserve">for </w:t>
      </w:r>
      <w:r w:rsidR="001D1777" w:rsidRPr="004969D6">
        <w:t>strategic polic</w:t>
      </w:r>
      <w:r w:rsidR="00507DD5" w:rsidRPr="004969D6">
        <w:t>y</w:t>
      </w:r>
      <w:r w:rsidR="001D1777" w:rsidRPr="004969D6">
        <w:t xml:space="preserve"> and follow-up actions to drive </w:t>
      </w:r>
      <w:r w:rsidR="00867614" w:rsidRPr="004969D6">
        <w:t>sustainable development and growth.</w:t>
      </w:r>
      <w:r w:rsidR="00481B53" w:rsidRPr="004969D6">
        <w:t xml:space="preserve"> </w:t>
      </w:r>
      <w:r w:rsidR="005900EE" w:rsidRPr="004969D6">
        <w:t xml:space="preserve">In its </w:t>
      </w:r>
      <w:hyperlink r:id="rId183" w:history="1">
        <w:r w:rsidR="005900EE" w:rsidRPr="004969D6">
          <w:rPr>
            <w:rStyle w:val="Hyperlink"/>
          </w:rPr>
          <w:t>2025 Voluntary National Review</w:t>
        </w:r>
      </w:hyperlink>
      <w:r w:rsidR="005900EE" w:rsidRPr="004969D6">
        <w:t xml:space="preserve"> (VNR), the Government of the Domin</w:t>
      </w:r>
      <w:r w:rsidR="00475152" w:rsidRPr="004969D6">
        <w:t>i</w:t>
      </w:r>
      <w:r w:rsidR="005900EE" w:rsidRPr="004969D6">
        <w:t xml:space="preserve">can Republic confirmed </w:t>
      </w:r>
      <w:r w:rsidR="004969D6" w:rsidRPr="004969D6">
        <w:t xml:space="preserve">that the operationalisation of Meta RD2036 will be based on the </w:t>
      </w:r>
      <w:r w:rsidR="0014003A">
        <w:t xml:space="preserve">Integrated National Financing Framework (INFF) </w:t>
      </w:r>
      <w:r w:rsidR="004969D6" w:rsidRPr="004969D6">
        <w:t xml:space="preserve"> methodology.</w:t>
      </w:r>
    </w:p>
    <w:p w14:paraId="6C8DBA88" w14:textId="653FC98A" w:rsidR="00634147" w:rsidRDefault="00B1168B" w:rsidP="000C56F2">
      <w:pPr>
        <w:pStyle w:val="ListNumber"/>
        <w:numPr>
          <w:ilvl w:val="0"/>
          <w:numId w:val="0"/>
        </w:numPr>
      </w:pPr>
      <w:r>
        <w:t xml:space="preserve">INFF </w:t>
      </w:r>
      <w:r w:rsidR="00401966">
        <w:t>design and implementation</w:t>
      </w:r>
      <w:r>
        <w:t xml:space="preserve"> </w:t>
      </w:r>
      <w:r w:rsidR="0014003A">
        <w:t xml:space="preserve">in the </w:t>
      </w:r>
      <w:r w:rsidR="00DE4405">
        <w:t>Dominican Repub</w:t>
      </w:r>
      <w:r w:rsidR="006F2CFB">
        <w:t>lic is being led by the Ministry of Economy, Planning and Development.</w:t>
      </w:r>
      <w:r w:rsidR="007B66AE">
        <w:rPr>
          <w:rStyle w:val="FootnoteReference"/>
        </w:rPr>
        <w:footnoteReference w:id="258"/>
      </w:r>
      <w:r w:rsidR="006F2CFB">
        <w:t xml:space="preserve"> </w:t>
      </w:r>
      <w:r w:rsidR="00B978F2">
        <w:t xml:space="preserve">The process has been supported by the </w:t>
      </w:r>
      <w:r w:rsidR="0077506D">
        <w:t xml:space="preserve">United Nations System, based on collaboration between </w:t>
      </w:r>
      <w:r w:rsidR="0078577E">
        <w:t xml:space="preserve">the </w:t>
      </w:r>
      <w:r w:rsidR="00747AC3">
        <w:t>g</w:t>
      </w:r>
      <w:r w:rsidR="0078577E">
        <w:t xml:space="preserve">overnment and the United Nations </w:t>
      </w:r>
      <w:r w:rsidR="00CF0A5B">
        <w:t>Department of Economic and Social Affairs (UNDESA)</w:t>
      </w:r>
      <w:r w:rsidR="00660B99">
        <w:t xml:space="preserve">; the United Nations Economic </w:t>
      </w:r>
      <w:r w:rsidR="00262265">
        <w:t>Commission for Latin America and the Ca</w:t>
      </w:r>
      <w:r w:rsidR="004B1AC8">
        <w:t>r</w:t>
      </w:r>
      <w:r w:rsidR="00262265">
        <w:t>ibbean (UNECLAC);</w:t>
      </w:r>
      <w:r w:rsidR="001A70D8">
        <w:t xml:space="preserve"> the United Nations Resident Coordinator </w:t>
      </w:r>
      <w:r w:rsidR="00524063">
        <w:t xml:space="preserve">Office </w:t>
      </w:r>
      <w:r w:rsidR="007F6899">
        <w:t>(UN RCO)</w:t>
      </w:r>
      <w:r w:rsidR="00262265">
        <w:t xml:space="preserve"> and the United Nations Development Programme (UNDP).</w:t>
      </w:r>
      <w:r w:rsidR="001F7761">
        <w:t xml:space="preserve"> </w:t>
      </w:r>
      <w:r w:rsidR="007E5F29">
        <w:t xml:space="preserve">To facilitate </w:t>
      </w:r>
      <w:r w:rsidR="0017025D">
        <w:t>the level of collaboration and partnerships</w:t>
      </w:r>
      <w:r w:rsidR="00C033AF">
        <w:t xml:space="preserve"> that are required for effective impl</w:t>
      </w:r>
      <w:r w:rsidR="00FE70F8">
        <w:t xml:space="preserve">ementation and efficient </w:t>
      </w:r>
      <w:r w:rsidR="00C033AF">
        <w:t>process,</w:t>
      </w:r>
      <w:r w:rsidR="0017025D">
        <w:t xml:space="preserve"> the mini</w:t>
      </w:r>
      <w:r w:rsidR="00606A03">
        <w:t xml:space="preserve">stry has </w:t>
      </w:r>
      <w:r w:rsidR="0049291D">
        <w:t xml:space="preserve">encouraged </w:t>
      </w:r>
      <w:r w:rsidR="00A93412">
        <w:t>contributions</w:t>
      </w:r>
      <w:r w:rsidR="0049291D">
        <w:t xml:space="preserve"> by other </w:t>
      </w:r>
      <w:r w:rsidR="002F22FB">
        <w:t>international development and private sector</w:t>
      </w:r>
      <w:r w:rsidR="00A93412">
        <w:t xml:space="preserve"> part</w:t>
      </w:r>
      <w:r w:rsidR="00F518E4">
        <w:t>ners to</w:t>
      </w:r>
      <w:r w:rsidR="00A74416">
        <w:t xml:space="preserve"> develop </w:t>
      </w:r>
      <w:r w:rsidR="00F518E4">
        <w:t xml:space="preserve">the </w:t>
      </w:r>
      <w:r w:rsidR="00C1030F">
        <w:t xml:space="preserve">national </w:t>
      </w:r>
      <w:r w:rsidR="00F518E4">
        <w:t>INFF strategy.</w:t>
      </w:r>
      <w:r w:rsidR="007B66AE">
        <w:rPr>
          <w:rStyle w:val="FootnoteReference"/>
        </w:rPr>
        <w:footnoteReference w:id="259"/>
      </w:r>
    </w:p>
    <w:p w14:paraId="473A8D8E" w14:textId="5B2B6170" w:rsidR="006547C3" w:rsidRDefault="00AE4EF3" w:rsidP="001B7224">
      <w:pPr>
        <w:pStyle w:val="ListNumber"/>
        <w:numPr>
          <w:ilvl w:val="0"/>
          <w:numId w:val="0"/>
        </w:numPr>
      </w:pPr>
      <w:r>
        <w:t xml:space="preserve">During 2021-2024, the Dominican Republic participated in the UN DESA </w:t>
      </w:r>
      <w:r w:rsidRPr="002C68DD">
        <w:rPr>
          <w:i/>
          <w:iCs/>
        </w:rPr>
        <w:t>Towards INFF Project</w:t>
      </w:r>
      <w:r>
        <w:t xml:space="preserve">, </w:t>
      </w:r>
      <w:r w:rsidR="008175A9">
        <w:t>w</w:t>
      </w:r>
      <w:r w:rsidR="00553346">
        <w:t xml:space="preserve">hich was implemented in 10 countries across five regions. The </w:t>
      </w:r>
      <w:r>
        <w:t xml:space="preserve">objective of </w:t>
      </w:r>
      <w:r w:rsidR="00553346">
        <w:t xml:space="preserve">the project </w:t>
      </w:r>
      <w:r>
        <w:t xml:space="preserve">was to strengthen national capacities for mobilising and aligning financial flows with national development priorities. </w:t>
      </w:r>
      <w:r w:rsidR="0025723F">
        <w:t>There was a specific f</w:t>
      </w:r>
      <w:r w:rsidR="000073AF">
        <w:t xml:space="preserve">ocus on </w:t>
      </w:r>
      <w:r w:rsidR="00583DCB">
        <w:t xml:space="preserve">the application of </w:t>
      </w:r>
      <w:r w:rsidR="000073AF">
        <w:t>the INFF methodology</w:t>
      </w:r>
      <w:r w:rsidR="008175A9">
        <w:t xml:space="preserve">, </w:t>
      </w:r>
      <w:r w:rsidR="00553346">
        <w:t xml:space="preserve">as well as </w:t>
      </w:r>
      <w:r w:rsidR="008175A9">
        <w:t>the facilitation of knowledge-exchange and peer-learning on INFF development.</w:t>
      </w:r>
      <w:r w:rsidR="000073AF">
        <w:t xml:space="preserve"> </w:t>
      </w:r>
      <w:r w:rsidR="0063104A">
        <w:t xml:space="preserve">As UNDESA implemented a parallel initiative </w:t>
      </w:r>
      <w:r w:rsidR="007748CC">
        <w:t xml:space="preserve">in the </w:t>
      </w:r>
      <w:r>
        <w:t xml:space="preserve">country </w:t>
      </w:r>
      <w:r w:rsidR="0063104A">
        <w:t>during the project timeframe</w:t>
      </w:r>
      <w:r w:rsidR="00130CA6">
        <w:t xml:space="preserve"> (</w:t>
      </w:r>
      <w:r w:rsidR="001B28FB" w:rsidRPr="00BD62B4">
        <w:rPr>
          <w:i/>
          <w:iCs/>
        </w:rPr>
        <w:t>Support to INFF</w:t>
      </w:r>
      <w:r w:rsidR="00BD62B4">
        <w:rPr>
          <w:i/>
          <w:iCs/>
        </w:rPr>
        <w:t>s</w:t>
      </w:r>
      <w:r w:rsidR="001B28FB" w:rsidRPr="00BD62B4">
        <w:rPr>
          <w:i/>
          <w:iCs/>
        </w:rPr>
        <w:t xml:space="preserve"> in SIDS Project</w:t>
      </w:r>
      <w:r w:rsidR="00EA0C40">
        <w:rPr>
          <w:i/>
          <w:iCs/>
        </w:rPr>
        <w:t xml:space="preserve">, </w:t>
      </w:r>
      <w:r w:rsidR="001B28FB" w:rsidRPr="00EA0C40">
        <w:rPr>
          <w:i/>
          <w:iCs/>
        </w:rPr>
        <w:t>2022-2024</w:t>
      </w:r>
      <w:r w:rsidR="00EA0C40">
        <w:t xml:space="preserve"> (the </w:t>
      </w:r>
      <w:r w:rsidR="00EA0C40" w:rsidRPr="00EA0C40">
        <w:rPr>
          <w:i/>
          <w:iCs/>
        </w:rPr>
        <w:t>FINS Project</w:t>
      </w:r>
      <w:r w:rsidR="001B28FB">
        <w:t>)</w:t>
      </w:r>
      <w:r w:rsidR="00BD62B4">
        <w:t xml:space="preserve">, UNECLAC </w:t>
      </w:r>
      <w:r w:rsidR="00201EB8">
        <w:t>work</w:t>
      </w:r>
      <w:r w:rsidR="00DE69FD">
        <w:t xml:space="preserve">ed in coordination with </w:t>
      </w:r>
      <w:r w:rsidR="00BD62B4">
        <w:t>UNDESA to</w:t>
      </w:r>
      <w:r w:rsidR="00610C8D">
        <w:t xml:space="preserve">: i) facilitate implementation activities; ii) </w:t>
      </w:r>
      <w:r w:rsidR="006D0C08">
        <w:t xml:space="preserve">provide tailored responses to the </w:t>
      </w:r>
      <w:r w:rsidR="006C2BA4">
        <w:t xml:space="preserve">stated </w:t>
      </w:r>
      <w:r w:rsidR="006D0C08">
        <w:t>need</w:t>
      </w:r>
      <w:r w:rsidR="00680232">
        <w:t>s</w:t>
      </w:r>
      <w:r w:rsidR="006D0C08">
        <w:t xml:space="preserve"> of the </w:t>
      </w:r>
      <w:r w:rsidR="00FE1900">
        <w:t>g</w:t>
      </w:r>
      <w:r w:rsidR="006D0C08">
        <w:t xml:space="preserve">overnment, </w:t>
      </w:r>
      <w:r w:rsidR="006C2BA4">
        <w:t xml:space="preserve">as </w:t>
      </w:r>
      <w:r w:rsidR="00736D74">
        <w:t>communicated through</w:t>
      </w:r>
      <w:r w:rsidR="006D0C08">
        <w:t xml:space="preserve"> the </w:t>
      </w:r>
      <w:r w:rsidR="00736D74">
        <w:t>participating m</w:t>
      </w:r>
      <w:r w:rsidR="005E36C5">
        <w:t>inistry; and iii) encourage country-level ownership of the INFF process.</w:t>
      </w:r>
      <w:r w:rsidR="00115AC0">
        <w:t xml:space="preserve"> In the interest of </w:t>
      </w:r>
      <w:r w:rsidR="00C43572">
        <w:t xml:space="preserve">effective intervention, </w:t>
      </w:r>
      <w:r w:rsidR="00DC391E">
        <w:t xml:space="preserve">UNECLAC also engaged stakeholder </w:t>
      </w:r>
      <w:r w:rsidR="00FD001C">
        <w:t>organisations from the private sector</w:t>
      </w:r>
      <w:r w:rsidR="004F6769">
        <w:t>, including</w:t>
      </w:r>
      <w:r w:rsidR="00FD001C">
        <w:t xml:space="preserve">: </w:t>
      </w:r>
      <w:r w:rsidR="00061421">
        <w:t>Banco Popular Dominicano;</w:t>
      </w:r>
      <w:r w:rsidR="0067582C">
        <w:t xml:space="preserve"> the </w:t>
      </w:r>
      <w:r w:rsidR="006D7257">
        <w:t xml:space="preserve">Stock Market of the </w:t>
      </w:r>
      <w:r w:rsidR="003912BC">
        <w:t>Dominican Republic</w:t>
      </w:r>
      <w:r w:rsidR="006D7257">
        <w:t>;</w:t>
      </w:r>
      <w:r w:rsidR="00A83D86">
        <w:t xml:space="preserve"> and </w:t>
      </w:r>
      <w:r w:rsidR="001B7224">
        <w:t>t</w:t>
      </w:r>
      <w:r w:rsidR="006D7257">
        <w:t>he Ministry of the Presidency</w:t>
      </w:r>
      <w:r w:rsidR="00A83D86">
        <w:t>.</w:t>
      </w:r>
      <w:r w:rsidR="00E27A63">
        <w:rPr>
          <w:rStyle w:val="FootnoteReference"/>
        </w:rPr>
        <w:footnoteReference w:id="260"/>
      </w:r>
      <w:r w:rsidR="00DE69FD">
        <w:t xml:space="preserve"> </w:t>
      </w:r>
      <w:r w:rsidR="00657E75">
        <w:t>T</w:t>
      </w:r>
      <w:r w:rsidR="006547C3">
        <w:t xml:space="preserve">he overall approach to implementation, involving close collaboration with the government, was also used to support the </w:t>
      </w:r>
      <w:r w:rsidR="00DE69FD" w:rsidRPr="00691E33">
        <w:t>integrat</w:t>
      </w:r>
      <w:r w:rsidR="006547C3">
        <w:t xml:space="preserve">ion of </w:t>
      </w:r>
      <w:r w:rsidR="00DE69FD" w:rsidRPr="00691E33">
        <w:t xml:space="preserve">INFF-related policy recommendations into </w:t>
      </w:r>
      <w:r w:rsidR="00DE69FD">
        <w:t xml:space="preserve">national </w:t>
      </w:r>
      <w:r w:rsidR="00DE69FD" w:rsidRPr="00691E33">
        <w:t>decision-making</w:t>
      </w:r>
      <w:r w:rsidR="006547C3">
        <w:t>.</w:t>
      </w:r>
    </w:p>
    <w:p w14:paraId="7071AF03" w14:textId="720C6B2B" w:rsidR="0067582C" w:rsidRDefault="008E5895" w:rsidP="0041416A">
      <w:pPr>
        <w:pStyle w:val="ListNumber"/>
        <w:numPr>
          <w:ilvl w:val="0"/>
          <w:numId w:val="0"/>
        </w:numPr>
      </w:pPr>
      <w:r>
        <w:t xml:space="preserve">Based on </w:t>
      </w:r>
      <w:r w:rsidR="0041416A">
        <w:t xml:space="preserve">its involvement in the </w:t>
      </w:r>
      <w:r w:rsidR="0041416A" w:rsidRPr="002C68DD">
        <w:rPr>
          <w:i/>
          <w:iCs/>
        </w:rPr>
        <w:t>Towards INFF Project</w:t>
      </w:r>
      <w:r w:rsidR="0067582C">
        <w:t>, the Dominican Republic gained access to</w:t>
      </w:r>
      <w:r w:rsidR="000A3AC2">
        <w:t xml:space="preserve"> an in-depth analysis of the situation of development financing in the country, including but not limited to</w:t>
      </w:r>
      <w:r w:rsidR="0067582C">
        <w:t>:</w:t>
      </w:r>
      <w:r w:rsidR="000A3AC2">
        <w:t xml:space="preserve"> i) </w:t>
      </w:r>
      <w:r w:rsidR="0030729D">
        <w:t>an analysis of fiscal gaps</w:t>
      </w:r>
      <w:r w:rsidR="00065E7D">
        <w:t>; ii) an assessment of NDS 2012-2030 and national contributions to the SDGs</w:t>
      </w:r>
      <w:r w:rsidR="00F15B51">
        <w:t>; and iii) a review of innovative financing tools</w:t>
      </w:r>
      <w:r w:rsidR="003025DA">
        <w:t xml:space="preserve">. </w:t>
      </w:r>
      <w:r w:rsidR="00122148">
        <w:t xml:space="preserve">The project also facilitated </w:t>
      </w:r>
      <w:r w:rsidR="006819C1">
        <w:t xml:space="preserve">discussions </w:t>
      </w:r>
      <w:r w:rsidR="00864F16">
        <w:t xml:space="preserve">between </w:t>
      </w:r>
      <w:r w:rsidR="006819C1">
        <w:t>policy</w:t>
      </w:r>
      <w:r w:rsidR="00864F16">
        <w:t>makers</w:t>
      </w:r>
      <w:r w:rsidR="0004688B">
        <w:t>;</w:t>
      </w:r>
      <w:r w:rsidR="006819C1">
        <w:t xml:space="preserve"> experts from international organisations</w:t>
      </w:r>
      <w:r w:rsidR="0004688B">
        <w:t>;</w:t>
      </w:r>
      <w:r w:rsidR="006819C1">
        <w:t xml:space="preserve"> and private sector representatives</w:t>
      </w:r>
      <w:r w:rsidR="0004688B">
        <w:t xml:space="preserve"> on future areas of work. At the end-of-project global workshop, </w:t>
      </w:r>
      <w:r w:rsidR="000B5E68">
        <w:t>the project countries further contributed towards knowledge-exchange and peer learning</w:t>
      </w:r>
      <w:r w:rsidR="00524063">
        <w:t xml:space="preserve">, </w:t>
      </w:r>
      <w:r w:rsidR="00DB57EB">
        <w:t xml:space="preserve">by sharing </w:t>
      </w:r>
      <w:r w:rsidR="0016771E">
        <w:t xml:space="preserve">information </w:t>
      </w:r>
      <w:r w:rsidR="00DB57EB">
        <w:t>and experience (including best practices; challenges; and lessons learned) on INFF development.</w:t>
      </w:r>
      <w:r w:rsidR="00DB57EB">
        <w:rPr>
          <w:rStyle w:val="FootnoteReference"/>
        </w:rPr>
        <w:footnoteReference w:id="261"/>
      </w:r>
    </w:p>
    <w:p w14:paraId="5ACC86A8" w14:textId="5B463255" w:rsidR="002C6F42" w:rsidRDefault="005E0E58" w:rsidP="0041416A">
      <w:pPr>
        <w:pStyle w:val="ListNumber"/>
        <w:numPr>
          <w:ilvl w:val="0"/>
          <w:numId w:val="0"/>
        </w:numPr>
      </w:pPr>
      <w:r>
        <w:lastRenderedPageBreak/>
        <w:t xml:space="preserve">In </w:t>
      </w:r>
      <w:r w:rsidR="00181C77">
        <w:t xml:space="preserve">response to </w:t>
      </w:r>
      <w:r w:rsidR="002C6F42">
        <w:t>the</w:t>
      </w:r>
      <w:r w:rsidR="00CC2480" w:rsidRPr="00406DD3">
        <w:t xml:space="preserve"> </w:t>
      </w:r>
      <w:r w:rsidR="001D5883" w:rsidRPr="00406DD3">
        <w:t>new learnings</w:t>
      </w:r>
      <w:r w:rsidR="00FF0658" w:rsidRPr="00406DD3">
        <w:t xml:space="preserve">; </w:t>
      </w:r>
      <w:r w:rsidR="00C24C85">
        <w:t xml:space="preserve">resources; and </w:t>
      </w:r>
      <w:r w:rsidR="00FF0658" w:rsidRPr="00406DD3">
        <w:t>anal</w:t>
      </w:r>
      <w:r w:rsidR="00C24C85">
        <w:t>yses</w:t>
      </w:r>
      <w:r w:rsidR="002C6F42">
        <w:t xml:space="preserve"> that were acquired</w:t>
      </w:r>
      <w:r w:rsidR="00C24C85">
        <w:t xml:space="preserve">, </w:t>
      </w:r>
      <w:r w:rsidR="00D42E3B">
        <w:t xml:space="preserve">the Government of the Dominican Republic </w:t>
      </w:r>
      <w:r w:rsidR="00524063">
        <w:t xml:space="preserve">has taken </w:t>
      </w:r>
      <w:r w:rsidR="00D42E3B">
        <w:t>steps to</w:t>
      </w:r>
      <w:r w:rsidR="00CD5E18" w:rsidRPr="00406DD3">
        <w:t xml:space="preserve"> </w:t>
      </w:r>
      <w:r w:rsidR="00201945" w:rsidRPr="00406DD3">
        <w:t>operationalise</w:t>
      </w:r>
      <w:r w:rsidR="001446FC" w:rsidRPr="00406DD3">
        <w:t xml:space="preserve"> and accelerate</w:t>
      </w:r>
      <w:r w:rsidR="00201945" w:rsidRPr="00406DD3">
        <w:t xml:space="preserve"> </w:t>
      </w:r>
      <w:r w:rsidR="002C6F42">
        <w:t xml:space="preserve">the development of an </w:t>
      </w:r>
      <w:r w:rsidR="005B7A5E" w:rsidRPr="00406DD3">
        <w:t>INFF</w:t>
      </w:r>
      <w:r w:rsidR="00DB74AE" w:rsidRPr="00406DD3">
        <w:t xml:space="preserve">. </w:t>
      </w:r>
      <w:r w:rsidR="00385D6C" w:rsidRPr="00406DD3">
        <w:t>This process has involved</w:t>
      </w:r>
      <w:r w:rsidR="002C6F42">
        <w:t>:</w:t>
      </w:r>
    </w:p>
    <w:p w14:paraId="78E9DA9A" w14:textId="2A161D94" w:rsidR="005142E2" w:rsidRDefault="005142E2" w:rsidP="00DD2DDC">
      <w:pPr>
        <w:pStyle w:val="ListNumber"/>
        <w:numPr>
          <w:ilvl w:val="0"/>
          <w:numId w:val="114"/>
        </w:numPr>
        <w:tabs>
          <w:tab w:val="num" w:pos="709"/>
        </w:tabs>
      </w:pPr>
      <w:r>
        <w:t xml:space="preserve">Consolidating </w:t>
      </w:r>
      <w:r w:rsidRPr="00406DD3">
        <w:t>a leadership strategy around political and technical leadership</w:t>
      </w:r>
      <w:r w:rsidR="001428CC">
        <w:t xml:space="preserve"> (</w:t>
      </w:r>
      <w:r w:rsidR="00524063">
        <w:t xml:space="preserve">Activities have </w:t>
      </w:r>
      <w:r w:rsidR="001428CC">
        <w:t>engage</w:t>
      </w:r>
      <w:r w:rsidR="00B97AE2">
        <w:t xml:space="preserve">d </w:t>
      </w:r>
      <w:r w:rsidR="001428CC" w:rsidRPr="00406DD3">
        <w:t>the Vice Ministry of Planning</w:t>
      </w:r>
      <w:r w:rsidR="00781A73">
        <w:t xml:space="preserve"> – </w:t>
      </w:r>
      <w:r w:rsidR="001428CC" w:rsidRPr="00406DD3">
        <w:t>Ministry of Economy, Planning and Development</w:t>
      </w:r>
      <w:r w:rsidR="00781A73">
        <w:t>;</w:t>
      </w:r>
      <w:r w:rsidR="001428CC">
        <w:t xml:space="preserve"> and </w:t>
      </w:r>
      <w:r w:rsidR="001428CC" w:rsidRPr="00406DD3">
        <w:t>key INFF stakeholders</w:t>
      </w:r>
      <w:r w:rsidR="001428CC" w:rsidRPr="001428CC">
        <w:t xml:space="preserve"> </w:t>
      </w:r>
      <w:r w:rsidR="001428CC" w:rsidRPr="00406DD3">
        <w:t>from the public; private; and international development cooperation sectors</w:t>
      </w:r>
      <w:r w:rsidR="00781A73">
        <w:t>);</w:t>
      </w:r>
    </w:p>
    <w:p w14:paraId="4049CCB7" w14:textId="1FBEE1D1" w:rsidR="00F86A9C" w:rsidRDefault="00CB060F" w:rsidP="00DD2DDC">
      <w:pPr>
        <w:pStyle w:val="ListNumber"/>
        <w:numPr>
          <w:ilvl w:val="0"/>
          <w:numId w:val="114"/>
        </w:numPr>
        <w:tabs>
          <w:tab w:val="num" w:pos="709"/>
        </w:tabs>
      </w:pPr>
      <w:r>
        <w:t xml:space="preserve">Bridging the </w:t>
      </w:r>
      <w:r w:rsidR="00FE7D3A">
        <w:t xml:space="preserve">gap between </w:t>
      </w:r>
      <w:r>
        <w:t>planning</w:t>
      </w:r>
      <w:r w:rsidR="00FE7D3A">
        <w:t xml:space="preserve"> and </w:t>
      </w:r>
      <w:r>
        <w:t>bu</w:t>
      </w:r>
      <w:r w:rsidR="002A532E">
        <w:t xml:space="preserve">dgeting to </w:t>
      </w:r>
      <w:r w:rsidR="00F86A9C">
        <w:t xml:space="preserve">ensure </w:t>
      </w:r>
      <w:r w:rsidR="002A532E">
        <w:t xml:space="preserve">alignment </w:t>
      </w:r>
      <w:r w:rsidR="001F6270">
        <w:t xml:space="preserve">between the </w:t>
      </w:r>
      <w:r w:rsidR="00FE7D3A">
        <w:t xml:space="preserve">national </w:t>
      </w:r>
      <w:r w:rsidR="002A532E">
        <w:t xml:space="preserve">budget </w:t>
      </w:r>
      <w:r w:rsidR="001F6270">
        <w:t xml:space="preserve">and </w:t>
      </w:r>
      <w:r w:rsidR="00B46D10">
        <w:t xml:space="preserve">sustainable </w:t>
      </w:r>
      <w:r w:rsidR="00F86A9C">
        <w:t>development priorities</w:t>
      </w:r>
      <w:r w:rsidR="009D1DD3">
        <w:t>, including SDG achievement</w:t>
      </w:r>
      <w:r w:rsidR="00F86A9C">
        <w:t>;</w:t>
      </w:r>
      <w:r w:rsidR="00B46D10">
        <w:t xml:space="preserve"> </w:t>
      </w:r>
    </w:p>
    <w:p w14:paraId="2F972DCF" w14:textId="2C01141F" w:rsidR="00DB0D88" w:rsidRDefault="00DB0D88" w:rsidP="00DD2DDC">
      <w:pPr>
        <w:pStyle w:val="ListNumber"/>
        <w:numPr>
          <w:ilvl w:val="0"/>
          <w:numId w:val="114"/>
        </w:numPr>
        <w:tabs>
          <w:tab w:val="num" w:pos="709"/>
        </w:tabs>
      </w:pPr>
      <w:r>
        <w:t xml:space="preserve">Implementing innovative methodologies to identify </w:t>
      </w:r>
      <w:r w:rsidR="009C65AC">
        <w:t xml:space="preserve">new </w:t>
      </w:r>
      <w:r>
        <w:t>sources of development fina</w:t>
      </w:r>
      <w:r w:rsidR="00DC3EB5">
        <w:t>n</w:t>
      </w:r>
      <w:r>
        <w:t>cing</w:t>
      </w:r>
      <w:r w:rsidR="006B3B2E">
        <w:t xml:space="preserve"> and estimate the </w:t>
      </w:r>
      <w:r w:rsidR="009C65AC">
        <w:t xml:space="preserve">prospective </w:t>
      </w:r>
      <w:r w:rsidR="006B3B2E">
        <w:t>impact o</w:t>
      </w:r>
      <w:r w:rsidR="00936FB1">
        <w:t>n</w:t>
      </w:r>
      <w:r w:rsidR="006B3B2E">
        <w:t xml:space="preserve"> the economy</w:t>
      </w:r>
      <w:r>
        <w:t>;</w:t>
      </w:r>
      <w:r w:rsidR="00B46D10">
        <w:t xml:space="preserve"> and </w:t>
      </w:r>
    </w:p>
    <w:p w14:paraId="34914647" w14:textId="481DDE23" w:rsidR="00201945" w:rsidRDefault="00B46D10" w:rsidP="00DD2DDC">
      <w:pPr>
        <w:pStyle w:val="ListNumber"/>
        <w:numPr>
          <w:ilvl w:val="0"/>
          <w:numId w:val="114"/>
        </w:numPr>
        <w:tabs>
          <w:tab w:val="num" w:pos="709"/>
        </w:tabs>
      </w:pPr>
      <w:r>
        <w:t>Developing innovative m</w:t>
      </w:r>
      <w:r w:rsidR="00445382">
        <w:t>e</w:t>
      </w:r>
      <w:r>
        <w:t xml:space="preserve">thodologies </w:t>
      </w:r>
      <w:r w:rsidR="00445382">
        <w:t xml:space="preserve">to monitor development financing and generate evidence for </w:t>
      </w:r>
      <w:r w:rsidR="00C13835">
        <w:t>strategic decision-making</w:t>
      </w:r>
      <w:r w:rsidR="000E1BC2">
        <w:t>.</w:t>
      </w:r>
      <w:r w:rsidR="00D55BEA">
        <w:rPr>
          <w:rStyle w:val="FootnoteReference"/>
        </w:rPr>
        <w:footnoteReference w:id="262"/>
      </w:r>
    </w:p>
    <w:p w14:paraId="2DDDF3C1" w14:textId="3ADF9B22" w:rsidR="003A4F5D" w:rsidRPr="003A4F5D" w:rsidRDefault="00C1292E" w:rsidP="003A4F5D">
      <w:pPr>
        <w:pStyle w:val="ListNumber"/>
        <w:numPr>
          <w:ilvl w:val="0"/>
          <w:numId w:val="0"/>
        </w:numPr>
      </w:pPr>
      <w:r>
        <w:t>An assessment of the involvement of the Domin</w:t>
      </w:r>
      <w:r w:rsidR="002A303C">
        <w:t xml:space="preserve">ican Republic in the </w:t>
      </w:r>
      <w:r w:rsidR="002A303C" w:rsidRPr="002C68DD">
        <w:rPr>
          <w:i/>
          <w:iCs/>
        </w:rPr>
        <w:t>Towards INFF Project</w:t>
      </w:r>
      <w:r w:rsidR="00483BAF">
        <w:t xml:space="preserve"> has indicated that the project was </w:t>
      </w:r>
      <w:r w:rsidR="00BE3C2A">
        <w:t xml:space="preserve">of </w:t>
      </w:r>
      <w:r w:rsidR="00BE3C2A" w:rsidRPr="00BE3C2A">
        <w:rPr>
          <w:b/>
          <w:bCs/>
        </w:rPr>
        <w:t>relevance</w:t>
      </w:r>
      <w:r w:rsidR="00BE3C2A">
        <w:t xml:space="preserve"> </w:t>
      </w:r>
      <w:r w:rsidR="00483BAF">
        <w:t>to</w:t>
      </w:r>
      <w:r w:rsidR="00C54433">
        <w:t xml:space="preserve"> country-level needs for sustainable development financing </w:t>
      </w:r>
      <w:r w:rsidR="00DC025F">
        <w:t xml:space="preserve">to </w:t>
      </w:r>
      <w:r w:rsidR="00990C0E">
        <w:t>enhance socio-economic t</w:t>
      </w:r>
      <w:r w:rsidR="00BE3C2A">
        <w:t xml:space="preserve">ransformation </w:t>
      </w:r>
      <w:r w:rsidR="00990C0E">
        <w:t xml:space="preserve">and </w:t>
      </w:r>
      <w:r w:rsidR="00DC025F">
        <w:t xml:space="preserve">build </w:t>
      </w:r>
      <w:r w:rsidR="00247D96">
        <w:t xml:space="preserve">national </w:t>
      </w:r>
      <w:r w:rsidR="00DC025F">
        <w:t xml:space="preserve">resilience to </w:t>
      </w:r>
      <w:r w:rsidR="00BE3C2A">
        <w:t xml:space="preserve">external shocks. </w:t>
      </w:r>
      <w:r w:rsidR="004B576B">
        <w:t xml:space="preserve">The project also demonstrated </w:t>
      </w:r>
      <w:r w:rsidR="004B576B" w:rsidRPr="002017E9">
        <w:rPr>
          <w:b/>
          <w:bCs/>
        </w:rPr>
        <w:t>coherence</w:t>
      </w:r>
      <w:r w:rsidR="004B576B">
        <w:t xml:space="preserve"> with </w:t>
      </w:r>
      <w:r w:rsidR="0053189E">
        <w:t xml:space="preserve">national strategic planning for </w:t>
      </w:r>
      <w:r w:rsidR="00980FBD">
        <w:t xml:space="preserve">growth and development, including governmental interest in the INFF </w:t>
      </w:r>
      <w:r w:rsidR="002017E9">
        <w:t>tool. T</w:t>
      </w:r>
      <w:r w:rsidR="00430509">
        <w:t xml:space="preserve">he project </w:t>
      </w:r>
      <w:r w:rsidR="00032339">
        <w:t xml:space="preserve">was </w:t>
      </w:r>
      <w:r w:rsidR="00032339" w:rsidRPr="00032339">
        <w:rPr>
          <w:b/>
          <w:bCs/>
        </w:rPr>
        <w:t>effective</w:t>
      </w:r>
      <w:r w:rsidR="00032339">
        <w:t xml:space="preserve"> in contributing towards </w:t>
      </w:r>
      <w:r w:rsidR="003978DA">
        <w:t xml:space="preserve">increased awareness of and capacity for INFF development. </w:t>
      </w:r>
      <w:r w:rsidR="00CE6FB4">
        <w:t xml:space="preserve">It also generated notable </w:t>
      </w:r>
      <w:r w:rsidR="00CE6FB4" w:rsidRPr="001539F3">
        <w:rPr>
          <w:b/>
          <w:bCs/>
        </w:rPr>
        <w:t>impact</w:t>
      </w:r>
      <w:r w:rsidR="00CE6FB4">
        <w:t xml:space="preserve"> in the steps that have been taken by the government to i</w:t>
      </w:r>
      <w:r w:rsidR="001539F3">
        <w:t xml:space="preserve">nstigate the INFF process. </w:t>
      </w:r>
      <w:r w:rsidR="0066195A">
        <w:t xml:space="preserve">By extension, there is potential for </w:t>
      </w:r>
      <w:r w:rsidR="0066195A" w:rsidRPr="004220E6">
        <w:rPr>
          <w:b/>
          <w:bCs/>
        </w:rPr>
        <w:t>sustainability</w:t>
      </w:r>
      <w:r w:rsidR="00D51E74">
        <w:t xml:space="preserve">. This process is being </w:t>
      </w:r>
      <w:r w:rsidR="00D51E74">
        <w:t xml:space="preserve">supported by parallel project implementation on INFF development. </w:t>
      </w:r>
      <w:r w:rsidR="008C58F6">
        <w:t xml:space="preserve">Given the commitment of the government to inclusive development to ensure the well-being of citizens, there is </w:t>
      </w:r>
      <w:r w:rsidR="00034A58">
        <w:t xml:space="preserve">also </w:t>
      </w:r>
      <w:r w:rsidR="008C58F6">
        <w:t xml:space="preserve">scope </w:t>
      </w:r>
      <w:r w:rsidR="00034A58">
        <w:t xml:space="preserve">INFF development to be informed by key considerations for </w:t>
      </w:r>
      <w:r w:rsidR="00034A58" w:rsidRPr="002F3C80">
        <w:rPr>
          <w:b/>
          <w:bCs/>
        </w:rPr>
        <w:t>gender equality</w:t>
      </w:r>
      <w:r w:rsidR="00034A58">
        <w:t xml:space="preserve">; </w:t>
      </w:r>
      <w:r w:rsidR="00034A58" w:rsidRPr="002F3C80">
        <w:rPr>
          <w:b/>
          <w:bCs/>
        </w:rPr>
        <w:t>human rights</w:t>
      </w:r>
      <w:r w:rsidR="00034A58">
        <w:t xml:space="preserve">; and </w:t>
      </w:r>
      <w:r w:rsidR="00034A58" w:rsidRPr="002F3C80">
        <w:rPr>
          <w:b/>
          <w:bCs/>
        </w:rPr>
        <w:t>disability inclusion</w:t>
      </w:r>
      <w:r w:rsidR="00034A58">
        <w:t>.</w:t>
      </w:r>
      <w:r w:rsidR="00FC28AA">
        <w:t xml:space="preserve"> The </w:t>
      </w:r>
      <w:r w:rsidR="00FC28AA" w:rsidRPr="00430A37">
        <w:rPr>
          <w:b/>
          <w:bCs/>
        </w:rPr>
        <w:t>efficiency</w:t>
      </w:r>
      <w:r w:rsidR="00FC28AA">
        <w:t xml:space="preserve"> of the INFF process is relative, as it </w:t>
      </w:r>
      <w:r w:rsidR="009E197B">
        <w:t xml:space="preserve">is best </w:t>
      </w:r>
      <w:r w:rsidR="001A5717">
        <w:t>determine</w:t>
      </w:r>
      <w:r w:rsidR="001978F0">
        <w:t>d by an ongoing assessment of implementation</w:t>
      </w:r>
      <w:r w:rsidR="009E197B">
        <w:t xml:space="preserve">. </w:t>
      </w:r>
      <w:r w:rsidR="00937381">
        <w:t xml:space="preserve">In light of </w:t>
      </w:r>
      <w:r w:rsidR="00D94DA7">
        <w:t xml:space="preserve">visible progress </w:t>
      </w:r>
      <w:r w:rsidR="00430A37">
        <w:t>in</w:t>
      </w:r>
      <w:r w:rsidR="00D94DA7">
        <w:t xml:space="preserve"> design and implementation, however, </w:t>
      </w:r>
      <w:r w:rsidR="0051165A">
        <w:t>there is an emerging indication of the efficien</w:t>
      </w:r>
      <w:r w:rsidR="00430A37">
        <w:t>t use of resources for INFF development.</w:t>
      </w:r>
      <w:r w:rsidR="003F3D3A">
        <w:t xml:space="preserve"> As there has also been strong evidence of the uptake of </w:t>
      </w:r>
      <w:r w:rsidR="008740E8">
        <w:t>INFF methodology,</w:t>
      </w:r>
      <w:r w:rsidR="00C951B8">
        <w:t xml:space="preserve"> the</w:t>
      </w:r>
      <w:r w:rsidR="00524F52">
        <w:t xml:space="preserve">re is evidence of a contribution by the INFF project towards results </w:t>
      </w:r>
      <w:r w:rsidR="00524F52" w:rsidRPr="003E0D20">
        <w:rPr>
          <w:b/>
          <w:bCs/>
        </w:rPr>
        <w:t>sustainability</w:t>
      </w:r>
      <w:r w:rsidR="003A4F5D" w:rsidRPr="003A4F5D">
        <w:t>.</w:t>
      </w:r>
    </w:p>
    <w:p w14:paraId="60B8D921" w14:textId="77777777" w:rsidR="00B63EEA" w:rsidRPr="00B3125E" w:rsidRDefault="00B63EEA" w:rsidP="00B63EEA">
      <w:pPr>
        <w:pStyle w:val="FrontMatterH3"/>
        <w:spacing w:before="120" w:line="259" w:lineRule="auto"/>
        <w:jc w:val="both"/>
        <w:rPr>
          <w:color w:val="auto"/>
          <w:sz w:val="20"/>
          <w:szCs w:val="20"/>
        </w:rPr>
      </w:pPr>
      <w:r>
        <w:rPr>
          <w:color w:val="auto"/>
          <w:sz w:val="20"/>
          <w:szCs w:val="20"/>
        </w:rPr>
        <w:t>The Next Steps for INFF implementation</w:t>
      </w:r>
      <w:r w:rsidRPr="00B3125E">
        <w:rPr>
          <w:color w:val="auto"/>
          <w:sz w:val="20"/>
          <w:szCs w:val="20"/>
        </w:rPr>
        <w:t>:</w:t>
      </w:r>
    </w:p>
    <w:p w14:paraId="5BB966D2" w14:textId="1F91D3D6" w:rsidR="00025502" w:rsidRDefault="001161EA" w:rsidP="00B63EEA">
      <w:pPr>
        <w:pStyle w:val="ListNumber"/>
        <w:numPr>
          <w:ilvl w:val="0"/>
          <w:numId w:val="0"/>
        </w:numPr>
      </w:pPr>
      <w:r>
        <w:t xml:space="preserve">In light of the </w:t>
      </w:r>
      <w:r w:rsidR="00936FB1">
        <w:t xml:space="preserve">measures that </w:t>
      </w:r>
      <w:r w:rsidR="00181FA1">
        <w:t xml:space="preserve">have been </w:t>
      </w:r>
      <w:r w:rsidR="003C69B5">
        <w:t xml:space="preserve">instituted </w:t>
      </w:r>
      <w:r w:rsidR="004220E6">
        <w:t xml:space="preserve">by the government </w:t>
      </w:r>
      <w:r w:rsidR="003C69B5">
        <w:t>to supp</w:t>
      </w:r>
      <w:r w:rsidR="00CE3E18">
        <w:t xml:space="preserve">ort </w:t>
      </w:r>
      <w:r w:rsidR="00761355">
        <w:t>INFF development</w:t>
      </w:r>
      <w:r w:rsidR="006237BA">
        <w:t xml:space="preserve"> in </w:t>
      </w:r>
      <w:r w:rsidR="00ED7BA4">
        <w:t>t</w:t>
      </w:r>
      <w:r w:rsidR="006237BA">
        <w:t>he Dominican Republic</w:t>
      </w:r>
      <w:r w:rsidR="00181FA1">
        <w:t xml:space="preserve">, </w:t>
      </w:r>
      <w:r w:rsidR="00761355">
        <w:t xml:space="preserve">there </w:t>
      </w:r>
      <w:r w:rsidR="00ED7BA4">
        <w:t xml:space="preserve">has been </w:t>
      </w:r>
      <w:r w:rsidR="00C268E1">
        <w:t xml:space="preserve">evidence of </w:t>
      </w:r>
      <w:r w:rsidR="004220E6">
        <w:t xml:space="preserve">the </w:t>
      </w:r>
      <w:r w:rsidR="00ED7BA4">
        <w:t>o</w:t>
      </w:r>
      <w:r w:rsidR="00C268E1">
        <w:t xml:space="preserve">wnership </w:t>
      </w:r>
      <w:r w:rsidR="004220E6">
        <w:t>of the implementation process</w:t>
      </w:r>
      <w:r w:rsidR="00770F16">
        <w:t xml:space="preserve">. </w:t>
      </w:r>
      <w:r w:rsidR="005F6BC1">
        <w:t xml:space="preserve">This </w:t>
      </w:r>
      <w:r w:rsidR="004220E6">
        <w:t xml:space="preserve">has </w:t>
      </w:r>
      <w:r w:rsidR="005F6BC1">
        <w:t>include</w:t>
      </w:r>
      <w:r w:rsidR="004220E6">
        <w:t>d</w:t>
      </w:r>
      <w:r w:rsidR="005F6BC1">
        <w:t xml:space="preserve"> </w:t>
      </w:r>
      <w:r w:rsidR="00FB6EF3">
        <w:t xml:space="preserve">the designation of </w:t>
      </w:r>
      <w:r w:rsidR="005F6BC1">
        <w:t xml:space="preserve">leadership and accountability for </w:t>
      </w:r>
      <w:r w:rsidR="003A035A">
        <w:t xml:space="preserve">implementation oversight; </w:t>
      </w:r>
      <w:r w:rsidR="00C268E1">
        <w:t xml:space="preserve">results monitoring; and </w:t>
      </w:r>
      <w:r w:rsidR="003A035A">
        <w:t xml:space="preserve">progress </w:t>
      </w:r>
      <w:r w:rsidR="00C268E1">
        <w:t>reporting</w:t>
      </w:r>
      <w:r w:rsidR="003A035A">
        <w:t xml:space="preserve"> </w:t>
      </w:r>
      <w:r w:rsidR="009D26F3">
        <w:t xml:space="preserve">on </w:t>
      </w:r>
      <w:r w:rsidR="00E122C1">
        <w:t>milestones attained</w:t>
      </w:r>
      <w:r w:rsidR="00031A48">
        <w:t xml:space="preserve"> to support </w:t>
      </w:r>
      <w:r w:rsidR="003A035A">
        <w:t>national contributions</w:t>
      </w:r>
      <w:r w:rsidR="003F590D" w:rsidRPr="003F590D">
        <w:t xml:space="preserve"> </w:t>
      </w:r>
      <w:r w:rsidR="003F590D">
        <w:t>towards the SDGs</w:t>
      </w:r>
      <w:r w:rsidR="003A035A">
        <w:t>.</w:t>
      </w:r>
      <w:r w:rsidR="00FB268C">
        <w:t xml:space="preserve"> </w:t>
      </w:r>
      <w:r w:rsidR="002B1053">
        <w:t xml:space="preserve">There has also been a </w:t>
      </w:r>
      <w:r w:rsidR="007E72D9">
        <w:t xml:space="preserve">resolve </w:t>
      </w:r>
      <w:r w:rsidR="002B1053">
        <w:t xml:space="preserve">by the government to </w:t>
      </w:r>
      <w:r w:rsidR="0073546A">
        <w:t>actively support collaboration across the public; private; and international development cooperation sectors</w:t>
      </w:r>
      <w:r w:rsidR="00E879F2">
        <w:t xml:space="preserve">, </w:t>
      </w:r>
      <w:r w:rsidR="00025502">
        <w:t xml:space="preserve">to facilitate </w:t>
      </w:r>
      <w:r w:rsidR="007E72D9">
        <w:t xml:space="preserve">sustainable development </w:t>
      </w:r>
      <w:r w:rsidR="00025502">
        <w:t xml:space="preserve">through </w:t>
      </w:r>
      <w:r w:rsidR="007E72D9">
        <w:t xml:space="preserve">national transformation. </w:t>
      </w:r>
    </w:p>
    <w:p w14:paraId="691842BD" w14:textId="5D19AD53" w:rsidR="00DF6E99" w:rsidRDefault="00C1773B" w:rsidP="00B63EEA">
      <w:pPr>
        <w:pStyle w:val="ListNumber"/>
        <w:numPr>
          <w:ilvl w:val="0"/>
          <w:numId w:val="0"/>
        </w:numPr>
      </w:pPr>
      <w:r>
        <w:t xml:space="preserve">As the FINS Project is still in progress, </w:t>
      </w:r>
      <w:r w:rsidR="006E359B">
        <w:t xml:space="preserve">there is scope </w:t>
      </w:r>
      <w:r w:rsidR="00F239F2">
        <w:t xml:space="preserve">for </w:t>
      </w:r>
      <w:r w:rsidR="004220E6">
        <w:t xml:space="preserve">the </w:t>
      </w:r>
      <w:r w:rsidR="00513D29">
        <w:t>continu</w:t>
      </w:r>
      <w:r w:rsidR="004220E6">
        <w:t xml:space="preserve">ed provision of </w:t>
      </w:r>
      <w:r w:rsidR="00607562">
        <w:t xml:space="preserve">tailored technical assistance </w:t>
      </w:r>
      <w:r w:rsidR="00513D29">
        <w:t xml:space="preserve">for </w:t>
      </w:r>
      <w:r w:rsidR="00ED227F">
        <w:t xml:space="preserve">INFF </w:t>
      </w:r>
      <w:r w:rsidR="00724BCA">
        <w:t>development</w:t>
      </w:r>
      <w:r w:rsidR="00823C5F">
        <w:t xml:space="preserve">. </w:t>
      </w:r>
      <w:r w:rsidR="00F62A64">
        <w:t>T</w:t>
      </w:r>
      <w:r w:rsidR="001C1A55">
        <w:t>he 2025 Dominican Rep</w:t>
      </w:r>
      <w:r w:rsidR="00AC27DA">
        <w:t xml:space="preserve">ublic </w:t>
      </w:r>
      <w:r w:rsidR="001C1A55">
        <w:t xml:space="preserve">VNR </w:t>
      </w:r>
      <w:r w:rsidR="00746974">
        <w:t xml:space="preserve">has </w:t>
      </w:r>
      <w:r w:rsidR="00D44E93">
        <w:t xml:space="preserve">further </w:t>
      </w:r>
      <w:r w:rsidR="00ED227F">
        <w:t>underscored the</w:t>
      </w:r>
      <w:r w:rsidR="004E21F6">
        <w:t xml:space="preserve"> commitment of the government to th</w:t>
      </w:r>
      <w:r w:rsidR="00D44E93">
        <w:t xml:space="preserve">e INFF </w:t>
      </w:r>
      <w:r w:rsidR="004E21F6">
        <w:t>process</w:t>
      </w:r>
      <w:r w:rsidR="00FF2E1A">
        <w:t>,</w:t>
      </w:r>
      <w:r w:rsidR="00E46ADB">
        <w:t xml:space="preserve"> </w:t>
      </w:r>
      <w:r w:rsidR="00FF2E1A">
        <w:t>including the development of ‘a robust and inclusive Financial Strategy</w:t>
      </w:r>
      <w:r w:rsidR="00E72C7F">
        <w:t>.’</w:t>
      </w:r>
      <w:r w:rsidR="004E6CA0">
        <w:rPr>
          <w:rStyle w:val="FootnoteReference"/>
        </w:rPr>
        <w:footnoteReference w:id="263"/>
      </w:r>
      <w:r w:rsidR="00E72C7F">
        <w:t xml:space="preserve"> </w:t>
      </w:r>
    </w:p>
    <w:p w14:paraId="4DEC4DE8" w14:textId="77777777" w:rsidR="00B63EEA" w:rsidRDefault="00B63EEA" w:rsidP="00B63EEA">
      <w:pPr>
        <w:pStyle w:val="ListNumber"/>
        <w:numPr>
          <w:ilvl w:val="0"/>
          <w:numId w:val="0"/>
        </w:numPr>
      </w:pPr>
    </w:p>
    <w:p w14:paraId="3A5428AA" w14:textId="3A6886E8" w:rsidR="00DF100C" w:rsidRDefault="00DF100C" w:rsidP="00DF100C">
      <w:pPr>
        <w:pStyle w:val="ListNumber"/>
        <w:numPr>
          <w:ilvl w:val="0"/>
          <w:numId w:val="0"/>
        </w:numPr>
        <w:ind w:left="340" w:hanging="340"/>
        <w:jc w:val="left"/>
      </w:pPr>
    </w:p>
    <w:p w14:paraId="49A8C784" w14:textId="04F0FCDD" w:rsidR="00DF100C" w:rsidRDefault="00DF100C" w:rsidP="003D56BB">
      <w:pPr>
        <w:pStyle w:val="ListNumber"/>
        <w:numPr>
          <w:ilvl w:val="0"/>
          <w:numId w:val="0"/>
        </w:numPr>
        <w:jc w:val="left"/>
      </w:pPr>
    </w:p>
    <w:p w14:paraId="2F50AC9C" w14:textId="77777777" w:rsidR="00D743A5" w:rsidRDefault="00D743A5">
      <w:pPr>
        <w:sectPr w:rsidR="00D743A5" w:rsidSect="00D743A5">
          <w:type w:val="continuous"/>
          <w:pgSz w:w="12240" w:h="15840" w:code="1"/>
          <w:pgMar w:top="1276" w:right="1276" w:bottom="1588" w:left="1276" w:header="720" w:footer="720" w:gutter="0"/>
          <w:cols w:num="2" w:space="720"/>
          <w:docGrid w:linePitch="360"/>
        </w:sectPr>
      </w:pPr>
    </w:p>
    <w:p w14:paraId="1B58A4B3" w14:textId="0833D2FE" w:rsidR="00C25772" w:rsidRDefault="00C25772">
      <w:r>
        <w:br w:type="page"/>
      </w:r>
    </w:p>
    <w:p w14:paraId="406E2822" w14:textId="40116E94" w:rsidR="00D07CC3" w:rsidRPr="00296604" w:rsidRDefault="00D07CC3" w:rsidP="00D07CC3">
      <w:pPr>
        <w:pStyle w:val="FrontMatterH2"/>
      </w:pPr>
      <w:r>
        <w:lastRenderedPageBreak/>
        <w:t>Case Study 2: Egypt</w:t>
      </w:r>
      <w:r w:rsidRPr="00296604">
        <w:t xml:space="preserve"> </w:t>
      </w:r>
    </w:p>
    <w:p w14:paraId="5D0668E1" w14:textId="406EC2B2" w:rsidR="00D07CC3" w:rsidRPr="00B3125E" w:rsidRDefault="001F2A8E" w:rsidP="00D07CC3">
      <w:pPr>
        <w:pStyle w:val="FrontMatterH3"/>
        <w:spacing w:before="120" w:line="259" w:lineRule="auto"/>
        <w:jc w:val="both"/>
        <w:rPr>
          <w:color w:val="auto"/>
          <w:sz w:val="20"/>
          <w:szCs w:val="20"/>
        </w:rPr>
      </w:pPr>
      <w:r>
        <w:rPr>
          <w:color w:val="auto"/>
          <w:sz w:val="20"/>
          <w:szCs w:val="20"/>
        </w:rPr>
        <w:t xml:space="preserve">Country </w:t>
      </w:r>
      <w:r w:rsidR="004905C9">
        <w:rPr>
          <w:color w:val="auto"/>
          <w:sz w:val="20"/>
          <w:szCs w:val="20"/>
        </w:rPr>
        <w:t>Overview</w:t>
      </w:r>
      <w:r w:rsidR="00D07CC3" w:rsidRPr="00B3125E">
        <w:rPr>
          <w:color w:val="auto"/>
          <w:sz w:val="20"/>
          <w:szCs w:val="20"/>
        </w:rPr>
        <w:t>:</w:t>
      </w:r>
    </w:p>
    <w:p w14:paraId="59F27958" w14:textId="77777777" w:rsidR="00D07CC3" w:rsidRDefault="00D07CC3" w:rsidP="00D07CC3">
      <w:pPr>
        <w:pStyle w:val="ListNumber"/>
        <w:numPr>
          <w:ilvl w:val="0"/>
          <w:numId w:val="0"/>
        </w:numPr>
        <w:jc w:val="left"/>
        <w:sectPr w:rsidR="00D07CC3" w:rsidSect="00D07CC3">
          <w:type w:val="continuous"/>
          <w:pgSz w:w="12240" w:h="15840" w:code="1"/>
          <w:pgMar w:top="1276" w:right="1276" w:bottom="1588" w:left="1276" w:header="720" w:footer="720" w:gutter="0"/>
          <w:cols w:space="720"/>
          <w:docGrid w:linePitch="360"/>
        </w:sectPr>
      </w:pPr>
    </w:p>
    <w:p w14:paraId="035A00BA" w14:textId="33792427" w:rsidR="004F59E8" w:rsidRDefault="003854C5" w:rsidP="009D62C7">
      <w:pPr>
        <w:pStyle w:val="ListNumber"/>
        <w:numPr>
          <w:ilvl w:val="0"/>
          <w:numId w:val="0"/>
        </w:numPr>
      </w:pPr>
      <w:r>
        <w:t xml:space="preserve">Egypt is </w:t>
      </w:r>
      <w:r w:rsidR="00F6770C">
        <w:t xml:space="preserve">a </w:t>
      </w:r>
      <w:r w:rsidR="007841FB">
        <w:t>lower-mi</w:t>
      </w:r>
      <w:r w:rsidR="004F56EC">
        <w:t>ddle-income country</w:t>
      </w:r>
      <w:r w:rsidR="00B72E81">
        <w:rPr>
          <w:rStyle w:val="FootnoteReference"/>
        </w:rPr>
        <w:footnoteReference w:id="264"/>
      </w:r>
      <w:r w:rsidR="00B72E81">
        <w:t xml:space="preserve"> </w:t>
      </w:r>
      <w:r w:rsidR="00B837E4">
        <w:t>that is located in Western A</w:t>
      </w:r>
      <w:r w:rsidR="00B72E81">
        <w:t>sia</w:t>
      </w:r>
      <w:r w:rsidR="00076434">
        <w:t>.</w:t>
      </w:r>
      <w:r w:rsidR="00D81A2D" w:rsidRPr="00D81A2D">
        <w:rPr>
          <w:rStyle w:val="FootnoteReference"/>
        </w:rPr>
        <w:t xml:space="preserve"> </w:t>
      </w:r>
      <w:r w:rsidR="00802E94">
        <w:t xml:space="preserve">The </w:t>
      </w:r>
      <w:hyperlink r:id="rId184" w:history="1">
        <w:r w:rsidR="00B63EB0" w:rsidRPr="00B64A38">
          <w:rPr>
            <w:rStyle w:val="Hyperlink"/>
          </w:rPr>
          <w:t xml:space="preserve">2023 </w:t>
        </w:r>
        <w:r w:rsidR="00802E94" w:rsidRPr="00B64A38">
          <w:rPr>
            <w:rStyle w:val="Hyperlink"/>
          </w:rPr>
          <w:t xml:space="preserve">National </w:t>
        </w:r>
        <w:r w:rsidR="002B2CA3" w:rsidRPr="00B64A38">
          <w:rPr>
            <w:rStyle w:val="Hyperlink"/>
          </w:rPr>
          <w:t>Agenda for Sustainable Development</w:t>
        </w:r>
      </w:hyperlink>
      <w:r w:rsidR="00B63EB0">
        <w:t xml:space="preserve"> (Vision 2030</w:t>
      </w:r>
      <w:r w:rsidR="00142CB3">
        <w:t>,</w:t>
      </w:r>
      <w:r w:rsidR="00B63EB0">
        <w:t xml:space="preserve"> </w:t>
      </w:r>
      <w:r w:rsidR="007776C3">
        <w:t xml:space="preserve">Updated) is founded on six strategic </w:t>
      </w:r>
      <w:r w:rsidR="00FD043A">
        <w:t>goals</w:t>
      </w:r>
      <w:r w:rsidR="007F6B82">
        <w:t xml:space="preserve"> </w:t>
      </w:r>
      <w:r w:rsidR="0059367F">
        <w:t>and four g</w:t>
      </w:r>
      <w:r w:rsidR="007F6B82">
        <w:t xml:space="preserve">uiding principles </w:t>
      </w:r>
      <w:r w:rsidR="00AA391B">
        <w:t xml:space="preserve">for achieving the national </w:t>
      </w:r>
      <w:r w:rsidR="00A4251A">
        <w:t xml:space="preserve">vision for </w:t>
      </w:r>
      <w:r w:rsidR="00AA391B">
        <w:t xml:space="preserve">sustainable </w:t>
      </w:r>
      <w:r w:rsidR="00944C6D">
        <w:t>development</w:t>
      </w:r>
      <w:r w:rsidR="00A57DF7">
        <w:t xml:space="preserve">. The strategic goals </w:t>
      </w:r>
      <w:r w:rsidR="00583419">
        <w:t xml:space="preserve">complement each other and are </w:t>
      </w:r>
      <w:r w:rsidR="004F59E8">
        <w:t xml:space="preserve">aligned with the </w:t>
      </w:r>
      <w:hyperlink r:id="rId185" w:history="1">
        <w:r w:rsidR="004F59E8" w:rsidRPr="005A1F80">
          <w:rPr>
            <w:rStyle w:val="Hyperlink"/>
          </w:rPr>
          <w:t>2030 Agenda for Sustainable Development</w:t>
        </w:r>
      </w:hyperlink>
      <w:r w:rsidR="004F59E8">
        <w:t>, including the Sustainable Development Goals (SDGs).</w:t>
      </w:r>
    </w:p>
    <w:p w14:paraId="5D02DF50" w14:textId="5EFAB242" w:rsidR="00841709" w:rsidRDefault="0097713F" w:rsidP="009D62C7">
      <w:pPr>
        <w:pStyle w:val="ListNumber"/>
        <w:numPr>
          <w:ilvl w:val="0"/>
          <w:numId w:val="0"/>
        </w:numPr>
      </w:pPr>
      <w:r>
        <w:t>Vison 20</w:t>
      </w:r>
      <w:r w:rsidR="003E6B35">
        <w:t>30 (Updated)</w:t>
      </w:r>
      <w:r w:rsidR="00C40C82">
        <w:t xml:space="preserve"> </w:t>
      </w:r>
      <w:r w:rsidR="00DD10DD">
        <w:t>prioritises citizen development.</w:t>
      </w:r>
      <w:r w:rsidR="003F5353">
        <w:t xml:space="preserve"> </w:t>
      </w:r>
      <w:r w:rsidR="00635A54">
        <w:t xml:space="preserve">To facilitate this objective, </w:t>
      </w:r>
      <w:r w:rsidR="00DA45D1">
        <w:t xml:space="preserve">its </w:t>
      </w:r>
      <w:r w:rsidR="00637CB8">
        <w:t xml:space="preserve">four guiding principles </w:t>
      </w:r>
      <w:r w:rsidR="004A6072">
        <w:t xml:space="preserve">serve as a combined </w:t>
      </w:r>
      <w:r w:rsidR="00720D36">
        <w:t>framework that connects that strategic goals</w:t>
      </w:r>
      <w:r w:rsidR="003F5353">
        <w:t xml:space="preserve"> and allows for the articulation of 32 general</w:t>
      </w:r>
      <w:r w:rsidR="004A6072">
        <w:t>, but human-centred</w:t>
      </w:r>
      <w:r w:rsidR="003F5353">
        <w:t xml:space="preserve"> goals</w:t>
      </w:r>
      <w:r w:rsidR="0043583B">
        <w:t xml:space="preserve">. </w:t>
      </w:r>
      <w:r w:rsidR="00A7453A">
        <w:t xml:space="preserve">Vision 2030 </w:t>
      </w:r>
      <w:r w:rsidR="00686AEC">
        <w:t xml:space="preserve">(Updated) is </w:t>
      </w:r>
      <w:r w:rsidR="005B265A">
        <w:t xml:space="preserve">further supported by </w:t>
      </w:r>
      <w:r w:rsidR="00B01713">
        <w:t>seven enable</w:t>
      </w:r>
      <w:r w:rsidR="00C165F9">
        <w:t>rs</w:t>
      </w:r>
      <w:r w:rsidR="005B265A">
        <w:t>/ enabling factors</w:t>
      </w:r>
      <w:r w:rsidR="00C165F9">
        <w:t xml:space="preserve"> that </w:t>
      </w:r>
      <w:r w:rsidR="00737F36">
        <w:t>denote prerequisites and to</w:t>
      </w:r>
      <w:r w:rsidR="001D11B1">
        <w:t xml:space="preserve">ols </w:t>
      </w:r>
      <w:r w:rsidR="00686AEC">
        <w:t xml:space="preserve">to </w:t>
      </w:r>
      <w:r w:rsidR="00E7788D">
        <w:t>support</w:t>
      </w:r>
      <w:r w:rsidR="00686AEC">
        <w:t xml:space="preserve"> </w:t>
      </w:r>
      <w:r w:rsidR="006E1F54">
        <w:t>the realisation of the strategic goals</w:t>
      </w:r>
      <w:r w:rsidR="00E7788D">
        <w:t xml:space="preserve">. </w:t>
      </w:r>
      <w:r w:rsidR="006F4DB7">
        <w:t>The enablers</w:t>
      </w:r>
      <w:r w:rsidR="00104E54">
        <w:t xml:space="preserve"> have been incorporated into </w:t>
      </w:r>
      <w:r w:rsidR="008D2694">
        <w:t xml:space="preserve">national agenda to </w:t>
      </w:r>
      <w:r w:rsidR="00686AEC">
        <w:t xml:space="preserve">contribute towards </w:t>
      </w:r>
      <w:r w:rsidR="00A23C1C">
        <w:t xml:space="preserve">the </w:t>
      </w:r>
      <w:r w:rsidR="008D2694">
        <w:t>eff</w:t>
      </w:r>
      <w:r w:rsidR="00A23C1C">
        <w:t>ectiveness and efficiency of the sustainable development implementation process</w:t>
      </w:r>
      <w:r w:rsidR="00841709">
        <w:t>.</w:t>
      </w:r>
    </w:p>
    <w:p w14:paraId="4C6EF7AE" w14:textId="46A1D43C" w:rsidR="00E17B2C" w:rsidRDefault="00AF77E2" w:rsidP="009D62C7">
      <w:pPr>
        <w:pStyle w:val="ListNumber"/>
        <w:numPr>
          <w:ilvl w:val="0"/>
          <w:numId w:val="0"/>
        </w:numPr>
        <w:rPr>
          <w:lang w:val="en-CA"/>
        </w:rPr>
      </w:pPr>
      <w:r>
        <w:t xml:space="preserve">Significantly, Vision 2030 (Updated) has </w:t>
      </w:r>
      <w:r w:rsidR="00D65877">
        <w:t xml:space="preserve">identified financing as a major enabling factor for </w:t>
      </w:r>
      <w:r w:rsidR="00D65877" w:rsidRPr="009D62C7">
        <w:rPr>
          <w:lang w:val="en-CA"/>
        </w:rPr>
        <w:t>sustainable development</w:t>
      </w:r>
      <w:r w:rsidR="00D65877">
        <w:rPr>
          <w:lang w:val="en-CA"/>
        </w:rPr>
        <w:t xml:space="preserve">. </w:t>
      </w:r>
      <w:r w:rsidR="007E74B9">
        <w:rPr>
          <w:lang w:val="en-CA"/>
        </w:rPr>
        <w:t>I</w:t>
      </w:r>
      <w:r w:rsidR="008951BB">
        <w:rPr>
          <w:lang w:val="en-CA"/>
        </w:rPr>
        <w:t xml:space="preserve">t </w:t>
      </w:r>
      <w:r w:rsidR="005B7674">
        <w:rPr>
          <w:lang w:val="en-CA"/>
        </w:rPr>
        <w:t xml:space="preserve">has placed </w:t>
      </w:r>
      <w:r w:rsidR="008951BB">
        <w:rPr>
          <w:lang w:val="en-CA"/>
        </w:rPr>
        <w:t>emphasis</w:t>
      </w:r>
      <w:r w:rsidR="005B7674">
        <w:rPr>
          <w:lang w:val="en-CA"/>
        </w:rPr>
        <w:t xml:space="preserve"> on</w:t>
      </w:r>
      <w:r w:rsidR="008951BB">
        <w:rPr>
          <w:lang w:val="en-CA"/>
        </w:rPr>
        <w:t xml:space="preserve"> the need for a consistent and sustainable increase in financial flows</w:t>
      </w:r>
      <w:r w:rsidR="00686AEC">
        <w:rPr>
          <w:lang w:val="en-CA"/>
        </w:rPr>
        <w:t>,</w:t>
      </w:r>
      <w:r w:rsidR="008951BB">
        <w:rPr>
          <w:lang w:val="en-CA"/>
        </w:rPr>
        <w:t xml:space="preserve"> to meet the goals</w:t>
      </w:r>
      <w:r w:rsidR="00B24906">
        <w:rPr>
          <w:lang w:val="en-CA"/>
        </w:rPr>
        <w:t xml:space="preserve"> and requirement</w:t>
      </w:r>
      <w:r w:rsidR="005B7674">
        <w:rPr>
          <w:lang w:val="en-CA"/>
        </w:rPr>
        <w:t>s</w:t>
      </w:r>
      <w:r w:rsidR="00B24906">
        <w:rPr>
          <w:lang w:val="en-CA"/>
        </w:rPr>
        <w:t xml:space="preserve"> </w:t>
      </w:r>
      <w:r w:rsidR="008951BB">
        <w:rPr>
          <w:lang w:val="en-CA"/>
        </w:rPr>
        <w:t xml:space="preserve">for </w:t>
      </w:r>
      <w:r w:rsidR="00B04A3B">
        <w:rPr>
          <w:lang w:val="en-CA"/>
        </w:rPr>
        <w:t xml:space="preserve">country-level development. There </w:t>
      </w:r>
      <w:r w:rsidR="00686AEC">
        <w:rPr>
          <w:lang w:val="en-CA"/>
        </w:rPr>
        <w:t xml:space="preserve">has been </w:t>
      </w:r>
      <w:r w:rsidR="000E7603">
        <w:rPr>
          <w:lang w:val="en-CA"/>
        </w:rPr>
        <w:t>a further recognition of the importance of di</w:t>
      </w:r>
      <w:r w:rsidR="004415D8">
        <w:rPr>
          <w:lang w:val="en-CA"/>
        </w:rPr>
        <w:t xml:space="preserve">versified sources of financing from the public; private; </w:t>
      </w:r>
      <w:r w:rsidR="00F21322">
        <w:rPr>
          <w:lang w:val="en-CA"/>
        </w:rPr>
        <w:t xml:space="preserve">international </w:t>
      </w:r>
      <w:r w:rsidR="00686AEC">
        <w:rPr>
          <w:lang w:val="en-CA"/>
        </w:rPr>
        <w:t xml:space="preserve">and </w:t>
      </w:r>
      <w:r w:rsidR="00F21322">
        <w:rPr>
          <w:lang w:val="en-CA"/>
        </w:rPr>
        <w:t xml:space="preserve">spheres, </w:t>
      </w:r>
      <w:r w:rsidR="00686AEC">
        <w:rPr>
          <w:lang w:val="en-CA"/>
        </w:rPr>
        <w:t xml:space="preserve">including </w:t>
      </w:r>
      <w:r w:rsidR="00F21322">
        <w:rPr>
          <w:lang w:val="en-CA"/>
        </w:rPr>
        <w:t xml:space="preserve">new and innovative </w:t>
      </w:r>
      <w:r w:rsidR="00E17B2C">
        <w:rPr>
          <w:lang w:val="en-CA"/>
        </w:rPr>
        <w:t>development financ</w:t>
      </w:r>
      <w:r w:rsidR="00686AEC">
        <w:rPr>
          <w:lang w:val="en-CA"/>
        </w:rPr>
        <w:t>ing</w:t>
      </w:r>
      <w:r w:rsidR="00E17B2C">
        <w:rPr>
          <w:lang w:val="en-CA"/>
        </w:rPr>
        <w:t xml:space="preserve">. The stated objective of this approach </w:t>
      </w:r>
      <w:r w:rsidR="00686AEC">
        <w:rPr>
          <w:lang w:val="en-CA"/>
        </w:rPr>
        <w:t xml:space="preserve">is </w:t>
      </w:r>
      <w:r w:rsidR="00350E88">
        <w:rPr>
          <w:lang w:val="en-CA"/>
        </w:rPr>
        <w:t>the need ‘to serve the objectives of the vision.’</w:t>
      </w:r>
      <w:r w:rsidR="00350E88">
        <w:rPr>
          <w:rStyle w:val="FootnoteReference"/>
          <w:lang w:val="en-CA"/>
        </w:rPr>
        <w:footnoteReference w:id="265"/>
      </w:r>
      <w:r w:rsidR="003F43CB">
        <w:rPr>
          <w:lang w:val="en-CA"/>
        </w:rPr>
        <w:t xml:space="preserve"> </w:t>
      </w:r>
    </w:p>
    <w:p w14:paraId="5259B7EF" w14:textId="5574FB23" w:rsidR="003F43CB" w:rsidRDefault="00686AEC" w:rsidP="009D62C7">
      <w:pPr>
        <w:pStyle w:val="ListNumber"/>
        <w:numPr>
          <w:ilvl w:val="0"/>
          <w:numId w:val="0"/>
        </w:numPr>
        <w:rPr>
          <w:lang w:val="en-CA"/>
        </w:rPr>
      </w:pPr>
      <w:r>
        <w:rPr>
          <w:lang w:val="en-CA"/>
        </w:rPr>
        <w:t>Yet</w:t>
      </w:r>
      <w:r w:rsidR="003F43CB">
        <w:rPr>
          <w:lang w:val="en-CA"/>
        </w:rPr>
        <w:t xml:space="preserve">, </w:t>
      </w:r>
      <w:r w:rsidR="00AB0747">
        <w:rPr>
          <w:lang w:val="en-CA"/>
        </w:rPr>
        <w:t>there has been a shortfall in development financing in Egypt</w:t>
      </w:r>
      <w:r w:rsidR="00A51421">
        <w:rPr>
          <w:lang w:val="en-CA"/>
        </w:rPr>
        <w:t>. This</w:t>
      </w:r>
      <w:r w:rsidR="00D476F0">
        <w:rPr>
          <w:lang w:val="en-CA"/>
        </w:rPr>
        <w:t xml:space="preserve"> </w:t>
      </w:r>
      <w:r w:rsidR="00AB0747">
        <w:rPr>
          <w:lang w:val="en-CA"/>
        </w:rPr>
        <w:t xml:space="preserve">situation </w:t>
      </w:r>
      <w:r w:rsidR="00425B79">
        <w:rPr>
          <w:lang w:val="en-CA"/>
        </w:rPr>
        <w:t>deteriorated during the COVID-19 pandemic.</w:t>
      </w:r>
      <w:r w:rsidR="001F4A30">
        <w:rPr>
          <w:lang w:val="en-CA"/>
        </w:rPr>
        <w:t xml:space="preserve"> While </w:t>
      </w:r>
      <w:r w:rsidR="003351F9">
        <w:rPr>
          <w:lang w:val="en-CA"/>
        </w:rPr>
        <w:t xml:space="preserve">Vision 2030 (Updated) has identified financing as an enabler </w:t>
      </w:r>
      <w:r w:rsidR="00D476F0">
        <w:rPr>
          <w:lang w:val="en-CA"/>
        </w:rPr>
        <w:t>for national sustainable development</w:t>
      </w:r>
      <w:r w:rsidR="00A51421">
        <w:rPr>
          <w:lang w:val="en-CA"/>
        </w:rPr>
        <w:t xml:space="preserve">, it was also </w:t>
      </w:r>
      <w:r w:rsidR="00A51421">
        <w:rPr>
          <w:lang w:val="en-CA"/>
        </w:rPr>
        <w:t xml:space="preserve">identified as one of four </w:t>
      </w:r>
      <w:r w:rsidR="007F1A03">
        <w:rPr>
          <w:lang w:val="en-CA"/>
        </w:rPr>
        <w:t xml:space="preserve">challenges to </w:t>
      </w:r>
      <w:r w:rsidR="007C364A">
        <w:rPr>
          <w:lang w:val="en-CA"/>
        </w:rPr>
        <w:t xml:space="preserve">national </w:t>
      </w:r>
      <w:r w:rsidR="007F1A03">
        <w:rPr>
          <w:lang w:val="en-CA"/>
        </w:rPr>
        <w:t xml:space="preserve">capacity </w:t>
      </w:r>
      <w:r w:rsidR="007C364A">
        <w:rPr>
          <w:lang w:val="en-CA"/>
        </w:rPr>
        <w:t>for</w:t>
      </w:r>
      <w:r w:rsidR="007F1A03">
        <w:rPr>
          <w:lang w:val="en-CA"/>
        </w:rPr>
        <w:t xml:space="preserve"> facilitat</w:t>
      </w:r>
      <w:r w:rsidR="007C364A">
        <w:rPr>
          <w:lang w:val="en-CA"/>
        </w:rPr>
        <w:t>ing</w:t>
      </w:r>
      <w:r w:rsidR="007F1A03">
        <w:rPr>
          <w:lang w:val="en-CA"/>
        </w:rPr>
        <w:t xml:space="preserve"> the 2030 Agenda, including contributions towards the SDGs.</w:t>
      </w:r>
      <w:r w:rsidR="007F1A03">
        <w:rPr>
          <w:rStyle w:val="FootnoteReference"/>
          <w:lang w:val="en-CA"/>
        </w:rPr>
        <w:footnoteReference w:id="266"/>
      </w:r>
    </w:p>
    <w:p w14:paraId="655D74A7" w14:textId="7843063A" w:rsidR="00D07CC3" w:rsidRPr="00B3125E" w:rsidRDefault="00D07CC3" w:rsidP="00D07CC3">
      <w:pPr>
        <w:pStyle w:val="FrontMatterH3"/>
        <w:spacing w:before="120" w:line="259" w:lineRule="auto"/>
        <w:jc w:val="both"/>
        <w:rPr>
          <w:color w:val="auto"/>
          <w:sz w:val="20"/>
          <w:szCs w:val="20"/>
        </w:rPr>
      </w:pPr>
      <w:r>
        <w:rPr>
          <w:color w:val="auto"/>
          <w:sz w:val="20"/>
          <w:szCs w:val="20"/>
        </w:rPr>
        <w:t xml:space="preserve">Development Financing in </w:t>
      </w:r>
      <w:r w:rsidR="0033650B">
        <w:rPr>
          <w:color w:val="auto"/>
          <w:sz w:val="20"/>
          <w:szCs w:val="20"/>
        </w:rPr>
        <w:t>Egypt</w:t>
      </w:r>
    </w:p>
    <w:p w14:paraId="1FD6F4AE" w14:textId="70892812" w:rsidR="006502EE" w:rsidRDefault="007D466F" w:rsidP="007D466F">
      <w:pPr>
        <w:pStyle w:val="ListNumber"/>
        <w:numPr>
          <w:ilvl w:val="0"/>
          <w:numId w:val="0"/>
        </w:numPr>
      </w:pPr>
      <w:r>
        <w:t xml:space="preserve">From as early as 2018, the Government of Egypt identified </w:t>
      </w:r>
      <w:r w:rsidR="00A5694F">
        <w:t xml:space="preserve">limited development financing as </w:t>
      </w:r>
      <w:r w:rsidR="00B46C1E">
        <w:t xml:space="preserve">one of the challenges to </w:t>
      </w:r>
      <w:r w:rsidR="000A2F2F">
        <w:t>SDG achievement.</w:t>
      </w:r>
      <w:r w:rsidR="00054C01">
        <w:rPr>
          <w:rStyle w:val="FootnoteReference"/>
        </w:rPr>
        <w:footnoteReference w:id="267"/>
      </w:r>
      <w:r>
        <w:t xml:space="preserve"> </w:t>
      </w:r>
      <w:r w:rsidR="00F151DE">
        <w:t xml:space="preserve">The </w:t>
      </w:r>
      <w:hyperlink r:id="rId186" w:history="1">
        <w:r w:rsidR="00F151DE" w:rsidRPr="002A20FB">
          <w:rPr>
            <w:rStyle w:val="Hyperlink"/>
          </w:rPr>
          <w:t>2021 Egypt Voluntary National Review</w:t>
        </w:r>
      </w:hyperlink>
      <w:r w:rsidR="00F151DE">
        <w:t xml:space="preserve"> </w:t>
      </w:r>
      <w:r w:rsidR="002A20FB">
        <w:t>(VNR)</w:t>
      </w:r>
      <w:r w:rsidR="003C3DD0">
        <w:t xml:space="preserve"> reiterated this </w:t>
      </w:r>
      <w:r w:rsidR="00F71AC7">
        <w:t>conclusion</w:t>
      </w:r>
      <w:r w:rsidR="00A45336">
        <w:t xml:space="preserve"> and </w:t>
      </w:r>
      <w:r w:rsidR="00AE392C">
        <w:t xml:space="preserve">associated the </w:t>
      </w:r>
      <w:r w:rsidR="00A45336">
        <w:t xml:space="preserve">development financing </w:t>
      </w:r>
      <w:r w:rsidR="00AE392C">
        <w:t>challenge</w:t>
      </w:r>
      <w:r w:rsidR="00751AB4">
        <w:t xml:space="preserve"> with government debt; a </w:t>
      </w:r>
      <w:r w:rsidR="00105E73">
        <w:t xml:space="preserve">national </w:t>
      </w:r>
      <w:r w:rsidR="00751AB4">
        <w:t xml:space="preserve">budget deficit; </w:t>
      </w:r>
      <w:r w:rsidR="0007209C">
        <w:t xml:space="preserve">and the </w:t>
      </w:r>
      <w:r w:rsidR="002D3396">
        <w:t>re</w:t>
      </w:r>
      <w:r w:rsidR="00226BC8">
        <w:t xml:space="preserve">-routing of financial flows to mitigate the effects of the </w:t>
      </w:r>
      <w:r w:rsidR="0007209C">
        <w:t>COVID-19 pandemic</w:t>
      </w:r>
      <w:r w:rsidR="005D7820">
        <w:t>.</w:t>
      </w:r>
      <w:r w:rsidR="00601D7F">
        <w:t xml:space="preserve"> </w:t>
      </w:r>
      <w:r w:rsidR="008B399D">
        <w:t>At the level of government, t</w:t>
      </w:r>
      <w:r w:rsidR="00601D7F">
        <w:t>here has also been an acknowledgement</w:t>
      </w:r>
      <w:r w:rsidR="008B399D">
        <w:t xml:space="preserve"> </w:t>
      </w:r>
      <w:r w:rsidR="00601D7F">
        <w:t xml:space="preserve">that </w:t>
      </w:r>
      <w:r w:rsidR="00A77C3A">
        <w:t xml:space="preserve">traditional sources of </w:t>
      </w:r>
      <w:r w:rsidR="00590D12">
        <w:t>development financ</w:t>
      </w:r>
      <w:r w:rsidR="006502EE">
        <w:t>ing</w:t>
      </w:r>
      <w:r w:rsidR="00590D12">
        <w:t>, such as taxation revenue</w:t>
      </w:r>
      <w:r w:rsidR="00E978D4">
        <w:t xml:space="preserve"> and overseas development assistance</w:t>
      </w:r>
      <w:r w:rsidR="00CB43F4">
        <w:t>, are in</w:t>
      </w:r>
      <w:r w:rsidR="00E978D4">
        <w:t>sufficient</w:t>
      </w:r>
      <w:r w:rsidR="00CB43F4">
        <w:t xml:space="preserve">. </w:t>
      </w:r>
      <w:r w:rsidR="005648FE">
        <w:t xml:space="preserve">As a result, </w:t>
      </w:r>
      <w:r w:rsidR="00A96FF4">
        <w:t xml:space="preserve">Egypt has </w:t>
      </w:r>
      <w:r w:rsidR="00151E6C">
        <w:t xml:space="preserve">been </w:t>
      </w:r>
      <w:r w:rsidR="00523AE6">
        <w:t>consistent</w:t>
      </w:r>
      <w:r w:rsidR="00151E6C">
        <w:t xml:space="preserve"> in </w:t>
      </w:r>
      <w:r w:rsidR="007C364A">
        <w:t xml:space="preserve">its efforts to </w:t>
      </w:r>
      <w:r w:rsidR="00B57A52">
        <w:t xml:space="preserve">broaden </w:t>
      </w:r>
      <w:r w:rsidR="002D7A01">
        <w:t>its</w:t>
      </w:r>
      <w:r w:rsidR="006502EE">
        <w:t xml:space="preserve"> database of potential </w:t>
      </w:r>
      <w:r w:rsidR="00041251">
        <w:t>source</w:t>
      </w:r>
      <w:r w:rsidR="006502EE">
        <w:t xml:space="preserve">s of </w:t>
      </w:r>
      <w:r w:rsidR="00E978D4">
        <w:t xml:space="preserve">finance </w:t>
      </w:r>
      <w:r w:rsidR="006B23B7">
        <w:t>within t</w:t>
      </w:r>
      <w:r w:rsidR="00340ACA">
        <w:t>he public</w:t>
      </w:r>
      <w:r w:rsidR="001F1F69">
        <w:t xml:space="preserve"> and </w:t>
      </w:r>
      <w:r w:rsidR="00340ACA">
        <w:t>private</w:t>
      </w:r>
      <w:r w:rsidR="001F1F69">
        <w:t xml:space="preserve"> sectors</w:t>
      </w:r>
      <w:r w:rsidR="007C364A">
        <w:t xml:space="preserve">. The government has also </w:t>
      </w:r>
      <w:r w:rsidR="006B23B7">
        <w:t xml:space="preserve">identified a need </w:t>
      </w:r>
      <w:r w:rsidR="00975F1C">
        <w:t xml:space="preserve">for increased </w:t>
      </w:r>
      <w:r w:rsidR="00EF6B38">
        <w:t>Foreign Direct Investment</w:t>
      </w:r>
      <w:r w:rsidR="00181B40">
        <w:t xml:space="preserve">s. </w:t>
      </w:r>
    </w:p>
    <w:p w14:paraId="4679C42C" w14:textId="1F5C858F" w:rsidR="001F1F69" w:rsidRDefault="00C17E36" w:rsidP="007D466F">
      <w:pPr>
        <w:pStyle w:val="ListNumber"/>
        <w:numPr>
          <w:ilvl w:val="0"/>
          <w:numId w:val="0"/>
        </w:numPr>
      </w:pPr>
      <w:r>
        <w:t>Egy</w:t>
      </w:r>
      <w:r w:rsidR="00151E6C">
        <w:t xml:space="preserve">pt has </w:t>
      </w:r>
      <w:r w:rsidR="007055F7">
        <w:t xml:space="preserve">taken steps to engage the </w:t>
      </w:r>
      <w:r w:rsidR="00856551">
        <w:t>following sources of development financing</w:t>
      </w:r>
      <w:r w:rsidR="00C571D1">
        <w:t>:</w:t>
      </w:r>
    </w:p>
    <w:p w14:paraId="72657F76" w14:textId="0A22D523" w:rsidR="00DC40A6" w:rsidRDefault="003120ED" w:rsidP="00DD2DDC">
      <w:pPr>
        <w:pStyle w:val="ListNumber"/>
        <w:numPr>
          <w:ilvl w:val="0"/>
          <w:numId w:val="122"/>
        </w:numPr>
      </w:pPr>
      <w:hyperlink r:id="rId187" w:history="1">
        <w:r w:rsidRPr="00934D06">
          <w:rPr>
            <w:rStyle w:val="Hyperlink"/>
          </w:rPr>
          <w:t>The Sovereign Fund of Egypt</w:t>
        </w:r>
      </w:hyperlink>
      <w:r>
        <w:t xml:space="preserve">, </w:t>
      </w:r>
      <w:r w:rsidR="00AD0B3E">
        <w:t>a privat</w:t>
      </w:r>
      <w:r w:rsidR="003368E6">
        <w:t>e investment fund</w:t>
      </w:r>
      <w:r w:rsidR="00DC40A6">
        <w:t>;</w:t>
      </w:r>
      <w:r w:rsidR="00BF0617">
        <w:t xml:space="preserve"> and</w:t>
      </w:r>
    </w:p>
    <w:p w14:paraId="2C10FFF1" w14:textId="78E43E58" w:rsidR="003120ED" w:rsidRPr="003120ED" w:rsidRDefault="000B29AA" w:rsidP="00DD2DDC">
      <w:pPr>
        <w:pStyle w:val="ListNumber"/>
        <w:numPr>
          <w:ilvl w:val="0"/>
          <w:numId w:val="122"/>
        </w:numPr>
      </w:pPr>
      <w:hyperlink r:id="rId188" w:history="1">
        <w:r w:rsidRPr="00B1337A">
          <w:rPr>
            <w:rStyle w:val="Hyperlink"/>
          </w:rPr>
          <w:t>Law</w:t>
        </w:r>
        <w:r w:rsidR="002F7A04" w:rsidRPr="00B1337A">
          <w:rPr>
            <w:rStyle w:val="Hyperlink"/>
          </w:rPr>
          <w:t xml:space="preserve"> </w:t>
        </w:r>
        <w:r w:rsidR="00AF13FD" w:rsidRPr="00B1337A">
          <w:rPr>
            <w:rStyle w:val="Hyperlink"/>
          </w:rPr>
          <w:t xml:space="preserve">No. </w:t>
        </w:r>
        <w:r w:rsidR="002F7A04" w:rsidRPr="00B1337A">
          <w:rPr>
            <w:rStyle w:val="Hyperlink"/>
          </w:rPr>
          <w:t>152 of 2020</w:t>
        </w:r>
      </w:hyperlink>
      <w:r w:rsidR="00F9563A">
        <w:t xml:space="preserve"> and</w:t>
      </w:r>
      <w:r w:rsidR="00AF13FD">
        <w:t xml:space="preserve"> </w:t>
      </w:r>
      <w:r w:rsidR="002F7A04">
        <w:t xml:space="preserve">Law </w:t>
      </w:r>
      <w:r w:rsidR="00AF13FD">
        <w:t>No. 6 of 2025</w:t>
      </w:r>
      <w:r w:rsidR="00E54EE2">
        <w:rPr>
          <w:rStyle w:val="FootnoteReference"/>
        </w:rPr>
        <w:footnoteReference w:id="268"/>
      </w:r>
      <w:r w:rsidR="00E54EE2">
        <w:t xml:space="preserve">, </w:t>
      </w:r>
      <w:r w:rsidR="00CF4609">
        <w:t xml:space="preserve">which </w:t>
      </w:r>
      <w:r w:rsidR="00F9563A">
        <w:t xml:space="preserve">both </w:t>
      </w:r>
      <w:r w:rsidR="00CF4609">
        <w:t xml:space="preserve">provide </w:t>
      </w:r>
      <w:r w:rsidR="00B43D7A">
        <w:t>tax incentives to micro, small and medium enterprises (MSMEs)</w:t>
      </w:r>
      <w:r w:rsidR="00BF0617">
        <w:t>.</w:t>
      </w:r>
      <w:r w:rsidR="00822577">
        <w:t xml:space="preserve"> </w:t>
      </w:r>
      <w:r w:rsidR="00AD0B3E">
        <w:t xml:space="preserve"> </w:t>
      </w:r>
    </w:p>
    <w:p w14:paraId="4AEA6C5D" w14:textId="20CEF875" w:rsidR="00DC3008" w:rsidRDefault="00E92E62" w:rsidP="00BF0617">
      <w:pPr>
        <w:pStyle w:val="ListNumber"/>
        <w:numPr>
          <w:ilvl w:val="0"/>
          <w:numId w:val="0"/>
        </w:numPr>
      </w:pPr>
      <w:r>
        <w:t>In 2018, t</w:t>
      </w:r>
      <w:r w:rsidR="00BF0617">
        <w:t xml:space="preserve">he Government of Egypt established the Sovereign Fund </w:t>
      </w:r>
      <w:r w:rsidR="006970A2">
        <w:t xml:space="preserve">to stimulate investments in </w:t>
      </w:r>
      <w:r w:rsidR="00DA25C3">
        <w:t>State-owned assets.</w:t>
      </w:r>
      <w:r w:rsidR="009C634D">
        <w:rPr>
          <w:rStyle w:val="FootnoteReference"/>
        </w:rPr>
        <w:footnoteReference w:id="269"/>
      </w:r>
      <w:r w:rsidR="00DA25C3">
        <w:t xml:space="preserve"> It is a </w:t>
      </w:r>
      <w:r w:rsidR="00980BDF">
        <w:t>private investment fund that encourages co-investments by private sector investors</w:t>
      </w:r>
      <w:r w:rsidR="00B33B24">
        <w:t xml:space="preserve">, </w:t>
      </w:r>
      <w:r w:rsidR="00835234">
        <w:t xml:space="preserve">to unlock and maximise the value of underutilised State assets and resources. </w:t>
      </w:r>
      <w:r>
        <w:t>To s</w:t>
      </w:r>
      <w:r w:rsidR="00921DFC">
        <w:t xml:space="preserve">upport this process, the Sovereign Fund uses </w:t>
      </w:r>
      <w:r w:rsidR="00E71E80">
        <w:t xml:space="preserve">a </w:t>
      </w:r>
      <w:r w:rsidR="00921DFC">
        <w:lastRenderedPageBreak/>
        <w:t>m</w:t>
      </w:r>
      <w:r w:rsidR="00DB6026">
        <w:t>ultisectoral approach to drive investm</w:t>
      </w:r>
      <w:r w:rsidR="00E65BB1">
        <w:t xml:space="preserve">ents </w:t>
      </w:r>
      <w:r w:rsidR="007C364A">
        <w:t>and</w:t>
      </w:r>
      <w:r w:rsidR="00617BAE">
        <w:t xml:space="preserve"> fuel </w:t>
      </w:r>
      <w:r w:rsidR="008C32EE">
        <w:t>national economic growth</w:t>
      </w:r>
      <w:r w:rsidR="00F5094F">
        <w:t>.</w:t>
      </w:r>
      <w:r w:rsidR="0049222A">
        <w:t xml:space="preserve"> </w:t>
      </w:r>
    </w:p>
    <w:p w14:paraId="55FDBDAC" w14:textId="3F1E5B2C" w:rsidR="004131B5" w:rsidRDefault="00F5094F" w:rsidP="007D466F">
      <w:pPr>
        <w:pStyle w:val="ListNumber"/>
        <w:numPr>
          <w:ilvl w:val="0"/>
          <w:numId w:val="0"/>
        </w:numPr>
      </w:pPr>
      <w:r>
        <w:t>Law No. 152 of 2020</w:t>
      </w:r>
      <w:r w:rsidR="00147B04">
        <w:t xml:space="preserve"> (updated until 2023)</w:t>
      </w:r>
      <w:r w:rsidR="00C02528">
        <w:t xml:space="preserve"> </w:t>
      </w:r>
      <w:r w:rsidR="00A46310">
        <w:t xml:space="preserve">is </w:t>
      </w:r>
      <w:r w:rsidR="00C02528">
        <w:t xml:space="preserve">a framework for </w:t>
      </w:r>
      <w:r w:rsidR="002B2BB2">
        <w:t xml:space="preserve">the provision of </w:t>
      </w:r>
      <w:r w:rsidR="00A46310">
        <w:t xml:space="preserve">tax incentives to </w:t>
      </w:r>
      <w:r w:rsidR="00C02528">
        <w:t>MSMEs</w:t>
      </w:r>
      <w:r w:rsidR="004A5B96">
        <w:t xml:space="preserve">, including </w:t>
      </w:r>
      <w:r w:rsidR="006A2A39">
        <w:t xml:space="preserve">access to a simplified tax system. </w:t>
      </w:r>
      <w:r w:rsidR="005B2A9E">
        <w:t xml:space="preserve">The framework </w:t>
      </w:r>
      <w:r w:rsidR="002C7F56">
        <w:t xml:space="preserve">also includes an </w:t>
      </w:r>
      <w:r w:rsidR="006A2A39">
        <w:t xml:space="preserve">incentive for </w:t>
      </w:r>
      <w:r w:rsidR="00165A6E" w:rsidRPr="006070B4">
        <w:t>informal</w:t>
      </w:r>
      <w:r w:rsidR="00D34B75" w:rsidRPr="006070B4">
        <w:t xml:space="preserve"> </w:t>
      </w:r>
      <w:r w:rsidR="00752425" w:rsidRPr="006070B4">
        <w:t>businesses</w:t>
      </w:r>
      <w:r w:rsidR="00463B9F" w:rsidRPr="006070B4">
        <w:t xml:space="preserve"> </w:t>
      </w:r>
      <w:r w:rsidR="00963AEC" w:rsidRPr="006070B4">
        <w:t>t</w:t>
      </w:r>
      <w:r w:rsidR="00463B9F" w:rsidRPr="006070B4">
        <w:t xml:space="preserve">o </w:t>
      </w:r>
      <w:r w:rsidR="00963AEC" w:rsidRPr="006070B4">
        <w:t xml:space="preserve">register as </w:t>
      </w:r>
      <w:r w:rsidR="00463B9F" w:rsidRPr="006070B4">
        <w:t>formal</w:t>
      </w:r>
      <w:r w:rsidR="00752425" w:rsidRPr="006070B4">
        <w:t xml:space="preserve"> ent</w:t>
      </w:r>
      <w:r w:rsidR="00B24C83" w:rsidRPr="006070B4">
        <w:t>erprises</w:t>
      </w:r>
      <w:r w:rsidR="00133A32" w:rsidRPr="006070B4">
        <w:t xml:space="preserve"> (i.e. registration permits access to tax exemptions</w:t>
      </w:r>
      <w:r w:rsidR="0027691D" w:rsidRPr="006070B4">
        <w:t xml:space="preserve">, </w:t>
      </w:r>
      <w:r w:rsidR="00D34B75" w:rsidRPr="006070B4">
        <w:t xml:space="preserve">including </w:t>
      </w:r>
      <w:r w:rsidR="0027691D" w:rsidRPr="006070B4">
        <w:t>ex</w:t>
      </w:r>
      <w:r w:rsidR="00A7753A" w:rsidRPr="006070B4">
        <w:t>emption from stamp duty tax and government fees</w:t>
      </w:r>
      <w:r w:rsidR="00871051" w:rsidRPr="006070B4">
        <w:t>; fixed tariffs on imports; etc.</w:t>
      </w:r>
      <w:r w:rsidR="00A7753A" w:rsidRPr="006070B4">
        <w:t>).</w:t>
      </w:r>
      <w:r w:rsidR="00B24C83" w:rsidRPr="006070B4">
        <w:t xml:space="preserve"> </w:t>
      </w:r>
      <w:r w:rsidR="00CF1FF9" w:rsidRPr="006070B4">
        <w:t xml:space="preserve">Similarly, </w:t>
      </w:r>
      <w:r w:rsidR="002336DC">
        <w:t>Law No. 6 of 2025</w:t>
      </w:r>
      <w:r w:rsidR="00072FF2">
        <w:t xml:space="preserve"> </w:t>
      </w:r>
      <w:r w:rsidR="007F09AE">
        <w:t xml:space="preserve">provides </w:t>
      </w:r>
      <w:r w:rsidR="00356BC5">
        <w:t xml:space="preserve">further </w:t>
      </w:r>
      <w:r w:rsidR="007F09AE">
        <w:t xml:space="preserve">tax incentives to </w:t>
      </w:r>
      <w:r w:rsidR="00356BC5">
        <w:t xml:space="preserve">encourage </w:t>
      </w:r>
      <w:r w:rsidR="00FF76A1">
        <w:t xml:space="preserve">registration by </w:t>
      </w:r>
      <w:r w:rsidR="007F09AE">
        <w:t xml:space="preserve">informal </w:t>
      </w:r>
      <w:r w:rsidR="00356BC5">
        <w:t>bus</w:t>
      </w:r>
      <w:r w:rsidR="00FF76A1">
        <w:t>in</w:t>
      </w:r>
      <w:r w:rsidR="00B33CB0">
        <w:t>esses (e.g. exemptions from the notarising of company documents)</w:t>
      </w:r>
      <w:r w:rsidR="004131B5">
        <w:t>. In combination</w:t>
      </w:r>
      <w:r w:rsidR="007C364A">
        <w:t>,</w:t>
      </w:r>
      <w:r w:rsidR="004131B5">
        <w:t xml:space="preserve"> the laws support the broadening of the government tax base</w:t>
      </w:r>
      <w:r w:rsidR="005C7271">
        <w:t xml:space="preserve"> to generate additional revenue from domestic sources. </w:t>
      </w:r>
    </w:p>
    <w:p w14:paraId="06AD94C6" w14:textId="0F24F77A" w:rsidR="00CB55AD" w:rsidRDefault="00CB55AD" w:rsidP="007D466F">
      <w:pPr>
        <w:pStyle w:val="ListNumber"/>
        <w:numPr>
          <w:ilvl w:val="0"/>
          <w:numId w:val="0"/>
        </w:numPr>
      </w:pPr>
      <w:r>
        <w:t xml:space="preserve">As of 2020/2021, Egypt has also been investing in </w:t>
      </w:r>
      <w:r w:rsidR="00153D25">
        <w:t>an integrated national financing framework (INFF).</w:t>
      </w:r>
      <w:r w:rsidR="00152815">
        <w:t xml:space="preserve"> </w:t>
      </w:r>
    </w:p>
    <w:p w14:paraId="12A64AE9" w14:textId="77777777" w:rsidR="0057201C" w:rsidRPr="00B3125E" w:rsidRDefault="0057201C" w:rsidP="0057201C">
      <w:pPr>
        <w:pStyle w:val="FrontMatterH3"/>
        <w:spacing w:before="120" w:line="259" w:lineRule="auto"/>
        <w:jc w:val="both"/>
        <w:rPr>
          <w:color w:val="auto"/>
          <w:sz w:val="20"/>
          <w:szCs w:val="20"/>
        </w:rPr>
      </w:pPr>
      <w:r>
        <w:rPr>
          <w:color w:val="auto"/>
          <w:sz w:val="20"/>
          <w:szCs w:val="20"/>
        </w:rPr>
        <w:t>Towards INFF</w:t>
      </w:r>
    </w:p>
    <w:p w14:paraId="72FCD8C6" w14:textId="5A63D7A6" w:rsidR="005E7A21" w:rsidRDefault="00462C96" w:rsidP="0057201C">
      <w:pPr>
        <w:pStyle w:val="ListNumber"/>
        <w:numPr>
          <w:ilvl w:val="0"/>
          <w:numId w:val="0"/>
        </w:numPr>
      </w:pPr>
      <w:r>
        <w:t xml:space="preserve">During </w:t>
      </w:r>
      <w:r w:rsidR="0004177F">
        <w:t>2020</w:t>
      </w:r>
      <w:r>
        <w:t xml:space="preserve"> – 2022</w:t>
      </w:r>
      <w:r w:rsidR="0004177F">
        <w:t xml:space="preserve">, the Government of Egypt </w:t>
      </w:r>
      <w:r w:rsidR="000A01A8">
        <w:t xml:space="preserve">participated </w:t>
      </w:r>
      <w:r w:rsidR="00515A44">
        <w:t xml:space="preserve">in two </w:t>
      </w:r>
      <w:r w:rsidR="00EA508F">
        <w:t>parallel initiatives</w:t>
      </w:r>
      <w:r w:rsidR="00515A44">
        <w:t xml:space="preserve"> </w:t>
      </w:r>
      <w:r w:rsidR="002716E4">
        <w:t>on INFF development</w:t>
      </w:r>
      <w:r w:rsidR="00EA508F">
        <w:t xml:space="preserve">. </w:t>
      </w:r>
      <w:r w:rsidR="005E7A21">
        <w:t xml:space="preserve">The objective of the UNDESA </w:t>
      </w:r>
      <w:r w:rsidR="005E7A21" w:rsidRPr="002C68DD">
        <w:rPr>
          <w:i/>
          <w:iCs/>
        </w:rPr>
        <w:t>Towards INFF Project</w:t>
      </w:r>
      <w:r w:rsidR="005E7A21">
        <w:rPr>
          <w:i/>
          <w:iCs/>
        </w:rPr>
        <w:t xml:space="preserve">, </w:t>
      </w:r>
      <w:r w:rsidR="005E7A21" w:rsidRPr="00EA0C40">
        <w:rPr>
          <w:i/>
          <w:iCs/>
        </w:rPr>
        <w:t>2021-2024</w:t>
      </w:r>
      <w:r w:rsidR="005E7A21">
        <w:rPr>
          <w:i/>
          <w:iCs/>
        </w:rPr>
        <w:t xml:space="preserve"> </w:t>
      </w:r>
      <w:r w:rsidR="005E7A21">
        <w:t xml:space="preserve">was to </w:t>
      </w:r>
      <w:r w:rsidR="00F6500A">
        <w:t>strengthen</w:t>
      </w:r>
      <w:r w:rsidR="005E7A21">
        <w:t xml:space="preserve"> country capacities for mobilising and aligning financing with national development priorities. There was a specific focus on facilitating the INFF methodology</w:t>
      </w:r>
      <w:r w:rsidR="00821B8D">
        <w:t xml:space="preserve">, </w:t>
      </w:r>
      <w:r w:rsidR="001F7FA9">
        <w:t>as well as knowledge-exchange and peer-learning on INFF development</w:t>
      </w:r>
      <w:r w:rsidR="00C45F38">
        <w:t xml:space="preserve">. The </w:t>
      </w:r>
      <w:r w:rsidR="002716E4">
        <w:t xml:space="preserve">aim </w:t>
      </w:r>
      <w:r w:rsidR="00423BE2">
        <w:t>of</w:t>
      </w:r>
      <w:r w:rsidR="00970A76">
        <w:t xml:space="preserve"> project implementation under</w:t>
      </w:r>
      <w:r w:rsidR="00423BE2">
        <w:t xml:space="preserve"> the</w:t>
      </w:r>
      <w:r w:rsidR="00A94A70">
        <w:t xml:space="preserve"> UNDP-managed</w:t>
      </w:r>
      <w:r w:rsidR="00423BE2">
        <w:t xml:space="preserve"> </w:t>
      </w:r>
      <w:r w:rsidR="00FB5458" w:rsidRPr="00C70954">
        <w:rPr>
          <w:i/>
          <w:iCs/>
        </w:rPr>
        <w:t>Joint SDG Fund Programme</w:t>
      </w:r>
      <w:r w:rsidR="00FB5458">
        <w:t xml:space="preserve"> </w:t>
      </w:r>
      <w:r w:rsidR="00C0657B">
        <w:t xml:space="preserve">(the </w:t>
      </w:r>
      <w:r w:rsidR="00C0657B" w:rsidRPr="00C0657B">
        <w:rPr>
          <w:i/>
          <w:iCs/>
        </w:rPr>
        <w:t>Joint Programme</w:t>
      </w:r>
      <w:r w:rsidR="00C0657B">
        <w:t xml:space="preserve">) </w:t>
      </w:r>
      <w:r w:rsidR="00423BE2">
        <w:t xml:space="preserve">was to </w:t>
      </w:r>
      <w:r w:rsidR="00DD7CEB">
        <w:t>iden</w:t>
      </w:r>
      <w:r w:rsidR="00970A76">
        <w:t>tify</w:t>
      </w:r>
      <w:r w:rsidR="00C9244C">
        <w:t>: i)</w:t>
      </w:r>
      <w:r w:rsidR="00D04F20">
        <w:t xml:space="preserve"> </w:t>
      </w:r>
      <w:r w:rsidR="004823C4">
        <w:t xml:space="preserve">national </w:t>
      </w:r>
      <w:r w:rsidR="00D04F20">
        <w:t xml:space="preserve">resources </w:t>
      </w:r>
      <w:r w:rsidR="00B808B5">
        <w:t xml:space="preserve">for </w:t>
      </w:r>
      <w:r w:rsidR="004563D7">
        <w:t>financ</w:t>
      </w:r>
      <w:r w:rsidR="00B808B5">
        <w:t>ing</w:t>
      </w:r>
      <w:r w:rsidR="004563D7">
        <w:t xml:space="preserve"> the SDGs</w:t>
      </w:r>
      <w:r w:rsidR="004823C4">
        <w:t>;</w:t>
      </w:r>
      <w:r w:rsidR="0090243D">
        <w:t xml:space="preserve"> </w:t>
      </w:r>
      <w:r w:rsidR="00363595">
        <w:t>and</w:t>
      </w:r>
      <w:r w:rsidR="004823C4">
        <w:t xml:space="preserve"> ii) </w:t>
      </w:r>
      <w:r w:rsidR="00B808B5">
        <w:t>existing</w:t>
      </w:r>
      <w:r w:rsidR="0090243D">
        <w:t xml:space="preserve"> </w:t>
      </w:r>
      <w:r w:rsidR="004563D7">
        <w:t xml:space="preserve">gaps and challenges to </w:t>
      </w:r>
      <w:r w:rsidR="00B808B5">
        <w:t xml:space="preserve">INFF </w:t>
      </w:r>
      <w:r w:rsidR="004563D7">
        <w:t xml:space="preserve">implementation. </w:t>
      </w:r>
      <w:r w:rsidR="00C0657B">
        <w:t xml:space="preserve">To further </w:t>
      </w:r>
      <w:r w:rsidR="0090243D">
        <w:t xml:space="preserve">support INFF </w:t>
      </w:r>
      <w:r w:rsidR="003A1855">
        <w:t>development</w:t>
      </w:r>
      <w:r w:rsidR="0090243D">
        <w:t xml:space="preserve">, </w:t>
      </w:r>
      <w:r w:rsidR="00163975">
        <w:t xml:space="preserve">both initiatives </w:t>
      </w:r>
      <w:r w:rsidR="00193FEB">
        <w:t xml:space="preserve">also supported the identification of </w:t>
      </w:r>
      <w:r w:rsidR="00417ABB">
        <w:t xml:space="preserve">innovative financial tools and mechanisms </w:t>
      </w:r>
      <w:r w:rsidR="00193FEB">
        <w:t xml:space="preserve">to </w:t>
      </w:r>
      <w:r w:rsidR="00417ABB">
        <w:t>address</w:t>
      </w:r>
      <w:r w:rsidR="00DF15DC">
        <w:t xml:space="preserve"> </w:t>
      </w:r>
      <w:r w:rsidR="004D2FFA">
        <w:t>challenges</w:t>
      </w:r>
      <w:r w:rsidR="003A1855">
        <w:t xml:space="preserve"> to INFF </w:t>
      </w:r>
      <w:r w:rsidR="00163975">
        <w:t xml:space="preserve">development </w:t>
      </w:r>
      <w:r w:rsidR="003A1855">
        <w:t xml:space="preserve">and </w:t>
      </w:r>
      <w:r w:rsidR="00184726">
        <w:t xml:space="preserve">establish the </w:t>
      </w:r>
      <w:r w:rsidR="00163975">
        <w:t xml:space="preserve">cost </w:t>
      </w:r>
      <w:r w:rsidR="00184726">
        <w:t>of national contributions to the SDGs</w:t>
      </w:r>
      <w:r w:rsidR="00447628">
        <w:t xml:space="preserve">. </w:t>
      </w:r>
    </w:p>
    <w:p w14:paraId="7D8EF460" w14:textId="5D02A192" w:rsidR="005E7A21" w:rsidRDefault="00DC4362" w:rsidP="0057201C">
      <w:pPr>
        <w:pStyle w:val="ListNumber"/>
        <w:numPr>
          <w:ilvl w:val="0"/>
          <w:numId w:val="0"/>
        </w:numPr>
      </w:pPr>
      <w:r>
        <w:t xml:space="preserve">Project implementation under </w:t>
      </w:r>
      <w:r w:rsidR="00611CB6">
        <w:t xml:space="preserve">the </w:t>
      </w:r>
      <w:r w:rsidR="00611CB6" w:rsidRPr="00611CB6">
        <w:rPr>
          <w:i/>
          <w:iCs/>
        </w:rPr>
        <w:t>Towards INFF Project</w:t>
      </w:r>
      <w:r>
        <w:rPr>
          <w:i/>
          <w:iCs/>
        </w:rPr>
        <w:t xml:space="preserve"> </w:t>
      </w:r>
      <w:r w:rsidR="00A94A70">
        <w:t xml:space="preserve">engaged </w:t>
      </w:r>
      <w:r w:rsidR="006A5517">
        <w:t xml:space="preserve">the Ministry of </w:t>
      </w:r>
      <w:r w:rsidR="00473549">
        <w:t>Planning</w:t>
      </w:r>
      <w:r w:rsidR="003026DD">
        <w:t xml:space="preserve">, </w:t>
      </w:r>
      <w:r w:rsidR="00473549">
        <w:t>Economic Development</w:t>
      </w:r>
      <w:r w:rsidR="003026DD">
        <w:t xml:space="preserve"> and International Cooperation</w:t>
      </w:r>
      <w:r w:rsidR="00C07B0D">
        <w:t xml:space="preserve"> as the </w:t>
      </w:r>
      <w:r w:rsidR="008D51CA">
        <w:t xml:space="preserve">lead </w:t>
      </w:r>
      <w:r w:rsidR="00C07B0D">
        <w:t xml:space="preserve">participating government ministry. </w:t>
      </w:r>
      <w:r w:rsidR="0017742A">
        <w:t>Based on its project participation, the G</w:t>
      </w:r>
      <w:r w:rsidR="006144F3">
        <w:t xml:space="preserve">overnment of Egypt gained access to </w:t>
      </w:r>
      <w:r w:rsidR="009351D6">
        <w:t>technical ass</w:t>
      </w:r>
      <w:r w:rsidR="00063941">
        <w:t xml:space="preserve">istance to inform INFF </w:t>
      </w:r>
      <w:r w:rsidR="00063941">
        <w:t>design and implementation, including but not limited to</w:t>
      </w:r>
      <w:r w:rsidR="00EF60D1">
        <w:t xml:space="preserve">: i) global INFF material; ii) </w:t>
      </w:r>
      <w:r w:rsidR="00701B5E">
        <w:t xml:space="preserve">strategic advisory and </w:t>
      </w:r>
      <w:r w:rsidR="007C364A">
        <w:t xml:space="preserve">contextual </w:t>
      </w:r>
      <w:r w:rsidR="00910B86">
        <w:t xml:space="preserve">empirical </w:t>
      </w:r>
      <w:r w:rsidR="00EF60D1">
        <w:t>analyses</w:t>
      </w:r>
      <w:r w:rsidR="00701B5E">
        <w:t xml:space="preserve"> of development finan</w:t>
      </w:r>
      <w:r w:rsidR="00A23F61">
        <w:t>cing</w:t>
      </w:r>
      <w:r w:rsidR="00482418">
        <w:t xml:space="preserve">, including the cost of </w:t>
      </w:r>
      <w:r w:rsidR="007C364A">
        <w:t xml:space="preserve">national </w:t>
      </w:r>
      <w:r w:rsidR="00482418">
        <w:t xml:space="preserve">SDG contributions; </w:t>
      </w:r>
      <w:r w:rsidR="00E61A81">
        <w:t>iii) access to national and regional-level technical meetings, workshops and consultations on INFF development</w:t>
      </w:r>
      <w:r w:rsidR="00910B86">
        <w:t xml:space="preserve">; iv) </w:t>
      </w:r>
      <w:r w:rsidR="00923E46">
        <w:t xml:space="preserve">the tools and resources of the </w:t>
      </w:r>
      <w:hyperlink r:id="rId189" w:history="1">
        <w:r w:rsidR="00923E46" w:rsidRPr="00B65F4D">
          <w:rPr>
            <w:rStyle w:val="Hyperlink"/>
          </w:rPr>
          <w:t>Arab Financing for Development Gateway</w:t>
        </w:r>
      </w:hyperlink>
      <w:r w:rsidR="00923E46">
        <w:t xml:space="preserve">; </w:t>
      </w:r>
      <w:r w:rsidR="00532969">
        <w:t xml:space="preserve">and </w:t>
      </w:r>
      <w:r w:rsidR="00923E46">
        <w:t xml:space="preserve">v) </w:t>
      </w:r>
      <w:r w:rsidR="007E25E7">
        <w:t>knowledge-exchange and peer-learning (on</w:t>
      </w:r>
      <w:r w:rsidR="007E25E7" w:rsidRPr="007E25E7">
        <w:t xml:space="preserve"> </w:t>
      </w:r>
      <w:r w:rsidR="00F06EDF">
        <w:t xml:space="preserve">experiences in INFF development, including </w:t>
      </w:r>
      <w:r w:rsidR="007E25E7">
        <w:t>best practices; challenges; lessons learned</w:t>
      </w:r>
      <w:r w:rsidR="00F06EDF">
        <w:t>; etc.)</w:t>
      </w:r>
      <w:r w:rsidR="007E25E7">
        <w:t xml:space="preserve"> at a global end-of-project workshop</w:t>
      </w:r>
      <w:r w:rsidR="00F06EDF">
        <w:t>.</w:t>
      </w:r>
      <w:r w:rsidR="00532969" w:rsidRPr="00532969">
        <w:rPr>
          <w:rStyle w:val="FootnoteReference"/>
        </w:rPr>
        <w:t xml:space="preserve"> </w:t>
      </w:r>
      <w:r w:rsidR="00532969">
        <w:rPr>
          <w:rStyle w:val="FootnoteReference"/>
        </w:rPr>
        <w:footnoteReference w:id="270"/>
      </w:r>
      <w:r w:rsidR="00FC0B64">
        <w:t xml:space="preserve">This level of technical assistance was complemented by </w:t>
      </w:r>
      <w:r w:rsidR="003205E1">
        <w:t>sector-specific guidance for INFF development</w:t>
      </w:r>
      <w:r w:rsidR="00F81532">
        <w:t xml:space="preserve"> </w:t>
      </w:r>
      <w:r w:rsidR="003205E1">
        <w:t xml:space="preserve">under the </w:t>
      </w:r>
      <w:r w:rsidR="003205E1" w:rsidRPr="000D5B7B">
        <w:rPr>
          <w:i/>
          <w:iCs/>
        </w:rPr>
        <w:t>Joint Programme</w:t>
      </w:r>
      <w:r w:rsidR="003205E1">
        <w:t>.</w:t>
      </w:r>
      <w:r w:rsidR="00F81532">
        <w:rPr>
          <w:rStyle w:val="FootnoteReference"/>
        </w:rPr>
        <w:footnoteReference w:id="271"/>
      </w:r>
    </w:p>
    <w:p w14:paraId="16703DF5" w14:textId="63D0689F" w:rsidR="004632EA" w:rsidRDefault="00235D87" w:rsidP="0057201C">
      <w:pPr>
        <w:pStyle w:val="ListNumber"/>
        <w:numPr>
          <w:ilvl w:val="0"/>
          <w:numId w:val="0"/>
        </w:numPr>
      </w:pPr>
      <w:r>
        <w:t xml:space="preserve">There was strong evidence of </w:t>
      </w:r>
      <w:r w:rsidR="00385C5B">
        <w:t xml:space="preserve">engagement by the </w:t>
      </w:r>
      <w:r w:rsidR="00473549">
        <w:t>g</w:t>
      </w:r>
      <w:r w:rsidR="00385C5B">
        <w:t>overnment in project activitie</w:t>
      </w:r>
      <w:r w:rsidR="002B5000">
        <w:t>s</w:t>
      </w:r>
      <w:r w:rsidR="00006161">
        <w:t xml:space="preserve">. </w:t>
      </w:r>
      <w:r w:rsidR="000D5106">
        <w:t xml:space="preserve">In 2022, for example, </w:t>
      </w:r>
      <w:r w:rsidR="00006161">
        <w:t xml:space="preserve">the Government of </w:t>
      </w:r>
      <w:r w:rsidR="000D5106">
        <w:t xml:space="preserve">Egypt </w:t>
      </w:r>
      <w:r w:rsidR="00EE0CFE">
        <w:t>convened</w:t>
      </w:r>
      <w:r w:rsidR="008C76A0">
        <w:t xml:space="preserve"> </w:t>
      </w:r>
      <w:r w:rsidR="002B5000">
        <w:t>a National</w:t>
      </w:r>
      <w:r w:rsidR="004F7E63">
        <w:t xml:space="preserve"> Ministerial Council on Financing for Development, </w:t>
      </w:r>
      <w:r w:rsidR="00A859E0">
        <w:t xml:space="preserve">with responsibility </w:t>
      </w:r>
      <w:r w:rsidR="00C210C4">
        <w:t xml:space="preserve">for </w:t>
      </w:r>
      <w:r w:rsidR="00A859E0">
        <w:t xml:space="preserve">technical oversight </w:t>
      </w:r>
      <w:r w:rsidR="004F7E63">
        <w:t>o</w:t>
      </w:r>
      <w:r w:rsidR="00A859E0">
        <w:t xml:space="preserve">f the </w:t>
      </w:r>
      <w:r w:rsidR="004F7E63">
        <w:t xml:space="preserve">INFF </w:t>
      </w:r>
      <w:r w:rsidR="00080301">
        <w:t>process</w:t>
      </w:r>
      <w:r w:rsidR="004F7E63">
        <w:t xml:space="preserve">. </w:t>
      </w:r>
      <w:r w:rsidR="00C30252">
        <w:t>During the same year, t</w:t>
      </w:r>
      <w:r w:rsidR="00EE0CFE">
        <w:t xml:space="preserve">he government </w:t>
      </w:r>
      <w:r w:rsidR="00BA7922">
        <w:t xml:space="preserve">coordinated the production of </w:t>
      </w:r>
      <w:r w:rsidR="00EE0CFE">
        <w:t xml:space="preserve">the first </w:t>
      </w:r>
      <w:hyperlink r:id="rId190" w:history="1">
        <w:r w:rsidR="00C30252" w:rsidRPr="00E62D00">
          <w:rPr>
            <w:rStyle w:val="Hyperlink"/>
          </w:rPr>
          <w:t>National Report on Financing for Development</w:t>
        </w:r>
      </w:hyperlink>
      <w:r w:rsidR="00BA7922">
        <w:t xml:space="preserve">. </w:t>
      </w:r>
      <w:r w:rsidR="00E62D00">
        <w:t xml:space="preserve">This report was </w:t>
      </w:r>
      <w:r w:rsidR="00BA3AC1">
        <w:t xml:space="preserve">developed jointly </w:t>
      </w:r>
      <w:r w:rsidR="004632EA">
        <w:t xml:space="preserve">by representatives from across sectors, including the public and private sectors; civil society; and academia. </w:t>
      </w:r>
      <w:r w:rsidR="0002243E">
        <w:t>It has presented an objective analysis of the situation of development financing in Egypt</w:t>
      </w:r>
      <w:r w:rsidR="00FE48C2">
        <w:t xml:space="preserve">, with a focus on governmental initiatives; innovative and traditional sources of development financing; </w:t>
      </w:r>
      <w:r w:rsidR="002D4E54">
        <w:t xml:space="preserve">and policy recommendations. </w:t>
      </w:r>
      <w:r w:rsidR="007F1D22">
        <w:t xml:space="preserve">In 2024, </w:t>
      </w:r>
      <w:r w:rsidR="0007007D">
        <w:t xml:space="preserve">the Government of </w:t>
      </w:r>
      <w:r w:rsidR="007F1D22">
        <w:t>E</w:t>
      </w:r>
      <w:r w:rsidR="0007007D">
        <w:t xml:space="preserve">gypt also </w:t>
      </w:r>
      <w:r w:rsidR="002D2B13">
        <w:t>publish</w:t>
      </w:r>
      <w:r w:rsidR="005E0670">
        <w:t>ed</w:t>
      </w:r>
      <w:r w:rsidR="002D2B13">
        <w:t xml:space="preserve"> the</w:t>
      </w:r>
      <w:r w:rsidR="00B34167">
        <w:t xml:space="preserve"> </w:t>
      </w:r>
      <w:hyperlink r:id="rId191" w:history="1">
        <w:r w:rsidR="00B34167" w:rsidRPr="005E0670">
          <w:rPr>
            <w:rStyle w:val="Hyperlink"/>
          </w:rPr>
          <w:t>Integrated National Financing Strategy</w:t>
        </w:r>
      </w:hyperlink>
      <w:r w:rsidR="003D523F">
        <w:t xml:space="preserve"> (</w:t>
      </w:r>
      <w:r w:rsidR="0042650F">
        <w:t>E-</w:t>
      </w:r>
      <w:r w:rsidR="003D523F">
        <w:t>INFS)</w:t>
      </w:r>
      <w:r w:rsidR="00885673">
        <w:t xml:space="preserve"> for use in </w:t>
      </w:r>
      <w:r w:rsidR="00062C29">
        <w:t>‘systematically coordinating and aligning all financing sources and policies with national development priorities and the SDGs.’</w:t>
      </w:r>
      <w:r w:rsidR="00062C29">
        <w:rPr>
          <w:rStyle w:val="FootnoteReference"/>
        </w:rPr>
        <w:footnoteReference w:id="272"/>
      </w:r>
      <w:r w:rsidR="00B34167">
        <w:t xml:space="preserve"> </w:t>
      </w:r>
      <w:r w:rsidR="00FE48C2">
        <w:t xml:space="preserve"> </w:t>
      </w:r>
    </w:p>
    <w:p w14:paraId="62E2B426" w14:textId="48FD4E0E" w:rsidR="0087385A" w:rsidRDefault="00674D4B" w:rsidP="007C364A">
      <w:pPr>
        <w:pStyle w:val="ListNumber"/>
        <w:numPr>
          <w:ilvl w:val="0"/>
          <w:numId w:val="0"/>
        </w:numPr>
        <w:tabs>
          <w:tab w:val="num" w:pos="644"/>
        </w:tabs>
      </w:pPr>
      <w:r>
        <w:t xml:space="preserve">The Government of Egypt has presented </w:t>
      </w:r>
      <w:r w:rsidR="00F77B25">
        <w:t>E-INFS</w:t>
      </w:r>
      <w:r>
        <w:t xml:space="preserve"> (</w:t>
      </w:r>
      <w:r w:rsidR="00F77B25">
        <w:t>2024</w:t>
      </w:r>
      <w:r>
        <w:t xml:space="preserve">) as a </w:t>
      </w:r>
      <w:r w:rsidR="00A52CF6">
        <w:t xml:space="preserve">context-specific and actionable roadmap that outlines the </w:t>
      </w:r>
      <w:r w:rsidR="00C74D49">
        <w:t>national strategy for development financing.</w:t>
      </w:r>
      <w:r w:rsidR="007E67EB">
        <w:rPr>
          <w:rStyle w:val="FootnoteReference"/>
        </w:rPr>
        <w:footnoteReference w:id="273"/>
      </w:r>
      <w:r w:rsidR="00C74D49">
        <w:t xml:space="preserve"> </w:t>
      </w:r>
      <w:r w:rsidR="00FA0639">
        <w:t>To support accelerated national contributions to the SDGs, E-INFS (2024)</w:t>
      </w:r>
      <w:r w:rsidR="00623C6E">
        <w:t xml:space="preserve"> has been designed to </w:t>
      </w:r>
      <w:r w:rsidR="00457824">
        <w:t xml:space="preserve">consistently respond to the evolving development financing </w:t>
      </w:r>
      <w:r w:rsidR="00D55022">
        <w:t>landscape in Egyp</w:t>
      </w:r>
      <w:r w:rsidR="007E67EB">
        <w:t>t</w:t>
      </w:r>
      <w:r w:rsidR="007C364A">
        <w:t>,</w:t>
      </w:r>
      <w:r w:rsidR="007E67EB">
        <w:t xml:space="preserve"> to effectively address shortfalls in required financial flows. </w:t>
      </w:r>
    </w:p>
    <w:p w14:paraId="77328136" w14:textId="450E3E32" w:rsidR="00FA0639" w:rsidRDefault="007E67EB" w:rsidP="0057201C">
      <w:pPr>
        <w:pStyle w:val="ListNumber"/>
        <w:numPr>
          <w:ilvl w:val="0"/>
          <w:numId w:val="0"/>
        </w:numPr>
      </w:pPr>
      <w:r>
        <w:lastRenderedPageBreak/>
        <w:t>E-INFS (2024)</w:t>
      </w:r>
      <w:r w:rsidR="0087385A">
        <w:t xml:space="preserve"> will be used to support:</w:t>
      </w:r>
    </w:p>
    <w:p w14:paraId="4075AD0C" w14:textId="49149972" w:rsidR="0087385A" w:rsidRDefault="005D6653" w:rsidP="00DD2DDC">
      <w:pPr>
        <w:pStyle w:val="ListNumber"/>
        <w:numPr>
          <w:ilvl w:val="0"/>
          <w:numId w:val="119"/>
        </w:numPr>
      </w:pPr>
      <w:r>
        <w:t xml:space="preserve">Mobilisation and alignment of </w:t>
      </w:r>
      <w:r w:rsidR="003D4A8D">
        <w:t>domestic public financing with national development priorities;</w:t>
      </w:r>
    </w:p>
    <w:p w14:paraId="2277CFF6" w14:textId="29D0716B" w:rsidR="003D4A8D" w:rsidRDefault="003D4A8D" w:rsidP="00DD2DDC">
      <w:pPr>
        <w:pStyle w:val="ListNumber"/>
        <w:numPr>
          <w:ilvl w:val="0"/>
          <w:numId w:val="119"/>
        </w:numPr>
      </w:pPr>
      <w:r>
        <w:t xml:space="preserve">Alignment of private financing and </w:t>
      </w:r>
      <w:r w:rsidR="0029702B">
        <w:t>investment;</w:t>
      </w:r>
    </w:p>
    <w:p w14:paraId="05F134AA" w14:textId="5FF226FD" w:rsidR="005A77E1" w:rsidRDefault="005A77E1" w:rsidP="00DD2DDC">
      <w:pPr>
        <w:pStyle w:val="ListNumber"/>
        <w:numPr>
          <w:ilvl w:val="0"/>
          <w:numId w:val="119"/>
        </w:numPr>
      </w:pPr>
      <w:r>
        <w:t>Development cooperation alignment;</w:t>
      </w:r>
      <w:r w:rsidR="00AB67D8">
        <w:t xml:space="preserve"> and</w:t>
      </w:r>
    </w:p>
    <w:p w14:paraId="441A185E" w14:textId="7AC845B3" w:rsidR="0029702B" w:rsidRDefault="0029702B" w:rsidP="00DD2DDC">
      <w:pPr>
        <w:pStyle w:val="ListNumber"/>
        <w:numPr>
          <w:ilvl w:val="0"/>
          <w:numId w:val="119"/>
        </w:numPr>
      </w:pPr>
      <w:r>
        <w:t>A</w:t>
      </w:r>
      <w:r w:rsidR="005A77E1">
        <w:t>n enabling environment</w:t>
      </w:r>
      <w:r w:rsidR="00D71832">
        <w:t xml:space="preserve"> and non-financial means of implementation </w:t>
      </w:r>
      <w:r w:rsidR="00CC6A1F">
        <w:t>for national sustainable development</w:t>
      </w:r>
      <w:r w:rsidR="004834EE">
        <w:t>.</w:t>
      </w:r>
      <w:r w:rsidR="00CC6A1F">
        <w:rPr>
          <w:rStyle w:val="FootnoteReference"/>
        </w:rPr>
        <w:footnoteReference w:id="274"/>
      </w:r>
    </w:p>
    <w:p w14:paraId="32559C41" w14:textId="3E41F356" w:rsidR="003054DC" w:rsidRPr="003A4F5D" w:rsidRDefault="004834EE" w:rsidP="003560CA">
      <w:pPr>
        <w:pStyle w:val="ListNumber"/>
        <w:numPr>
          <w:ilvl w:val="0"/>
          <w:numId w:val="0"/>
        </w:numPr>
      </w:pPr>
      <w:r>
        <w:t xml:space="preserve">The assessment of </w:t>
      </w:r>
      <w:r w:rsidR="005E7926">
        <w:t xml:space="preserve">the involvement of Egypt in the </w:t>
      </w:r>
      <w:r w:rsidR="005E7926" w:rsidRPr="002C68DD">
        <w:rPr>
          <w:i/>
          <w:iCs/>
        </w:rPr>
        <w:t>Towards INFF Project</w:t>
      </w:r>
      <w:r w:rsidR="005E7926">
        <w:rPr>
          <w:i/>
          <w:iCs/>
        </w:rPr>
        <w:t xml:space="preserve"> </w:t>
      </w:r>
      <w:r w:rsidR="005E7926">
        <w:t xml:space="preserve">has highlighted the </w:t>
      </w:r>
      <w:r w:rsidR="005E7926" w:rsidRPr="00E25B69">
        <w:rPr>
          <w:b/>
          <w:bCs/>
        </w:rPr>
        <w:t>relevance</w:t>
      </w:r>
      <w:r w:rsidR="005E7926">
        <w:t xml:space="preserve"> of the project to </w:t>
      </w:r>
      <w:r w:rsidR="00F758F8">
        <w:t>national vision for sustainable development.</w:t>
      </w:r>
      <w:r w:rsidR="00E25B69">
        <w:t xml:space="preserve"> There has also been a </w:t>
      </w:r>
      <w:r w:rsidR="00E25B69" w:rsidRPr="0065593C">
        <w:rPr>
          <w:b/>
          <w:bCs/>
        </w:rPr>
        <w:t xml:space="preserve">coherent </w:t>
      </w:r>
      <w:r w:rsidR="00E25B69">
        <w:t xml:space="preserve">link between </w:t>
      </w:r>
      <w:r w:rsidR="00504C9E">
        <w:t xml:space="preserve">project activities and the measures that have been established by </w:t>
      </w:r>
      <w:r w:rsidR="00EC5A63">
        <w:t xml:space="preserve">the Government of Egypt to address the existing gap in development financing. </w:t>
      </w:r>
      <w:r w:rsidR="003054DC" w:rsidRPr="003560CA">
        <w:t xml:space="preserve">The uptake of the INFF methodology by strategic planning </w:t>
      </w:r>
      <w:r w:rsidR="00867848" w:rsidRPr="003560CA">
        <w:t xml:space="preserve">is indicative of project </w:t>
      </w:r>
      <w:r w:rsidR="00867848" w:rsidRPr="003560CA">
        <w:rPr>
          <w:b/>
          <w:bCs/>
        </w:rPr>
        <w:t>effectiveness</w:t>
      </w:r>
      <w:r w:rsidR="00D27381" w:rsidRPr="003560CA">
        <w:rPr>
          <w:b/>
          <w:bCs/>
        </w:rPr>
        <w:t xml:space="preserve"> </w:t>
      </w:r>
      <w:r w:rsidR="00D27381" w:rsidRPr="003560CA">
        <w:t xml:space="preserve">in </w:t>
      </w:r>
      <w:r w:rsidR="00197BD5" w:rsidRPr="003560CA">
        <w:t xml:space="preserve">contributing towards </w:t>
      </w:r>
      <w:r w:rsidR="00D27381" w:rsidRPr="003560CA">
        <w:t>built capacities in the INFF methodology</w:t>
      </w:r>
      <w:r w:rsidR="005B4B7B">
        <w:t xml:space="preserve">. It equally reflects </w:t>
      </w:r>
      <w:r w:rsidR="003560CA" w:rsidRPr="003560CA">
        <w:t xml:space="preserve">the resultant </w:t>
      </w:r>
      <w:r w:rsidR="003560CA" w:rsidRPr="003560CA">
        <w:rPr>
          <w:b/>
          <w:bCs/>
        </w:rPr>
        <w:t>impact</w:t>
      </w:r>
      <w:r w:rsidR="005B4B7B">
        <w:rPr>
          <w:b/>
          <w:bCs/>
        </w:rPr>
        <w:t xml:space="preserve">, </w:t>
      </w:r>
      <w:r w:rsidR="005B4B7B" w:rsidRPr="005B4B7B">
        <w:t xml:space="preserve">as informed by </w:t>
      </w:r>
      <w:r w:rsidR="00DD63AB" w:rsidRPr="005B4B7B">
        <w:t>knowledge-exchange and peer</w:t>
      </w:r>
      <w:r w:rsidR="00DD63AB" w:rsidRPr="003560CA">
        <w:t xml:space="preserve"> learning.</w:t>
      </w:r>
      <w:r w:rsidR="00867848">
        <w:t xml:space="preserve"> </w:t>
      </w:r>
      <w:r w:rsidR="0065593C">
        <w:t xml:space="preserve">E-INFS (2024) </w:t>
      </w:r>
      <w:r w:rsidR="000051B7">
        <w:t xml:space="preserve">is built on the </w:t>
      </w:r>
      <w:hyperlink r:id="rId192" w:history="1">
        <w:r w:rsidR="00FC0CB2" w:rsidRPr="00FC0CB2">
          <w:rPr>
            <w:rStyle w:val="Hyperlink"/>
          </w:rPr>
          <w:t>Leave No One Behind (LNOB) principle</w:t>
        </w:r>
      </w:hyperlink>
      <w:r w:rsidR="00D55EF1">
        <w:t xml:space="preserve"> of the 2030 Agenda</w:t>
      </w:r>
      <w:r w:rsidR="007F2033">
        <w:t xml:space="preserve"> and has </w:t>
      </w:r>
      <w:r w:rsidR="001B2EF1">
        <w:t xml:space="preserve">incorporated </w:t>
      </w:r>
      <w:r w:rsidR="00806464">
        <w:t>an inclusive and gender sensitive approach</w:t>
      </w:r>
      <w:r w:rsidR="00C5284C">
        <w:t xml:space="preserve">. </w:t>
      </w:r>
      <w:r w:rsidR="006B32DC">
        <w:t>This approach h</w:t>
      </w:r>
      <w:r w:rsidR="00806464">
        <w:t>as</w:t>
      </w:r>
      <w:r w:rsidR="005B4B7B">
        <w:t xml:space="preserve"> </w:t>
      </w:r>
      <w:r w:rsidR="00806464">
        <w:t xml:space="preserve">informed the </w:t>
      </w:r>
      <w:r w:rsidR="00AB67D8">
        <w:t xml:space="preserve">integration of </w:t>
      </w:r>
      <w:r w:rsidR="005B4B7B">
        <w:t xml:space="preserve">considerations for </w:t>
      </w:r>
      <w:r w:rsidR="00AB67D8" w:rsidRPr="00AB67D8">
        <w:rPr>
          <w:b/>
          <w:bCs/>
        </w:rPr>
        <w:t>gender equality</w:t>
      </w:r>
      <w:r w:rsidR="00AB67D8">
        <w:t xml:space="preserve">; </w:t>
      </w:r>
      <w:r w:rsidR="00AB67D8" w:rsidRPr="00AB67D8">
        <w:rPr>
          <w:b/>
          <w:bCs/>
        </w:rPr>
        <w:t>human rights</w:t>
      </w:r>
      <w:r w:rsidR="00AB67D8">
        <w:t xml:space="preserve">; and </w:t>
      </w:r>
      <w:r w:rsidR="00AB67D8" w:rsidRPr="00AB67D8">
        <w:rPr>
          <w:b/>
          <w:bCs/>
        </w:rPr>
        <w:t>disability inclusion</w:t>
      </w:r>
      <w:r w:rsidR="005B4B7B">
        <w:rPr>
          <w:b/>
          <w:bCs/>
        </w:rPr>
        <w:t xml:space="preserve"> </w:t>
      </w:r>
      <w:r w:rsidR="005B4B7B" w:rsidRPr="005B4B7B">
        <w:t xml:space="preserve">into the INFF </w:t>
      </w:r>
      <w:r w:rsidR="005B4B7B" w:rsidRPr="005B4B7B">
        <w:t>development process</w:t>
      </w:r>
      <w:r w:rsidR="00AB67D8" w:rsidRPr="005B4B7B">
        <w:t>. T</w:t>
      </w:r>
      <w:r w:rsidR="00AB67D8">
        <w:t xml:space="preserve">he resolve by the Government of Egypt, to ensure that E-INFS (2024) </w:t>
      </w:r>
      <w:r w:rsidR="00787B73">
        <w:t>employs a</w:t>
      </w:r>
      <w:r w:rsidR="00AB67D8">
        <w:t xml:space="preserve"> transparent</w:t>
      </w:r>
      <w:r w:rsidR="00787B73">
        <w:t xml:space="preserve"> approach to</w:t>
      </w:r>
      <w:r w:rsidR="005B4B7B">
        <w:t>: i)</w:t>
      </w:r>
      <w:r w:rsidR="00787B73">
        <w:t xml:space="preserve"> monitoring and reporting </w:t>
      </w:r>
      <w:r w:rsidR="00535FFD">
        <w:t xml:space="preserve">on resources use, </w:t>
      </w:r>
      <w:r w:rsidR="005B4B7B">
        <w:t xml:space="preserve">; and ii) </w:t>
      </w:r>
      <w:r w:rsidR="00535FFD">
        <w:t xml:space="preserve">the impact of usage, </w:t>
      </w:r>
      <w:r w:rsidR="00116B11">
        <w:t xml:space="preserve">also </w:t>
      </w:r>
      <w:r w:rsidR="00B117DC">
        <w:t xml:space="preserve">signifies </w:t>
      </w:r>
      <w:r w:rsidR="00CF3590">
        <w:t xml:space="preserve">an investment in </w:t>
      </w:r>
      <w:r w:rsidR="00CF3590" w:rsidRPr="00836A0B">
        <w:rPr>
          <w:b/>
          <w:bCs/>
        </w:rPr>
        <w:t>efficien</w:t>
      </w:r>
      <w:r w:rsidR="00836A0B" w:rsidRPr="00836A0B">
        <w:rPr>
          <w:b/>
          <w:bCs/>
        </w:rPr>
        <w:t>t</w:t>
      </w:r>
      <w:r w:rsidR="00836A0B">
        <w:t xml:space="preserve"> implementation.</w:t>
      </w:r>
      <w:r w:rsidR="00116B11">
        <w:t xml:space="preserve"> </w:t>
      </w:r>
      <w:r w:rsidR="00650097">
        <w:t xml:space="preserve">As there has been evidence of the uptake of </w:t>
      </w:r>
      <w:r w:rsidR="00A458DB">
        <w:t xml:space="preserve">the INFF methodology, this </w:t>
      </w:r>
      <w:r w:rsidR="005B4B7B">
        <w:t xml:space="preserve">further </w:t>
      </w:r>
      <w:r w:rsidR="00A458DB">
        <w:t xml:space="preserve">translates as a contribution by the </w:t>
      </w:r>
      <w:r w:rsidR="003A4F5D">
        <w:t xml:space="preserve">INFF project towards </w:t>
      </w:r>
      <w:r w:rsidR="0083116E">
        <w:t xml:space="preserve">results </w:t>
      </w:r>
      <w:r w:rsidR="00324244" w:rsidRPr="00324244">
        <w:rPr>
          <w:b/>
          <w:bCs/>
        </w:rPr>
        <w:t>sustainability</w:t>
      </w:r>
      <w:r w:rsidR="00324244" w:rsidRPr="003A4F5D">
        <w:t>.</w:t>
      </w:r>
    </w:p>
    <w:p w14:paraId="5E252CA8" w14:textId="77777777" w:rsidR="00D07CC3" w:rsidRPr="00B3125E" w:rsidRDefault="00D07CC3" w:rsidP="00D07CC3">
      <w:pPr>
        <w:pStyle w:val="FrontMatterH3"/>
        <w:spacing w:before="120" w:line="259" w:lineRule="auto"/>
        <w:jc w:val="both"/>
        <w:rPr>
          <w:color w:val="auto"/>
          <w:sz w:val="20"/>
          <w:szCs w:val="20"/>
        </w:rPr>
      </w:pPr>
      <w:r>
        <w:rPr>
          <w:color w:val="auto"/>
          <w:sz w:val="20"/>
          <w:szCs w:val="20"/>
        </w:rPr>
        <w:t>The Next Steps for INFF implementation</w:t>
      </w:r>
      <w:r w:rsidRPr="00B3125E">
        <w:rPr>
          <w:color w:val="auto"/>
          <w:sz w:val="20"/>
          <w:szCs w:val="20"/>
        </w:rPr>
        <w:t>:</w:t>
      </w:r>
    </w:p>
    <w:p w14:paraId="2F367A82" w14:textId="611BA409" w:rsidR="004B442B" w:rsidRDefault="003A0E89" w:rsidP="00D07CC3">
      <w:pPr>
        <w:pStyle w:val="ListNumber"/>
        <w:numPr>
          <w:ilvl w:val="0"/>
          <w:numId w:val="0"/>
        </w:numPr>
      </w:pPr>
      <w:r>
        <w:t xml:space="preserve">The 2025 Egypt VNR, </w:t>
      </w:r>
      <w:r w:rsidR="00943BF8">
        <w:t xml:space="preserve">in </w:t>
      </w:r>
      <w:r>
        <w:t>combin</w:t>
      </w:r>
      <w:r w:rsidR="00943BF8">
        <w:t xml:space="preserve">ation </w:t>
      </w:r>
      <w:r>
        <w:t>with E-INFS (2024)</w:t>
      </w:r>
      <w:r w:rsidR="00943BF8">
        <w:t>, has</w:t>
      </w:r>
      <w:r w:rsidR="00FF76C3">
        <w:t xml:space="preserve"> outline</w:t>
      </w:r>
      <w:r w:rsidR="00943BF8">
        <w:t>d</w:t>
      </w:r>
      <w:r w:rsidR="00FF76C3">
        <w:t xml:space="preserve"> the commitment of the Government of Egypt to sustainable national development</w:t>
      </w:r>
      <w:r w:rsidR="00943BF8">
        <w:t>. Further</w:t>
      </w:r>
      <w:r w:rsidR="008F5794">
        <w:t>,</w:t>
      </w:r>
      <w:r w:rsidR="00943BF8">
        <w:t xml:space="preserve"> </w:t>
      </w:r>
      <w:r w:rsidR="00AB4B97">
        <w:t xml:space="preserve">the government has acknowledged that there is a need to address existing </w:t>
      </w:r>
      <w:r w:rsidR="00B016E6">
        <w:t>gaps in development financi</w:t>
      </w:r>
      <w:r w:rsidR="005B4B7B">
        <w:t>ng</w:t>
      </w:r>
      <w:r w:rsidR="00B016E6">
        <w:t xml:space="preserve"> to facilitate and accelerate national contributions towards the SDGs. </w:t>
      </w:r>
      <w:r w:rsidR="00715303">
        <w:t xml:space="preserve">To </w:t>
      </w:r>
      <w:r w:rsidR="005B4B7B">
        <w:t xml:space="preserve">support </w:t>
      </w:r>
      <w:r w:rsidR="00715303">
        <w:t xml:space="preserve">this process, the government has further confirmed that an INFF will be developed to </w:t>
      </w:r>
      <w:r w:rsidR="005B4B7B">
        <w:t xml:space="preserve">inform </w:t>
      </w:r>
      <w:r w:rsidR="00715303">
        <w:t xml:space="preserve">the mobilisation </w:t>
      </w:r>
      <w:r w:rsidR="000B01ED">
        <w:t xml:space="preserve">of </w:t>
      </w:r>
      <w:r w:rsidR="009F7E8F">
        <w:t xml:space="preserve">sustainable </w:t>
      </w:r>
      <w:r w:rsidR="000B01ED">
        <w:t xml:space="preserve">development financing </w:t>
      </w:r>
      <w:r w:rsidR="004B442B">
        <w:t xml:space="preserve">from multiple sources, using </w:t>
      </w:r>
      <w:r w:rsidR="000B01ED">
        <w:t xml:space="preserve">innovative </w:t>
      </w:r>
      <w:r w:rsidR="009F7E8F">
        <w:t>approaches</w:t>
      </w:r>
      <w:r w:rsidR="00BB62CE">
        <w:t>.</w:t>
      </w:r>
      <w:r w:rsidR="00DE5537">
        <w:t xml:space="preserve"> There has </w:t>
      </w:r>
      <w:r w:rsidR="009322D4">
        <w:t xml:space="preserve">also been a recognition by the government that INFF development needs to be responsive to </w:t>
      </w:r>
      <w:r w:rsidR="001F2A8E">
        <w:t>changes in the national development financing climate.</w:t>
      </w:r>
    </w:p>
    <w:p w14:paraId="127206C8" w14:textId="77777777" w:rsidR="004B442B" w:rsidRDefault="004B442B" w:rsidP="00D07CC3">
      <w:pPr>
        <w:pStyle w:val="ListNumber"/>
        <w:numPr>
          <w:ilvl w:val="0"/>
          <w:numId w:val="0"/>
        </w:numPr>
      </w:pPr>
    </w:p>
    <w:p w14:paraId="6B5B7589" w14:textId="77777777" w:rsidR="00D07CC3" w:rsidRDefault="00D07CC3" w:rsidP="00D07CC3">
      <w:pPr>
        <w:pStyle w:val="ListNumber"/>
        <w:numPr>
          <w:ilvl w:val="0"/>
          <w:numId w:val="0"/>
        </w:numPr>
        <w:ind w:left="340" w:hanging="340"/>
        <w:jc w:val="left"/>
      </w:pPr>
    </w:p>
    <w:p w14:paraId="2EB903A7" w14:textId="77777777" w:rsidR="00D07CC3" w:rsidRDefault="00D07CC3" w:rsidP="00D07CC3">
      <w:pPr>
        <w:pStyle w:val="ListNumber"/>
        <w:numPr>
          <w:ilvl w:val="0"/>
          <w:numId w:val="0"/>
        </w:numPr>
        <w:jc w:val="left"/>
      </w:pPr>
    </w:p>
    <w:p w14:paraId="0ACDF351" w14:textId="77777777" w:rsidR="00D07CC3" w:rsidRDefault="00D07CC3" w:rsidP="00D07CC3">
      <w:pPr>
        <w:sectPr w:rsidR="00D07CC3" w:rsidSect="00D07CC3">
          <w:type w:val="continuous"/>
          <w:pgSz w:w="12240" w:h="15840" w:code="1"/>
          <w:pgMar w:top="1276" w:right="1276" w:bottom="1588" w:left="1276" w:header="720" w:footer="720" w:gutter="0"/>
          <w:cols w:num="2" w:space="720"/>
          <w:docGrid w:linePitch="360"/>
        </w:sectPr>
      </w:pPr>
    </w:p>
    <w:p w14:paraId="19FC0F25" w14:textId="77777777" w:rsidR="00D07CC3" w:rsidRDefault="00D07CC3" w:rsidP="00D07CC3">
      <w:r>
        <w:br w:type="page"/>
      </w:r>
    </w:p>
    <w:p w14:paraId="2D0E1B5E" w14:textId="11251850" w:rsidR="006A2043" w:rsidRPr="00296604" w:rsidRDefault="006A2043" w:rsidP="006A2043">
      <w:pPr>
        <w:pStyle w:val="FrontMatterH2"/>
      </w:pPr>
      <w:r>
        <w:lastRenderedPageBreak/>
        <w:t>Case Study 3: Kyrgyzstan</w:t>
      </w:r>
      <w:r w:rsidR="009C1D20">
        <w:t>/ Kyrgyz Republic</w:t>
      </w:r>
      <w:r w:rsidRPr="00296604">
        <w:t xml:space="preserve"> </w:t>
      </w:r>
    </w:p>
    <w:p w14:paraId="1BA3C57B" w14:textId="77777777" w:rsidR="006A2043" w:rsidRDefault="006A2043" w:rsidP="006A2043">
      <w:pPr>
        <w:pStyle w:val="FrontMatterH3"/>
        <w:spacing w:before="120" w:line="259" w:lineRule="auto"/>
        <w:jc w:val="both"/>
        <w:rPr>
          <w:color w:val="auto"/>
          <w:sz w:val="20"/>
          <w:szCs w:val="20"/>
        </w:rPr>
        <w:sectPr w:rsidR="006A2043" w:rsidSect="006A2043">
          <w:type w:val="continuous"/>
          <w:pgSz w:w="12240" w:h="15840" w:code="1"/>
          <w:pgMar w:top="1276" w:right="1276" w:bottom="1588" w:left="1276" w:header="720" w:footer="720" w:gutter="0"/>
          <w:cols w:space="720"/>
          <w:docGrid w:linePitch="360"/>
        </w:sectPr>
      </w:pPr>
    </w:p>
    <w:p w14:paraId="2AE6C617" w14:textId="5A2454D7" w:rsidR="006A2043" w:rsidRPr="00B3125E" w:rsidRDefault="004905C9" w:rsidP="006A2043">
      <w:pPr>
        <w:pStyle w:val="FrontMatterH3"/>
        <w:spacing w:before="120" w:line="259" w:lineRule="auto"/>
        <w:jc w:val="both"/>
        <w:rPr>
          <w:color w:val="auto"/>
          <w:sz w:val="20"/>
          <w:szCs w:val="20"/>
        </w:rPr>
      </w:pPr>
      <w:r>
        <w:rPr>
          <w:color w:val="auto"/>
          <w:sz w:val="20"/>
          <w:szCs w:val="20"/>
        </w:rPr>
        <w:t xml:space="preserve">Country Overview </w:t>
      </w:r>
    </w:p>
    <w:p w14:paraId="724A1FAB" w14:textId="77777777" w:rsidR="006A2043" w:rsidRDefault="006A2043" w:rsidP="006A2043">
      <w:pPr>
        <w:pStyle w:val="ListNumber"/>
        <w:numPr>
          <w:ilvl w:val="0"/>
          <w:numId w:val="0"/>
        </w:numPr>
        <w:jc w:val="left"/>
        <w:sectPr w:rsidR="006A2043" w:rsidSect="006A2043">
          <w:type w:val="continuous"/>
          <w:pgSz w:w="12240" w:h="15840" w:code="1"/>
          <w:pgMar w:top="1276" w:right="1276" w:bottom="1588" w:left="1276" w:header="720" w:footer="720" w:gutter="0"/>
          <w:cols w:num="2" w:space="720"/>
          <w:docGrid w:linePitch="360"/>
        </w:sectPr>
      </w:pPr>
    </w:p>
    <w:p w14:paraId="2F1E65BF" w14:textId="1924E0C4" w:rsidR="004709CF" w:rsidRDefault="0015424D" w:rsidP="006A2043">
      <w:pPr>
        <w:pStyle w:val="ListNumber"/>
        <w:numPr>
          <w:ilvl w:val="0"/>
          <w:numId w:val="0"/>
        </w:numPr>
      </w:pPr>
      <w:r>
        <w:t xml:space="preserve">Kyrgyzstan is </w:t>
      </w:r>
      <w:r w:rsidR="008E0E61">
        <w:t>a</w:t>
      </w:r>
      <w:r w:rsidR="00100B06">
        <w:t xml:space="preserve"> l</w:t>
      </w:r>
      <w:r w:rsidR="008E0E61">
        <w:t xml:space="preserve">ower-middle-income country </w:t>
      </w:r>
      <w:r w:rsidR="005D7A99">
        <w:t xml:space="preserve">that is located in </w:t>
      </w:r>
      <w:r w:rsidR="008E0E61">
        <w:t>Central Asia</w:t>
      </w:r>
      <w:r w:rsidR="005D7A99">
        <w:t>/ Eastern Europe</w:t>
      </w:r>
      <w:r w:rsidR="008E0E61">
        <w:t>.</w:t>
      </w:r>
      <w:r w:rsidR="00E26B78" w:rsidRPr="00E26B78">
        <w:rPr>
          <w:rStyle w:val="FootnoteReference"/>
        </w:rPr>
        <w:t xml:space="preserve"> </w:t>
      </w:r>
      <w:r w:rsidR="00E26B78">
        <w:rPr>
          <w:rStyle w:val="FootnoteReference"/>
        </w:rPr>
        <w:footnoteReference w:id="275"/>
      </w:r>
      <w:r w:rsidR="008E0E61">
        <w:t xml:space="preserve"> </w:t>
      </w:r>
      <w:r w:rsidR="008224D0">
        <w:t>As a result of its mounta</w:t>
      </w:r>
      <w:r w:rsidR="001977D0">
        <w:t>i</w:t>
      </w:r>
      <w:r w:rsidR="008224D0">
        <w:t xml:space="preserve">nous </w:t>
      </w:r>
      <w:r w:rsidR="00E62C15">
        <w:t>t</w:t>
      </w:r>
      <w:r w:rsidR="005E0DCB">
        <w:t>errain</w:t>
      </w:r>
      <w:r w:rsidR="009C1D20">
        <w:t xml:space="preserve">, </w:t>
      </w:r>
      <w:r w:rsidR="00754B11">
        <w:t>Kyrgyzstan is vulnerable to the effects of climate change</w:t>
      </w:r>
      <w:r w:rsidR="00E26B78">
        <w:t>; natural disasters;</w:t>
      </w:r>
      <w:r w:rsidR="00754B11">
        <w:t xml:space="preserve"> and environmental degradation.</w:t>
      </w:r>
      <w:r w:rsidR="00D43072">
        <w:rPr>
          <w:rStyle w:val="FootnoteReference"/>
        </w:rPr>
        <w:footnoteReference w:id="276"/>
      </w:r>
      <w:r w:rsidR="00E26B78">
        <w:t xml:space="preserve"> </w:t>
      </w:r>
      <w:r w:rsidR="00EA7789">
        <w:t xml:space="preserve">In </w:t>
      </w:r>
      <w:r w:rsidR="00C14B52">
        <w:t>address</w:t>
      </w:r>
      <w:r w:rsidR="008073A6">
        <w:t xml:space="preserve">ing </w:t>
      </w:r>
      <w:r w:rsidR="00D26C3C">
        <w:t xml:space="preserve">the </w:t>
      </w:r>
      <w:r w:rsidR="008073A6">
        <w:t xml:space="preserve">identified need for </w:t>
      </w:r>
      <w:r w:rsidR="00EA7789">
        <w:t>environmental sustainability</w:t>
      </w:r>
      <w:r w:rsidR="008073A6">
        <w:t xml:space="preserve"> and </w:t>
      </w:r>
      <w:r w:rsidR="0054545C">
        <w:t xml:space="preserve">ecosystem </w:t>
      </w:r>
      <w:r w:rsidR="008073A6">
        <w:t>protection</w:t>
      </w:r>
      <w:r w:rsidR="00BB658C">
        <w:t xml:space="preserve">, </w:t>
      </w:r>
      <w:r w:rsidR="008073A6">
        <w:t xml:space="preserve">the Government of Kyrgyzstan has prioritised the creation of environments that are </w:t>
      </w:r>
      <w:r w:rsidR="00F40F6B">
        <w:t xml:space="preserve">conducive </w:t>
      </w:r>
      <w:r w:rsidR="008073A6">
        <w:t xml:space="preserve">for </w:t>
      </w:r>
      <w:r w:rsidR="00F40F6B">
        <w:t>the maintenance of human well-being</w:t>
      </w:r>
      <w:r w:rsidR="00763017">
        <w:t>.</w:t>
      </w:r>
      <w:r w:rsidR="00D42CBF">
        <w:rPr>
          <w:rStyle w:val="FootnoteReference"/>
        </w:rPr>
        <w:footnoteReference w:id="277"/>
      </w:r>
      <w:r w:rsidR="00763017">
        <w:t xml:space="preserve"> </w:t>
      </w:r>
      <w:r w:rsidR="003239D6">
        <w:t xml:space="preserve">In line with this objective, </w:t>
      </w:r>
      <w:r w:rsidR="004709CF">
        <w:t>s</w:t>
      </w:r>
      <w:r w:rsidR="004709CF" w:rsidRPr="00300F0B">
        <w:t>trategic national</w:t>
      </w:r>
      <w:r w:rsidR="004709CF">
        <w:t xml:space="preserve"> planning has </w:t>
      </w:r>
      <w:r w:rsidR="003239D6">
        <w:t>also</w:t>
      </w:r>
      <w:r w:rsidR="004709CF">
        <w:t xml:space="preserve"> focused on creating an inclusive and sustainable society that safeguards the rights; needs; and potential of vulnerable and marginalised groups.</w:t>
      </w:r>
      <w:r w:rsidR="004709CF">
        <w:rPr>
          <w:rStyle w:val="FootnoteReference"/>
        </w:rPr>
        <w:footnoteReference w:id="278"/>
      </w:r>
    </w:p>
    <w:p w14:paraId="484EFAE4" w14:textId="4CBA24C7" w:rsidR="008073A6" w:rsidRDefault="00763017" w:rsidP="00615EEE">
      <w:pPr>
        <w:pStyle w:val="ListNumber"/>
        <w:numPr>
          <w:ilvl w:val="0"/>
          <w:numId w:val="0"/>
        </w:numPr>
      </w:pPr>
      <w:r>
        <w:t xml:space="preserve">To operationalise </w:t>
      </w:r>
      <w:r w:rsidR="00A947DC">
        <w:t xml:space="preserve">the national goals for sustainable development, </w:t>
      </w:r>
      <w:r w:rsidR="00727118">
        <w:t xml:space="preserve">the </w:t>
      </w:r>
      <w:hyperlink r:id="rId193" w:history="1">
        <w:r w:rsidR="00727118" w:rsidRPr="00020119">
          <w:rPr>
            <w:rStyle w:val="Hyperlink"/>
          </w:rPr>
          <w:t xml:space="preserve">National </w:t>
        </w:r>
        <w:r w:rsidR="00020119" w:rsidRPr="00020119">
          <w:rPr>
            <w:rStyle w:val="Hyperlink"/>
          </w:rPr>
          <w:t>Development Strategy for the Kyrgyz Republic</w:t>
        </w:r>
        <w:r w:rsidR="00727118" w:rsidRPr="00020119">
          <w:rPr>
            <w:rStyle w:val="Hyperlink"/>
          </w:rPr>
          <w:t>, 2018-2040</w:t>
        </w:r>
      </w:hyperlink>
      <w:r w:rsidR="00E37736">
        <w:t xml:space="preserve"> (NDS 2018-2040)</w:t>
      </w:r>
      <w:r w:rsidR="004917CD">
        <w:t xml:space="preserve">; </w:t>
      </w:r>
      <w:r w:rsidR="00727118">
        <w:t>and the</w:t>
      </w:r>
      <w:r w:rsidR="00A77B9C">
        <w:t xml:space="preserve"> new </w:t>
      </w:r>
      <w:hyperlink r:id="rId194" w:history="1">
        <w:r w:rsidR="00A77B9C" w:rsidRPr="00732F7C">
          <w:rPr>
            <w:rStyle w:val="Hyperlink"/>
          </w:rPr>
          <w:t>National Development Programme to 2030</w:t>
        </w:r>
      </w:hyperlink>
      <w:r w:rsidR="00727118">
        <w:t xml:space="preserve"> </w:t>
      </w:r>
      <w:r w:rsidR="00E37736">
        <w:t>(NDP 20</w:t>
      </w:r>
      <w:r w:rsidR="00A77B9C">
        <w:t>3</w:t>
      </w:r>
      <w:r w:rsidR="00925064">
        <w:t>0</w:t>
      </w:r>
      <w:r w:rsidR="00E37736">
        <w:t xml:space="preserve">) </w:t>
      </w:r>
      <w:r w:rsidR="00925064">
        <w:t>have been b</w:t>
      </w:r>
      <w:r w:rsidR="002C36D2">
        <w:t xml:space="preserve">uilt on the </w:t>
      </w:r>
      <w:hyperlink r:id="rId195" w:history="1">
        <w:r w:rsidR="002C36D2" w:rsidRPr="00FC0CB2">
          <w:rPr>
            <w:rStyle w:val="Hyperlink"/>
          </w:rPr>
          <w:t xml:space="preserve">Leave No One Behind </w:t>
        </w:r>
        <w:r w:rsidR="00D43072" w:rsidRPr="00FC0CB2">
          <w:rPr>
            <w:rStyle w:val="Hyperlink"/>
          </w:rPr>
          <w:t xml:space="preserve">(LNOB) </w:t>
        </w:r>
        <w:r w:rsidR="00925064" w:rsidRPr="00FC0CB2">
          <w:rPr>
            <w:rStyle w:val="Hyperlink"/>
          </w:rPr>
          <w:t>p</w:t>
        </w:r>
        <w:r w:rsidR="00D43072" w:rsidRPr="00FC0CB2">
          <w:rPr>
            <w:rStyle w:val="Hyperlink"/>
          </w:rPr>
          <w:t>rinciple</w:t>
        </w:r>
      </w:hyperlink>
      <w:r w:rsidR="00D43072">
        <w:t xml:space="preserve"> of the </w:t>
      </w:r>
      <w:hyperlink r:id="rId196" w:history="1">
        <w:r w:rsidR="00D43072" w:rsidRPr="00E0379B">
          <w:rPr>
            <w:rStyle w:val="Hyperlink"/>
          </w:rPr>
          <w:t>2030 Agenda for Sustainable Development</w:t>
        </w:r>
      </w:hyperlink>
      <w:r w:rsidR="00D43072">
        <w:t xml:space="preserve">. </w:t>
      </w:r>
      <w:r w:rsidR="00773D58">
        <w:t xml:space="preserve">The </w:t>
      </w:r>
      <w:r w:rsidR="00E50EBB">
        <w:t xml:space="preserve">Sustainable Development Goals (SDGs) have </w:t>
      </w:r>
      <w:r w:rsidR="00370BBF">
        <w:t xml:space="preserve">also </w:t>
      </w:r>
      <w:r w:rsidR="00E50EBB">
        <w:t xml:space="preserve">been integrated into </w:t>
      </w:r>
      <w:r w:rsidR="00761F1B">
        <w:t xml:space="preserve">each strategic document, as well as </w:t>
      </w:r>
      <w:r w:rsidR="00615EEE">
        <w:t xml:space="preserve">strategies that have been established at the </w:t>
      </w:r>
      <w:r w:rsidR="00761F1B">
        <w:t xml:space="preserve">sector-specific </w:t>
      </w:r>
      <w:r w:rsidR="00615EEE">
        <w:t>level.</w:t>
      </w:r>
      <w:r w:rsidR="00761F1B">
        <w:t xml:space="preserve"> </w:t>
      </w:r>
    </w:p>
    <w:p w14:paraId="4702BAD6" w14:textId="71D4C609" w:rsidR="006A2043" w:rsidRPr="00B3125E" w:rsidRDefault="006A2043" w:rsidP="006A2043">
      <w:pPr>
        <w:pStyle w:val="FrontMatterH3"/>
        <w:spacing w:before="120" w:line="259" w:lineRule="auto"/>
        <w:jc w:val="both"/>
        <w:rPr>
          <w:color w:val="auto"/>
          <w:sz w:val="20"/>
          <w:szCs w:val="20"/>
        </w:rPr>
      </w:pPr>
      <w:r>
        <w:rPr>
          <w:color w:val="auto"/>
          <w:sz w:val="20"/>
          <w:szCs w:val="20"/>
        </w:rPr>
        <w:t>Developm</w:t>
      </w:r>
      <w:r w:rsidR="00C72A26">
        <w:rPr>
          <w:color w:val="auto"/>
          <w:sz w:val="20"/>
          <w:szCs w:val="20"/>
        </w:rPr>
        <w:t>e</w:t>
      </w:r>
      <w:r>
        <w:rPr>
          <w:color w:val="auto"/>
          <w:sz w:val="20"/>
          <w:szCs w:val="20"/>
        </w:rPr>
        <w:t xml:space="preserve">nt Financing in </w:t>
      </w:r>
      <w:r w:rsidR="00090A27">
        <w:rPr>
          <w:color w:val="auto"/>
          <w:sz w:val="20"/>
          <w:szCs w:val="20"/>
        </w:rPr>
        <w:t>Kyrgyzstan</w:t>
      </w:r>
    </w:p>
    <w:p w14:paraId="191A038E" w14:textId="01E77931" w:rsidR="00576F42" w:rsidRDefault="006A2043" w:rsidP="006A2043">
      <w:pPr>
        <w:pStyle w:val="ListNumber"/>
        <w:numPr>
          <w:ilvl w:val="0"/>
          <w:numId w:val="0"/>
        </w:numPr>
      </w:pPr>
      <w:r>
        <w:t>The</w:t>
      </w:r>
      <w:r w:rsidR="00A96282">
        <w:t xml:space="preserve"> </w:t>
      </w:r>
      <w:hyperlink r:id="rId197" w:history="1">
        <w:r w:rsidR="00A96282" w:rsidRPr="00D271BA">
          <w:rPr>
            <w:rStyle w:val="Hyperlink"/>
          </w:rPr>
          <w:t>2025 Kyrgyzstan Voluntary National Review</w:t>
        </w:r>
      </w:hyperlink>
      <w:r w:rsidR="00A96282">
        <w:t xml:space="preserve"> (VNR)</w:t>
      </w:r>
      <w:r w:rsidR="00B2512B">
        <w:t xml:space="preserve"> </w:t>
      </w:r>
      <w:r w:rsidR="00597711">
        <w:t xml:space="preserve">has confirmed that </w:t>
      </w:r>
      <w:r w:rsidR="00AC47A7">
        <w:t xml:space="preserve">sustainable development will be mainstreamed across budget planning; regional development </w:t>
      </w:r>
      <w:r w:rsidR="00AE1675">
        <w:t>policy; and international cooperation.</w:t>
      </w:r>
      <w:r w:rsidR="00A615A0">
        <w:t xml:space="preserve"> </w:t>
      </w:r>
      <w:r w:rsidR="005D5640">
        <w:t xml:space="preserve">In support of </w:t>
      </w:r>
      <w:r w:rsidR="00A615A0">
        <w:t>this process, the Government of Kyrgyzstan</w:t>
      </w:r>
      <w:r w:rsidR="00640F27">
        <w:t xml:space="preserve"> will </w:t>
      </w:r>
      <w:r w:rsidR="0019792D">
        <w:t>continue to place citizens first</w:t>
      </w:r>
      <w:r w:rsidR="00C36D66">
        <w:t xml:space="preserve"> by investing in </w:t>
      </w:r>
      <w:r w:rsidR="0019792D">
        <w:t>social protection</w:t>
      </w:r>
      <w:r w:rsidR="00C36D66">
        <w:t xml:space="preserve"> and the reduction of disparities between </w:t>
      </w:r>
      <w:r w:rsidR="00E80D42">
        <w:t xml:space="preserve">social groups. </w:t>
      </w:r>
      <w:r w:rsidR="00A77FE3">
        <w:t xml:space="preserve">The 2024 VNR has </w:t>
      </w:r>
      <w:r w:rsidR="005D7A99">
        <w:t xml:space="preserve">highlighted the </w:t>
      </w:r>
      <w:r w:rsidR="001F691E">
        <w:t xml:space="preserve">acknowledgement </w:t>
      </w:r>
      <w:r w:rsidR="000D5A59">
        <w:t>by the government</w:t>
      </w:r>
      <w:r w:rsidR="00653EB7">
        <w:t xml:space="preserve"> </w:t>
      </w:r>
      <w:r w:rsidR="00FB6974">
        <w:t xml:space="preserve">of the need for additional investments </w:t>
      </w:r>
      <w:r w:rsidR="00653EB7">
        <w:t>in</w:t>
      </w:r>
      <w:r w:rsidR="0044042E">
        <w:t xml:space="preserve"> </w:t>
      </w:r>
      <w:r w:rsidR="00653EB7">
        <w:t xml:space="preserve">poverty </w:t>
      </w:r>
      <w:r w:rsidR="0044042E">
        <w:t>reduction</w:t>
      </w:r>
      <w:r w:rsidR="00220A1B">
        <w:t xml:space="preserve">, including </w:t>
      </w:r>
      <w:r w:rsidR="00653EB7">
        <w:t>skills development</w:t>
      </w:r>
      <w:r w:rsidR="00220A1B">
        <w:t xml:space="preserve"> and entrepreneurship</w:t>
      </w:r>
      <w:r w:rsidR="00CD29B3">
        <w:t xml:space="preserve">; </w:t>
      </w:r>
      <w:r w:rsidR="00640A09">
        <w:t xml:space="preserve">decent work; </w:t>
      </w:r>
      <w:r w:rsidR="00CD29B3">
        <w:t>efficien</w:t>
      </w:r>
      <w:r w:rsidR="009B7591">
        <w:t>t</w:t>
      </w:r>
      <w:r w:rsidR="00CD29B3">
        <w:t xml:space="preserve"> social services delivery</w:t>
      </w:r>
      <w:r w:rsidR="00640A09">
        <w:t xml:space="preserve">; </w:t>
      </w:r>
      <w:r w:rsidR="00F333B5">
        <w:t xml:space="preserve">access to financial services; </w:t>
      </w:r>
      <w:r w:rsidR="00640A09">
        <w:t xml:space="preserve">etc. </w:t>
      </w:r>
    </w:p>
    <w:p w14:paraId="3AA93519" w14:textId="795D3B0F" w:rsidR="00950F5C" w:rsidRDefault="00AF7412" w:rsidP="006A2043">
      <w:pPr>
        <w:pStyle w:val="ListNumber"/>
        <w:numPr>
          <w:ilvl w:val="0"/>
          <w:numId w:val="0"/>
        </w:numPr>
      </w:pPr>
      <w:r>
        <w:t xml:space="preserve">The </w:t>
      </w:r>
      <w:r w:rsidR="003D6871">
        <w:t>Government of Kyrgyzstan has</w:t>
      </w:r>
      <w:r w:rsidR="005D7A99">
        <w:t>, therefore,</w:t>
      </w:r>
      <w:r w:rsidR="003D6871">
        <w:t xml:space="preserve"> taken steps to </w:t>
      </w:r>
      <w:r w:rsidR="00EE5F63">
        <w:t xml:space="preserve">identify </w:t>
      </w:r>
      <w:r>
        <w:t>potential</w:t>
      </w:r>
      <w:r w:rsidR="00EE5F63">
        <w:t xml:space="preserve"> sources of ‘stable and predictable financial flows’ to f</w:t>
      </w:r>
      <w:r w:rsidR="003B5A73">
        <w:t xml:space="preserve">inance national contributions towards the </w:t>
      </w:r>
      <w:r w:rsidR="00EE5F63">
        <w:t>SDG</w:t>
      </w:r>
      <w:r w:rsidR="003B5A73">
        <w:t>s</w:t>
      </w:r>
      <w:r w:rsidR="00A65931">
        <w:t xml:space="preserve">. </w:t>
      </w:r>
      <w:r w:rsidR="00224F6F">
        <w:t>A</w:t>
      </w:r>
      <w:r w:rsidR="00A65931">
        <w:t>nticipated sources of funding have included:</w:t>
      </w:r>
      <w:r w:rsidR="00FA7E7A">
        <w:t xml:space="preserve"> i) t</w:t>
      </w:r>
      <w:r w:rsidR="00A65931">
        <w:t>rade and investment;</w:t>
      </w:r>
      <w:r w:rsidR="00FA7E7A">
        <w:t xml:space="preserve"> </w:t>
      </w:r>
      <w:r w:rsidR="00791AFA">
        <w:t xml:space="preserve">ii) </w:t>
      </w:r>
      <w:r w:rsidR="00FA7E7A">
        <w:t>t</w:t>
      </w:r>
      <w:r w:rsidR="00A65931">
        <w:t>axa</w:t>
      </w:r>
      <w:r w:rsidR="00FA7E7A">
        <w:t>tion;</w:t>
      </w:r>
      <w:r w:rsidR="00791AFA">
        <w:t xml:space="preserve"> and iii) climate finance.</w:t>
      </w:r>
      <w:r w:rsidR="00224F6F">
        <w:rPr>
          <w:rStyle w:val="FootnoteReference"/>
        </w:rPr>
        <w:footnoteReference w:id="279"/>
      </w:r>
      <w:r w:rsidR="00224F6F">
        <w:t xml:space="preserve"> In NDP 2030, </w:t>
      </w:r>
      <w:r w:rsidR="00F01123">
        <w:t xml:space="preserve">the government has also highlighted the need </w:t>
      </w:r>
      <w:r w:rsidR="005D7A99">
        <w:t xml:space="preserve">for </w:t>
      </w:r>
      <w:r w:rsidR="00F01123">
        <w:t>national develo</w:t>
      </w:r>
      <w:r w:rsidR="00C16937">
        <w:t>pment that is generated by c</w:t>
      </w:r>
      <w:r w:rsidR="00F01123">
        <w:t>oordinated actions across sector</w:t>
      </w:r>
      <w:r w:rsidR="00C16937">
        <w:t xml:space="preserve">s. </w:t>
      </w:r>
      <w:r w:rsidR="005D7A99">
        <w:t>Th</w:t>
      </w:r>
      <w:r w:rsidR="006E48C9">
        <w:t xml:space="preserve">ere has been greater </w:t>
      </w:r>
      <w:r w:rsidR="0064484B">
        <w:t xml:space="preserve">detail, however, </w:t>
      </w:r>
      <w:r w:rsidR="006E48C9">
        <w:t xml:space="preserve">in the </w:t>
      </w:r>
      <w:r w:rsidR="00173A77">
        <w:t>establishment of a funding agenda for the environment</w:t>
      </w:r>
      <w:r w:rsidR="00771AE6">
        <w:t xml:space="preserve"> sector</w:t>
      </w:r>
      <w:r w:rsidR="00242C7C">
        <w:t xml:space="preserve">. </w:t>
      </w:r>
      <w:r w:rsidR="00FE3695">
        <w:t xml:space="preserve">At the level of </w:t>
      </w:r>
      <w:r w:rsidR="00950F5C">
        <w:t>environmental sustainability,</w:t>
      </w:r>
      <w:r w:rsidR="00F01A47">
        <w:t xml:space="preserve"> </w:t>
      </w:r>
      <w:r w:rsidR="00650D73">
        <w:t>the</w:t>
      </w:r>
      <w:r w:rsidR="004873A6">
        <w:t xml:space="preserve"> Government of Kyrgyzstan has committed to:</w:t>
      </w:r>
    </w:p>
    <w:p w14:paraId="38BE3F1F" w14:textId="237DD32D" w:rsidR="00140652" w:rsidRDefault="004873A6" w:rsidP="00DD2DDC">
      <w:pPr>
        <w:pStyle w:val="ListNumber"/>
        <w:numPr>
          <w:ilvl w:val="0"/>
          <w:numId w:val="112"/>
        </w:numPr>
      </w:pPr>
      <w:r>
        <w:t xml:space="preserve">Attract and </w:t>
      </w:r>
      <w:r w:rsidR="00140652">
        <w:t>coordinate climate finance</w:t>
      </w:r>
      <w:r w:rsidR="0008564C">
        <w:t>, including the expansion of access to climate finance</w:t>
      </w:r>
      <w:r w:rsidR="00140652">
        <w:t>;</w:t>
      </w:r>
      <w:r w:rsidR="00B81B0F">
        <w:t xml:space="preserve"> and</w:t>
      </w:r>
    </w:p>
    <w:p w14:paraId="022E1421" w14:textId="2D1B28A2" w:rsidR="004873A6" w:rsidRDefault="009500AD" w:rsidP="00DD2DDC">
      <w:pPr>
        <w:pStyle w:val="ListNumber"/>
        <w:numPr>
          <w:ilvl w:val="0"/>
          <w:numId w:val="112"/>
        </w:numPr>
      </w:pPr>
      <w:r>
        <w:t>Develop sustainable financing mechanisms for nature conservation</w:t>
      </w:r>
      <w:r w:rsidR="00B81B0F">
        <w:t>.</w:t>
      </w:r>
    </w:p>
    <w:p w14:paraId="1F7C28EA" w14:textId="6B84034C" w:rsidR="00650A04" w:rsidRDefault="00DB6E97" w:rsidP="006A2043">
      <w:pPr>
        <w:pStyle w:val="ListNumber"/>
        <w:numPr>
          <w:ilvl w:val="0"/>
          <w:numId w:val="0"/>
        </w:numPr>
      </w:pPr>
      <w:r>
        <w:t xml:space="preserve">In </w:t>
      </w:r>
      <w:r w:rsidR="00E75D2F">
        <w:t>2017, t</w:t>
      </w:r>
      <w:r w:rsidR="00855303">
        <w:t xml:space="preserve">he </w:t>
      </w:r>
      <w:hyperlink r:id="rId198" w:history="1">
        <w:r w:rsidR="001A72A1" w:rsidRPr="00981EDD">
          <w:rPr>
            <w:rStyle w:val="Hyperlink"/>
          </w:rPr>
          <w:t>Climate Finance Centre</w:t>
        </w:r>
      </w:hyperlink>
      <w:r w:rsidR="00E75D2F">
        <w:t xml:space="preserve"> </w:t>
      </w:r>
      <w:r w:rsidR="000C1B5F">
        <w:t xml:space="preserve">(CFC) </w:t>
      </w:r>
      <w:r w:rsidR="001A72A1">
        <w:t xml:space="preserve">of the Kyrgyz Republic </w:t>
      </w:r>
      <w:r w:rsidR="00E75D2F">
        <w:t>was</w:t>
      </w:r>
      <w:r w:rsidR="00D21D6E">
        <w:t xml:space="preserve"> established by </w:t>
      </w:r>
      <w:r w:rsidR="008E1DC8">
        <w:t>Government decree</w:t>
      </w:r>
      <w:r w:rsidR="00E75D2F">
        <w:t xml:space="preserve"> to support increased access to climate finance</w:t>
      </w:r>
      <w:r w:rsidR="008E1DC8">
        <w:t>.</w:t>
      </w:r>
      <w:r w:rsidR="00007E56">
        <w:rPr>
          <w:rStyle w:val="FootnoteReference"/>
        </w:rPr>
        <w:footnoteReference w:id="280"/>
      </w:r>
      <w:r w:rsidR="000C1B5F">
        <w:t xml:space="preserve"> The </w:t>
      </w:r>
      <w:r w:rsidR="004A79FC">
        <w:t xml:space="preserve">primary function </w:t>
      </w:r>
      <w:r w:rsidR="000C1B5F">
        <w:t xml:space="preserve">of the CFC is </w:t>
      </w:r>
      <w:r w:rsidR="007B1CC8">
        <w:t xml:space="preserve">to mobilise financial resources from the </w:t>
      </w:r>
      <w:hyperlink r:id="rId199" w:history="1">
        <w:r w:rsidR="007B1CC8" w:rsidRPr="00503D1A">
          <w:rPr>
            <w:rStyle w:val="Hyperlink"/>
          </w:rPr>
          <w:t>Green Climate Fund</w:t>
        </w:r>
      </w:hyperlink>
      <w:r w:rsidR="007B1CC8">
        <w:t xml:space="preserve"> </w:t>
      </w:r>
      <w:r w:rsidR="005650C4">
        <w:t>and other international development part</w:t>
      </w:r>
      <w:r w:rsidR="00F3787D">
        <w:t>ners</w:t>
      </w:r>
      <w:r w:rsidR="008B1E88">
        <w:t xml:space="preserve">; promote investment; and facilitate the implementation of </w:t>
      </w:r>
      <w:r w:rsidR="00591244">
        <w:t>climate programmes and projects.</w:t>
      </w:r>
      <w:r w:rsidR="00C656C1" w:rsidRPr="00C656C1">
        <w:rPr>
          <w:rStyle w:val="FootnoteReference"/>
        </w:rPr>
        <w:t xml:space="preserve"> </w:t>
      </w:r>
      <w:r w:rsidR="00C656C1">
        <w:rPr>
          <w:rStyle w:val="FootnoteReference"/>
        </w:rPr>
        <w:footnoteReference w:id="281"/>
      </w:r>
      <w:r w:rsidR="00C656C1">
        <w:t xml:space="preserve"> </w:t>
      </w:r>
      <w:r w:rsidR="00E8541E">
        <w:t xml:space="preserve">To fulfil </w:t>
      </w:r>
      <w:r w:rsidR="00275BB8">
        <w:t xml:space="preserve">these responsibilities, </w:t>
      </w:r>
      <w:r w:rsidR="001E3642">
        <w:t xml:space="preserve">CFC </w:t>
      </w:r>
      <w:r w:rsidR="00650A04">
        <w:t>has:</w:t>
      </w:r>
    </w:p>
    <w:p w14:paraId="46B1C2D2" w14:textId="50656E77" w:rsidR="00650A04" w:rsidRDefault="00650A04" w:rsidP="00DD2DDC">
      <w:pPr>
        <w:pStyle w:val="ListNumber"/>
        <w:numPr>
          <w:ilvl w:val="0"/>
          <w:numId w:val="120"/>
        </w:numPr>
      </w:pPr>
      <w:r>
        <w:t>U</w:t>
      </w:r>
      <w:r w:rsidR="001E3642">
        <w:t xml:space="preserve">pdated its Climate Investment Programme to </w:t>
      </w:r>
      <w:r w:rsidR="00A1177C">
        <w:t>establish</w:t>
      </w:r>
      <w:r w:rsidR="00A75E3D">
        <w:t xml:space="preserve"> the priority areas for policy</w:t>
      </w:r>
      <w:r w:rsidR="009955EC">
        <w:t xml:space="preserve"> implementation</w:t>
      </w:r>
      <w:r w:rsidR="00F96DCA">
        <w:t xml:space="preserve">; </w:t>
      </w:r>
    </w:p>
    <w:p w14:paraId="5E693596" w14:textId="2F43632B" w:rsidR="00F01A47" w:rsidRDefault="00650A04" w:rsidP="00DD2DDC">
      <w:pPr>
        <w:pStyle w:val="ListNumber"/>
        <w:numPr>
          <w:ilvl w:val="0"/>
          <w:numId w:val="120"/>
        </w:numPr>
      </w:pPr>
      <w:r>
        <w:t xml:space="preserve">Developed </w:t>
      </w:r>
      <w:r w:rsidR="00345ED7">
        <w:t xml:space="preserve">a </w:t>
      </w:r>
      <w:r w:rsidR="00283EC8">
        <w:t>c</w:t>
      </w:r>
      <w:r>
        <w:t xml:space="preserve">limate </w:t>
      </w:r>
      <w:r w:rsidR="00283EC8">
        <w:t>f</w:t>
      </w:r>
      <w:r>
        <w:t xml:space="preserve">inance </w:t>
      </w:r>
      <w:r w:rsidR="00283EC8">
        <w:t>c</w:t>
      </w:r>
      <w:r>
        <w:t>oncept</w:t>
      </w:r>
      <w:r w:rsidR="003453A7">
        <w:t xml:space="preserve"> </w:t>
      </w:r>
      <w:r w:rsidR="00E71A5C">
        <w:t>in alignment with national development priorities</w:t>
      </w:r>
      <w:r w:rsidR="00822DB6">
        <w:t xml:space="preserve"> </w:t>
      </w:r>
      <w:r w:rsidR="00D245CE">
        <w:t>to attract c</w:t>
      </w:r>
      <w:r w:rsidR="004E1AE5">
        <w:t>l</w:t>
      </w:r>
      <w:r w:rsidR="00D245CE">
        <w:t>imate finance</w:t>
      </w:r>
      <w:r w:rsidR="00E71A5C">
        <w:t xml:space="preserve">; </w:t>
      </w:r>
    </w:p>
    <w:p w14:paraId="261C4B52" w14:textId="51887A0B" w:rsidR="00E47355" w:rsidRDefault="00E71A5C" w:rsidP="00DD2DDC">
      <w:pPr>
        <w:pStyle w:val="ListNumber"/>
        <w:numPr>
          <w:ilvl w:val="0"/>
          <w:numId w:val="120"/>
        </w:numPr>
      </w:pPr>
      <w:r>
        <w:t xml:space="preserve">Established a roadmap </w:t>
      </w:r>
      <w:r w:rsidR="004752F6">
        <w:t>for the mobilisation of climate finance</w:t>
      </w:r>
      <w:r w:rsidR="00143C8E">
        <w:t>;</w:t>
      </w:r>
    </w:p>
    <w:p w14:paraId="21F1F823" w14:textId="77777777" w:rsidR="008673FB" w:rsidRDefault="00E47355" w:rsidP="00DD2DDC">
      <w:pPr>
        <w:pStyle w:val="ListNumber"/>
        <w:numPr>
          <w:ilvl w:val="0"/>
          <w:numId w:val="120"/>
        </w:numPr>
      </w:pPr>
      <w:r>
        <w:t xml:space="preserve">Commenced the development of </w:t>
      </w:r>
      <w:r w:rsidR="00512311">
        <w:t>its first biennial transparency report for</w:t>
      </w:r>
      <w:r w:rsidR="00977899">
        <w:t xml:space="preserve"> submission to the United Na</w:t>
      </w:r>
      <w:r w:rsidR="00253D6A">
        <w:t xml:space="preserve">tions Framework </w:t>
      </w:r>
      <w:r w:rsidR="00253D6A">
        <w:lastRenderedPageBreak/>
        <w:t>Convention on Climate Change (UNFCCC)</w:t>
      </w:r>
      <w:r w:rsidR="005C054D">
        <w:t xml:space="preserve"> to enhance access to climate finance</w:t>
      </w:r>
      <w:r w:rsidR="00414679">
        <w:t>; and</w:t>
      </w:r>
    </w:p>
    <w:p w14:paraId="7B20E23E" w14:textId="31E7BAB1" w:rsidR="00E71A5C" w:rsidRDefault="003B6C1F" w:rsidP="00DD2DDC">
      <w:pPr>
        <w:pStyle w:val="ListNumber"/>
        <w:numPr>
          <w:ilvl w:val="0"/>
          <w:numId w:val="120"/>
        </w:numPr>
      </w:pPr>
      <w:r>
        <w:t>Developed project concepts notes for submission to the Green Climate Fund.</w:t>
      </w:r>
      <w:r w:rsidR="004752F6">
        <w:rPr>
          <w:rStyle w:val="FootnoteReference"/>
        </w:rPr>
        <w:footnoteReference w:id="282"/>
      </w:r>
    </w:p>
    <w:p w14:paraId="2CE1ECB4" w14:textId="08205E77" w:rsidR="004752F6" w:rsidRDefault="00792366" w:rsidP="00B75B09">
      <w:pPr>
        <w:pStyle w:val="ListNumber"/>
        <w:numPr>
          <w:ilvl w:val="0"/>
          <w:numId w:val="0"/>
        </w:numPr>
      </w:pPr>
      <w:r>
        <w:t>Th</w:t>
      </w:r>
      <w:r w:rsidR="00D52BBE">
        <w:t>e government has</w:t>
      </w:r>
      <w:r w:rsidR="00E05C15">
        <w:t xml:space="preserve"> </w:t>
      </w:r>
      <w:r>
        <w:t xml:space="preserve">also </w:t>
      </w:r>
      <w:r w:rsidR="00B75B09">
        <w:t xml:space="preserve">committed to the </w:t>
      </w:r>
      <w:r w:rsidR="001E2920">
        <w:t xml:space="preserve">establishment of </w:t>
      </w:r>
      <w:r w:rsidR="00861067">
        <w:t xml:space="preserve">a </w:t>
      </w:r>
      <w:r w:rsidR="00CB52B9">
        <w:t>Multi-partner Trust Fund for Biodiversity, to support</w:t>
      </w:r>
      <w:r w:rsidR="00A34A0C">
        <w:t xml:space="preserve"> </w:t>
      </w:r>
      <w:r w:rsidR="00CB52B9">
        <w:t xml:space="preserve">nature </w:t>
      </w:r>
      <w:r w:rsidR="00A34A0C">
        <w:t xml:space="preserve">conservation. This activity </w:t>
      </w:r>
      <w:r w:rsidR="00011E3F">
        <w:t>will b</w:t>
      </w:r>
      <w:r w:rsidR="002C2183">
        <w:t>e</w:t>
      </w:r>
      <w:r w:rsidR="00011E3F">
        <w:t xml:space="preserve"> used to ensure </w:t>
      </w:r>
      <w:r w:rsidR="00606255">
        <w:t xml:space="preserve">that </w:t>
      </w:r>
      <w:r w:rsidR="00AF17C5">
        <w:t xml:space="preserve">the mobilisation of development financing </w:t>
      </w:r>
      <w:r w:rsidR="00606255">
        <w:t>is sufficient</w:t>
      </w:r>
      <w:r w:rsidR="00B84DDD">
        <w:t xml:space="preserve"> </w:t>
      </w:r>
      <w:r w:rsidR="00AF17C5">
        <w:t>for</w:t>
      </w:r>
      <w:r w:rsidR="00B84DDD">
        <w:t xml:space="preserve"> </w:t>
      </w:r>
      <w:r w:rsidR="00861067">
        <w:t>national environmental commitments.</w:t>
      </w:r>
      <w:r w:rsidR="00294BB0" w:rsidRPr="00294BB0">
        <w:rPr>
          <w:rStyle w:val="FootnoteReference"/>
        </w:rPr>
        <w:t xml:space="preserve"> </w:t>
      </w:r>
      <w:r w:rsidR="00294BB0">
        <w:rPr>
          <w:rStyle w:val="FootnoteReference"/>
        </w:rPr>
        <w:footnoteReference w:id="283"/>
      </w:r>
      <w:r w:rsidR="00861067">
        <w:t xml:space="preserve"> </w:t>
      </w:r>
    </w:p>
    <w:p w14:paraId="312E1EE5" w14:textId="77777777" w:rsidR="006A2043" w:rsidRPr="00B3125E" w:rsidRDefault="006A2043" w:rsidP="006A2043">
      <w:pPr>
        <w:pStyle w:val="FrontMatterH3"/>
        <w:spacing w:before="120" w:line="259" w:lineRule="auto"/>
        <w:jc w:val="both"/>
        <w:rPr>
          <w:color w:val="auto"/>
          <w:sz w:val="20"/>
          <w:szCs w:val="20"/>
        </w:rPr>
      </w:pPr>
      <w:r>
        <w:rPr>
          <w:color w:val="auto"/>
          <w:sz w:val="20"/>
          <w:szCs w:val="20"/>
        </w:rPr>
        <w:t>Towards INFF</w:t>
      </w:r>
    </w:p>
    <w:p w14:paraId="519B8BB0" w14:textId="1D7DDFEB" w:rsidR="00D10894" w:rsidRDefault="001D4DFD" w:rsidP="006A2043">
      <w:pPr>
        <w:pStyle w:val="ListNumber"/>
        <w:numPr>
          <w:ilvl w:val="0"/>
          <w:numId w:val="0"/>
        </w:numPr>
      </w:pPr>
      <w:r>
        <w:t>During 2021-2024</w:t>
      </w:r>
      <w:r w:rsidR="00330BC7">
        <w:t xml:space="preserve">, </w:t>
      </w:r>
      <w:r w:rsidR="00CC539B">
        <w:t xml:space="preserve">Kyrgyzstan </w:t>
      </w:r>
      <w:r w:rsidR="004306E3">
        <w:t>participated in</w:t>
      </w:r>
      <w:r>
        <w:t xml:space="preserve"> the </w:t>
      </w:r>
      <w:r w:rsidRPr="009B71B7">
        <w:rPr>
          <w:i/>
          <w:iCs/>
        </w:rPr>
        <w:t>Towards I</w:t>
      </w:r>
      <w:r>
        <w:rPr>
          <w:i/>
          <w:iCs/>
        </w:rPr>
        <w:t>ntegrated National Financing (I</w:t>
      </w:r>
      <w:r w:rsidRPr="009B71B7">
        <w:rPr>
          <w:i/>
          <w:iCs/>
        </w:rPr>
        <w:t>NFF</w:t>
      </w:r>
      <w:r>
        <w:rPr>
          <w:i/>
          <w:iCs/>
        </w:rPr>
        <w:t>)</w:t>
      </w:r>
      <w:r w:rsidRPr="009B71B7">
        <w:rPr>
          <w:i/>
          <w:iCs/>
        </w:rPr>
        <w:t xml:space="preserve"> Project</w:t>
      </w:r>
      <w:r>
        <w:t xml:space="preserve">, </w:t>
      </w:r>
      <w:r w:rsidR="00330BC7">
        <w:t xml:space="preserve">which </w:t>
      </w:r>
      <w:r w:rsidR="00F712C4">
        <w:t>had</w:t>
      </w:r>
      <w:r w:rsidR="00330BC7">
        <w:t xml:space="preserve"> the objective of </w:t>
      </w:r>
      <w:r>
        <w:t>strengthen</w:t>
      </w:r>
      <w:r w:rsidR="00330BC7">
        <w:t>ing</w:t>
      </w:r>
      <w:r>
        <w:t xml:space="preserve"> country capacities for mobilising and aligning financial flows with national sustainable development priorities.</w:t>
      </w:r>
      <w:r w:rsidR="004C0DD2">
        <w:t xml:space="preserve"> The aim of the project included facilitati</w:t>
      </w:r>
      <w:r w:rsidR="001641DC">
        <w:t>ng</w:t>
      </w:r>
      <w:r w:rsidR="004C0DD2">
        <w:t xml:space="preserve"> knowledge-exchange and peer-learning in the</w:t>
      </w:r>
      <w:r w:rsidR="001641DC">
        <w:t xml:space="preserve"> focal thematic area. Project implementation </w:t>
      </w:r>
      <w:r w:rsidR="008E02C5">
        <w:t xml:space="preserve">was led by </w:t>
      </w:r>
      <w:r w:rsidR="006F0415">
        <w:t xml:space="preserve">the </w:t>
      </w:r>
      <w:r w:rsidR="008E02C5">
        <w:t xml:space="preserve">United Nations Department of Economic and Social Affairs (UNDESA) and </w:t>
      </w:r>
      <w:r w:rsidR="00D10894">
        <w:t xml:space="preserve">promoted the </w:t>
      </w:r>
      <w:r w:rsidR="00B37435">
        <w:t xml:space="preserve">use of </w:t>
      </w:r>
      <w:r w:rsidR="00792366">
        <w:t xml:space="preserve">the </w:t>
      </w:r>
      <w:r w:rsidR="00D10894">
        <w:t>INFF methodology.</w:t>
      </w:r>
      <w:r w:rsidR="00644594">
        <w:t xml:space="preserve"> </w:t>
      </w:r>
    </w:p>
    <w:p w14:paraId="0CE6362A" w14:textId="616438B5" w:rsidR="0080415D" w:rsidRDefault="00194224" w:rsidP="006A2043">
      <w:pPr>
        <w:pStyle w:val="ListNumber"/>
        <w:numPr>
          <w:ilvl w:val="0"/>
          <w:numId w:val="0"/>
        </w:numPr>
      </w:pPr>
      <w:r>
        <w:t xml:space="preserve">Capacity-building workshops and trainings </w:t>
      </w:r>
      <w:r w:rsidR="0083558E">
        <w:t xml:space="preserve">were facilitated </w:t>
      </w:r>
      <w:r>
        <w:t xml:space="preserve">at the national and regional levels </w:t>
      </w:r>
      <w:r w:rsidR="0083558E">
        <w:t>by</w:t>
      </w:r>
      <w:r w:rsidR="0083558E" w:rsidRPr="0083558E">
        <w:t xml:space="preserve"> </w:t>
      </w:r>
      <w:r w:rsidR="0083558E">
        <w:t>the United Nations Economic Commission for Europe (UNECE)</w:t>
      </w:r>
      <w:r>
        <w:t>,</w:t>
      </w:r>
      <w:r w:rsidR="0083558E">
        <w:t xml:space="preserve"> in coordination with U</w:t>
      </w:r>
      <w:r>
        <w:t xml:space="preserve">N </w:t>
      </w:r>
      <w:r w:rsidR="0083558E">
        <w:t>Trade and Development (</w:t>
      </w:r>
      <w:r w:rsidR="0083558E" w:rsidRPr="00EE08B8">
        <w:t>UNC</w:t>
      </w:r>
      <w:r w:rsidR="0083558E">
        <w:t>TAD).</w:t>
      </w:r>
      <w:r w:rsidR="00586B27">
        <w:t xml:space="preserve"> </w:t>
      </w:r>
      <w:r w:rsidR="006F0415">
        <w:t>Project activities engaged national stakeholders from the public; private; and no</w:t>
      </w:r>
      <w:r w:rsidR="00792366">
        <w:t>t</w:t>
      </w:r>
      <w:r w:rsidR="006F0415">
        <w:t>-for-profit sectors</w:t>
      </w:r>
      <w:r w:rsidR="00FA432B">
        <w:t xml:space="preserve">, as well as stakeholders from other countries </w:t>
      </w:r>
      <w:r w:rsidR="00792366">
        <w:t xml:space="preserve">within </w:t>
      </w:r>
      <w:r w:rsidR="005702C8">
        <w:t>the target region during regional</w:t>
      </w:r>
      <w:r w:rsidR="00876507">
        <w:t xml:space="preserve"> workshops/trainings. </w:t>
      </w:r>
      <w:r w:rsidR="008F592F">
        <w:t xml:space="preserve">The topics that were covered </w:t>
      </w:r>
      <w:r w:rsidR="00F0755F">
        <w:t xml:space="preserve">at the national and regional levels </w:t>
      </w:r>
      <w:r w:rsidR="008F592F">
        <w:t xml:space="preserve">included: </w:t>
      </w:r>
      <w:r w:rsidR="00351021">
        <w:t xml:space="preserve">i) </w:t>
      </w:r>
      <w:r w:rsidR="00435A16">
        <w:t xml:space="preserve">the INFF methodology; </w:t>
      </w:r>
      <w:r w:rsidR="005F1BCA">
        <w:t xml:space="preserve">ii) </w:t>
      </w:r>
      <w:r w:rsidR="00351021">
        <w:t>sustainability reporting; i</w:t>
      </w:r>
      <w:r w:rsidR="005F1BCA">
        <w:t>i</w:t>
      </w:r>
      <w:r w:rsidR="00351021">
        <w:t xml:space="preserve">i) Public-Private </w:t>
      </w:r>
      <w:r w:rsidR="00247E62">
        <w:t>Partnerships; i</w:t>
      </w:r>
      <w:r w:rsidR="005F1BCA">
        <w:t>v</w:t>
      </w:r>
      <w:r w:rsidR="00247E62">
        <w:t xml:space="preserve">) entrepreneurship; </w:t>
      </w:r>
      <w:r w:rsidR="005F1BCA">
        <w:t xml:space="preserve">and </w:t>
      </w:r>
      <w:r w:rsidR="002E3387">
        <w:t>v) illicit financial flows</w:t>
      </w:r>
      <w:r w:rsidR="005F1BCA">
        <w:t xml:space="preserve">. </w:t>
      </w:r>
      <w:r>
        <w:t xml:space="preserve">Project participants also </w:t>
      </w:r>
      <w:r w:rsidR="00B21162">
        <w:t>gained</w:t>
      </w:r>
      <w:r w:rsidR="00F11FB1">
        <w:t xml:space="preserve"> access to</w:t>
      </w:r>
      <w:r w:rsidR="008105C4">
        <w:t xml:space="preserve"> </w:t>
      </w:r>
      <w:r w:rsidR="002F1B2C">
        <w:t xml:space="preserve">empirical assessments; </w:t>
      </w:r>
      <w:r w:rsidR="00526A04">
        <w:t>analytical re</w:t>
      </w:r>
      <w:r w:rsidR="00FC25B7">
        <w:t>ports</w:t>
      </w:r>
      <w:r w:rsidR="00E21DEE">
        <w:t>; and tools and resources</w:t>
      </w:r>
      <w:r w:rsidR="004A16FF">
        <w:t xml:space="preserve">. The tools and resources that were </w:t>
      </w:r>
      <w:r w:rsidR="00410B65">
        <w:t xml:space="preserve">disseminated included: </w:t>
      </w:r>
    </w:p>
    <w:p w14:paraId="30F8C530" w14:textId="2DC264A6" w:rsidR="00410B65" w:rsidRDefault="00AF65F2" w:rsidP="00DD2DDC">
      <w:pPr>
        <w:pStyle w:val="ListNumber"/>
        <w:numPr>
          <w:ilvl w:val="0"/>
          <w:numId w:val="121"/>
        </w:numPr>
      </w:pPr>
      <w:r>
        <w:t>Global guidance material on the INFF concept;</w:t>
      </w:r>
    </w:p>
    <w:p w14:paraId="1BC3D68D" w14:textId="42DBAFB5" w:rsidR="00AF65F2" w:rsidRDefault="00AF65F2" w:rsidP="00DD2DDC">
      <w:pPr>
        <w:pStyle w:val="ListNumber"/>
        <w:numPr>
          <w:ilvl w:val="0"/>
          <w:numId w:val="121"/>
        </w:numPr>
      </w:pPr>
      <w:r>
        <w:t xml:space="preserve">The UNECE </w:t>
      </w:r>
      <w:hyperlink r:id="rId200" w:history="1">
        <w:r w:rsidRPr="00D309C3">
          <w:rPr>
            <w:rStyle w:val="Hyperlink"/>
          </w:rPr>
          <w:t>Public-Private Partnership and Infrastructure Evaluation and Rating System</w:t>
        </w:r>
      </w:hyperlink>
      <w:r>
        <w:t xml:space="preserve"> (PIERS) and the </w:t>
      </w:r>
      <w:hyperlink r:id="rId201" w:history="1">
        <w:r w:rsidRPr="009E4BEC">
          <w:rPr>
            <w:rStyle w:val="Hyperlink"/>
          </w:rPr>
          <w:t>PIERS Digital Platform</w:t>
        </w:r>
      </w:hyperlink>
      <w:r>
        <w:t>;</w:t>
      </w:r>
    </w:p>
    <w:p w14:paraId="29DDD768" w14:textId="27372B71" w:rsidR="00AF65F2" w:rsidRDefault="00AF65F2" w:rsidP="00DD2DDC">
      <w:pPr>
        <w:pStyle w:val="ListNumber"/>
        <w:numPr>
          <w:ilvl w:val="0"/>
          <w:numId w:val="121"/>
        </w:numPr>
      </w:pPr>
      <w:r>
        <w:t xml:space="preserve">The </w:t>
      </w:r>
      <w:hyperlink r:id="rId202" w:history="1">
        <w:r w:rsidRPr="008F7CE8">
          <w:rPr>
            <w:rStyle w:val="Hyperlink"/>
          </w:rPr>
          <w:t>UNCTAD Accounting Development Tool</w:t>
        </w:r>
      </w:hyperlink>
      <w:r>
        <w:t xml:space="preserve"> (ADT);</w:t>
      </w:r>
      <w:r w:rsidR="00C5445F">
        <w:t xml:space="preserve"> and</w:t>
      </w:r>
    </w:p>
    <w:p w14:paraId="2F3ED402" w14:textId="4D95FEDC" w:rsidR="00AF65F2" w:rsidRDefault="00AF65F2" w:rsidP="00DD2DDC">
      <w:pPr>
        <w:pStyle w:val="ListNumber"/>
        <w:numPr>
          <w:ilvl w:val="0"/>
          <w:numId w:val="121"/>
        </w:numPr>
      </w:pPr>
      <w:r>
        <w:t xml:space="preserve">The UNCTAD </w:t>
      </w:r>
      <w:hyperlink r:id="rId203" w:history="1">
        <w:r w:rsidRPr="00F13DD3">
          <w:rPr>
            <w:rStyle w:val="Hyperlink"/>
          </w:rPr>
          <w:t>Empretec</w:t>
        </w:r>
      </w:hyperlink>
      <w:r>
        <w:t xml:space="preserve"> capacity-building programme for the promotion of entrepreneurship and micro, small and medium enterprises (MSMEs) start-ups</w:t>
      </w:r>
      <w:r w:rsidR="00C5445F">
        <w:t>.</w:t>
      </w:r>
    </w:p>
    <w:p w14:paraId="1322A76D" w14:textId="3A3F4A9C" w:rsidR="001D4DFD" w:rsidRDefault="00BE0E36" w:rsidP="006A2043">
      <w:pPr>
        <w:pStyle w:val="ListNumber"/>
        <w:numPr>
          <w:ilvl w:val="0"/>
          <w:numId w:val="0"/>
        </w:numPr>
      </w:pPr>
      <w:r>
        <w:t xml:space="preserve">UNECE </w:t>
      </w:r>
      <w:r w:rsidR="00EE08B8" w:rsidRPr="00EE08B8">
        <w:t>PIERS</w:t>
      </w:r>
      <w:r w:rsidR="009C3F42">
        <w:t>, supported by the PIERS Digital Platform</w:t>
      </w:r>
      <w:r w:rsidR="00970CB2">
        <w:t xml:space="preserve">, is </w:t>
      </w:r>
      <w:r w:rsidR="0088331C">
        <w:t xml:space="preserve">used to </w:t>
      </w:r>
      <w:r w:rsidR="00970CB2">
        <w:t xml:space="preserve">evaluate and score PPPs and infrastructure projects based on 22 criteria and 95 indicators. It </w:t>
      </w:r>
      <w:r w:rsidR="003A004E">
        <w:t xml:space="preserve">facilitates the assessment of </w:t>
      </w:r>
      <w:r w:rsidR="00970CB2">
        <w:t>projects and infrastructure at all stages of development, to inform improvements during design and implementation and create alignment with the SDGs</w:t>
      </w:r>
      <w:r w:rsidR="003A004E">
        <w:t>.</w:t>
      </w:r>
      <w:r w:rsidR="008603FD">
        <w:t xml:space="preserve"> In addition to the practical training on the use of PIERS, </w:t>
      </w:r>
      <w:r w:rsidR="00B51A10">
        <w:t xml:space="preserve">project participants in </w:t>
      </w:r>
      <w:r w:rsidR="008603FD">
        <w:t xml:space="preserve">Kyrgyzstan </w:t>
      </w:r>
      <w:r w:rsidR="007D26D3">
        <w:t xml:space="preserve">received a report with results and recommendations </w:t>
      </w:r>
      <w:r w:rsidR="00225478">
        <w:t>on the evaluation of eight infrastructure</w:t>
      </w:r>
      <w:r w:rsidR="009C3F42">
        <w:t xml:space="preserve"> </w:t>
      </w:r>
      <w:r w:rsidR="00225478">
        <w:t>projects</w:t>
      </w:r>
      <w:r w:rsidR="00BA62BF">
        <w:t>. The results and recommendations of the evaluation were further presented during an interactive national workshop.</w:t>
      </w:r>
    </w:p>
    <w:p w14:paraId="7960A3D6" w14:textId="6A445DE1" w:rsidR="001D4DFD" w:rsidRDefault="00BE0E36" w:rsidP="006A2043">
      <w:pPr>
        <w:pStyle w:val="ListNumber"/>
        <w:numPr>
          <w:ilvl w:val="0"/>
          <w:numId w:val="0"/>
        </w:numPr>
      </w:pPr>
      <w:r>
        <w:t xml:space="preserve">The UNCTAD ADT tool </w:t>
      </w:r>
      <w:r w:rsidR="00B64E2D">
        <w:t xml:space="preserve">is used to </w:t>
      </w:r>
      <w:r w:rsidR="0020237E">
        <w:t>strengthen accounting and reporting infrastructure</w:t>
      </w:r>
      <w:r w:rsidR="004529B4">
        <w:t xml:space="preserve"> to ensure compliance with internationally comparable corporate reporting.</w:t>
      </w:r>
      <w:r w:rsidR="0010147F">
        <w:t xml:space="preserve"> It comprises an approach; </w:t>
      </w:r>
      <w:r w:rsidR="006E0EF2">
        <w:t xml:space="preserve">methodology; and instruments </w:t>
      </w:r>
      <w:r w:rsidR="00BA366F">
        <w:t xml:space="preserve">for the quantitative measurement of reporting infrastructure at the national level </w:t>
      </w:r>
      <w:r w:rsidR="00F42C83">
        <w:t xml:space="preserve">to identify and address </w:t>
      </w:r>
      <w:r w:rsidR="00BE6C16">
        <w:t xml:space="preserve">exiting </w:t>
      </w:r>
      <w:r w:rsidR="00F42C83">
        <w:t>gaps</w:t>
      </w:r>
      <w:r w:rsidR="00BE6C16">
        <w:t xml:space="preserve">. </w:t>
      </w:r>
      <w:r w:rsidR="009C3C65">
        <w:t xml:space="preserve">Further to an initial meeting on the ADT tool, </w:t>
      </w:r>
      <w:r w:rsidR="00D65810">
        <w:t>project participants were engaged in a</w:t>
      </w:r>
      <w:r w:rsidR="006133E6">
        <w:t>n ADT assessment and a</w:t>
      </w:r>
      <w:r w:rsidR="00D65810">
        <w:t xml:space="preserve"> national workshop</w:t>
      </w:r>
      <w:r w:rsidR="006133E6">
        <w:t xml:space="preserve">. </w:t>
      </w:r>
      <w:r w:rsidR="00B61F3E">
        <w:t>This was followed by the development of a comprehensive report</w:t>
      </w:r>
      <w:r w:rsidR="00402FA4">
        <w:t>,</w:t>
      </w:r>
      <w:r w:rsidR="008B1978">
        <w:t xml:space="preserve"> including recommendations</w:t>
      </w:r>
      <w:r w:rsidR="002E7188">
        <w:t xml:space="preserve"> that were adopted at the national level</w:t>
      </w:r>
      <w:r w:rsidR="008B1978">
        <w:t xml:space="preserve">. </w:t>
      </w:r>
      <w:r w:rsidR="005238A1">
        <w:t xml:space="preserve">A final workshop was </w:t>
      </w:r>
      <w:r w:rsidR="00620B49">
        <w:t>facilitated</w:t>
      </w:r>
      <w:r w:rsidR="005238A1">
        <w:t xml:space="preserve"> by UNCTAD to </w:t>
      </w:r>
      <w:r w:rsidR="00675FCC">
        <w:t xml:space="preserve">validate </w:t>
      </w:r>
      <w:r w:rsidR="005238A1">
        <w:t xml:space="preserve">an action plan for the implementation of the recommendations </w:t>
      </w:r>
      <w:r w:rsidR="00620B49">
        <w:t>of the assessment.</w:t>
      </w:r>
    </w:p>
    <w:p w14:paraId="4578BAAF" w14:textId="77E30DF2" w:rsidR="005F12CD" w:rsidRDefault="00B52391" w:rsidP="00247324">
      <w:pPr>
        <w:pStyle w:val="ListNumber"/>
        <w:numPr>
          <w:ilvl w:val="0"/>
          <w:numId w:val="0"/>
        </w:numPr>
      </w:pPr>
      <w:r>
        <w:t>Empretec has been recognised by United Nations General Assembly</w:t>
      </w:r>
      <w:r w:rsidR="003779C5">
        <w:t xml:space="preserve"> resolutions as a tool for entr</w:t>
      </w:r>
      <w:r w:rsidR="00C3391B">
        <w:t>e</w:t>
      </w:r>
      <w:r w:rsidR="003779C5">
        <w:t>preneurship.</w:t>
      </w:r>
      <w:r w:rsidR="003779C5">
        <w:rPr>
          <w:rStyle w:val="FootnoteReference"/>
        </w:rPr>
        <w:footnoteReference w:id="284"/>
      </w:r>
      <w:r w:rsidR="000D6B2D">
        <w:t xml:space="preserve"> </w:t>
      </w:r>
      <w:r w:rsidR="00C3391B">
        <w:t xml:space="preserve">It </w:t>
      </w:r>
      <w:r w:rsidR="0043679B">
        <w:t xml:space="preserve">supports innovation and </w:t>
      </w:r>
      <w:r w:rsidR="000E59EF">
        <w:t xml:space="preserve">entrepreneurial empowerment for </w:t>
      </w:r>
      <w:r w:rsidR="004379E2">
        <w:t>sustainable development and inclusive growth.</w:t>
      </w:r>
    </w:p>
    <w:p w14:paraId="0FA263D8" w14:textId="25D6356E" w:rsidR="00E354F9" w:rsidRPr="009836DD" w:rsidRDefault="00E354F9" w:rsidP="00E354F9">
      <w:pPr>
        <w:pStyle w:val="ListNumber"/>
        <w:numPr>
          <w:ilvl w:val="0"/>
          <w:numId w:val="0"/>
        </w:numPr>
      </w:pPr>
      <w:r>
        <w:lastRenderedPageBreak/>
        <w:t xml:space="preserve">Project participants were also given access to the </w:t>
      </w:r>
      <w:hyperlink r:id="rId204" w:history="1">
        <w:r w:rsidRPr="000312A8">
          <w:rPr>
            <w:rStyle w:val="Hyperlink"/>
          </w:rPr>
          <w:t>Eurasian Regional Partnership on Sustainability and SDG Reporting</w:t>
        </w:r>
      </w:hyperlink>
      <w:r>
        <w:t>. As a member of the Eurasian Regional Partnership on Sustainability and SDG Reporting</w:t>
      </w:r>
      <w:r w:rsidR="00792366">
        <w:t xml:space="preserve"> (ERP)</w:t>
      </w:r>
      <w:r>
        <w:t xml:space="preserve">, Kyrgyzstan </w:t>
      </w:r>
      <w:r w:rsidR="00DD10A1">
        <w:t xml:space="preserve">is in a position to acquire </w:t>
      </w:r>
      <w:r>
        <w:t xml:space="preserve">regional support for the enhancement of its sustainability reporting framework(s), and collaboration on public-private financing for sustainable development. ERP was launched in 2024 during a regional event for the </w:t>
      </w:r>
      <w:r w:rsidRPr="009B71B7">
        <w:rPr>
          <w:i/>
          <w:iCs/>
        </w:rPr>
        <w:t xml:space="preserve">Towards </w:t>
      </w:r>
      <w:r>
        <w:rPr>
          <w:i/>
          <w:iCs/>
        </w:rPr>
        <w:t>I</w:t>
      </w:r>
      <w:r w:rsidRPr="009B71B7">
        <w:rPr>
          <w:i/>
          <w:iCs/>
        </w:rPr>
        <w:t>NFF Project</w:t>
      </w:r>
      <w:r>
        <w:t>.</w:t>
      </w:r>
    </w:p>
    <w:p w14:paraId="1AC9A40D" w14:textId="64C71BEB" w:rsidR="00E354F9" w:rsidRDefault="003F1F95" w:rsidP="00E354F9">
      <w:pPr>
        <w:pStyle w:val="ListNumber"/>
        <w:numPr>
          <w:ilvl w:val="0"/>
          <w:numId w:val="0"/>
        </w:numPr>
      </w:pPr>
      <w:r>
        <w:t xml:space="preserve">The project participants </w:t>
      </w:r>
      <w:r w:rsidR="00E354F9">
        <w:t xml:space="preserve">were also engaged in the end-of-project global workshop, which facilitated the sharing of knowledge and experience on INFF development (e.g. best practices; challenges; and lessons learned). </w:t>
      </w:r>
    </w:p>
    <w:p w14:paraId="545EF87E" w14:textId="324C998C" w:rsidR="00C41BD3" w:rsidRDefault="00164E6F" w:rsidP="00C77C56">
      <w:pPr>
        <w:pStyle w:val="ListNumber"/>
        <w:numPr>
          <w:ilvl w:val="0"/>
          <w:numId w:val="0"/>
        </w:numPr>
      </w:pPr>
      <w:r>
        <w:t>P</w:t>
      </w:r>
      <w:r w:rsidR="00C07F57">
        <w:t>roject activities in Ky</w:t>
      </w:r>
      <w:r w:rsidR="00964FA7">
        <w:t>rgyzstan aligned</w:t>
      </w:r>
      <w:r w:rsidR="00DA086E">
        <w:t xml:space="preserve"> with the people-centred approach of</w:t>
      </w:r>
      <w:r w:rsidR="002B5539">
        <w:t xml:space="preserve"> national development planning</w:t>
      </w:r>
      <w:r w:rsidR="00C56A27">
        <w:t xml:space="preserve">. They further </w:t>
      </w:r>
      <w:r w:rsidR="009365E4">
        <w:t xml:space="preserve">supported </w:t>
      </w:r>
      <w:r w:rsidR="00C56A27">
        <w:t>infrastructur</w:t>
      </w:r>
      <w:r w:rsidR="002451DD">
        <w:t>al</w:t>
      </w:r>
      <w:r w:rsidR="00C56A27">
        <w:t xml:space="preserve"> development </w:t>
      </w:r>
      <w:r w:rsidR="002451DD">
        <w:t xml:space="preserve">and the </w:t>
      </w:r>
      <w:r w:rsidR="003E0FA5">
        <w:t xml:space="preserve">establishment of </w:t>
      </w:r>
      <w:r w:rsidR="006B742F">
        <w:t xml:space="preserve">partnerships between the </w:t>
      </w:r>
      <w:r w:rsidR="003E0FA5">
        <w:t>public</w:t>
      </w:r>
      <w:r w:rsidR="006B742F">
        <w:t xml:space="preserve"> and </w:t>
      </w:r>
      <w:r w:rsidR="003E0FA5">
        <w:t>private</w:t>
      </w:r>
      <w:r w:rsidR="006B742F">
        <w:t xml:space="preserve"> sectors</w:t>
      </w:r>
      <w:r w:rsidR="003E0FA5">
        <w:t xml:space="preserve">, as well as </w:t>
      </w:r>
      <w:r w:rsidR="006B742F">
        <w:t xml:space="preserve">at the </w:t>
      </w:r>
      <w:r w:rsidR="003E0FA5">
        <w:t xml:space="preserve">regional </w:t>
      </w:r>
      <w:r w:rsidR="006B742F">
        <w:t>level.</w:t>
      </w:r>
      <w:r w:rsidR="00042CBB">
        <w:t xml:space="preserve"> W</w:t>
      </w:r>
      <w:r w:rsidR="00AC2388">
        <w:t xml:space="preserve">ithin this context, </w:t>
      </w:r>
      <w:r w:rsidR="00482A2F">
        <w:t xml:space="preserve">the project was of </w:t>
      </w:r>
      <w:r w:rsidR="00B63356" w:rsidRPr="003F1F95">
        <w:rPr>
          <w:b/>
          <w:bCs/>
        </w:rPr>
        <w:t>relevance</w:t>
      </w:r>
      <w:r w:rsidR="00B63356">
        <w:t xml:space="preserve"> for </w:t>
      </w:r>
      <w:r w:rsidR="00DE0A54">
        <w:t xml:space="preserve">systems strengthening </w:t>
      </w:r>
      <w:r w:rsidR="009B3E0E">
        <w:t>across sectors</w:t>
      </w:r>
      <w:r w:rsidR="00792366">
        <w:t>,</w:t>
      </w:r>
      <w:r w:rsidR="003F1F95">
        <w:t xml:space="preserve"> to facilitate</w:t>
      </w:r>
      <w:r w:rsidR="00DE0A54">
        <w:t xml:space="preserve"> inclusive susta</w:t>
      </w:r>
      <w:r w:rsidR="00464246">
        <w:t>inable development</w:t>
      </w:r>
      <w:r w:rsidR="007873F9">
        <w:t>.</w:t>
      </w:r>
      <w:r w:rsidR="001D502F">
        <w:t xml:space="preserve"> </w:t>
      </w:r>
      <w:r w:rsidR="000C26D4">
        <w:t>Notably, the Government of Kyrgy</w:t>
      </w:r>
      <w:r w:rsidR="000A4E5A">
        <w:t xml:space="preserve">zstan established </w:t>
      </w:r>
      <w:r w:rsidR="00BE66F7">
        <w:t>the Centre for Public-Private Partnerships in 2019</w:t>
      </w:r>
      <w:r w:rsidR="003B346F">
        <w:t xml:space="preserve"> to </w:t>
      </w:r>
      <w:r w:rsidR="00404E04">
        <w:t>coordinate PPP projects</w:t>
      </w:r>
      <w:r w:rsidR="001613C0">
        <w:t xml:space="preserve"> a</w:t>
      </w:r>
      <w:r w:rsidR="0046707B">
        <w:t>n</w:t>
      </w:r>
      <w:r w:rsidR="001613C0">
        <w:t xml:space="preserve">d promote </w:t>
      </w:r>
      <w:r w:rsidR="00DE7B2C">
        <w:t>PPP</w:t>
      </w:r>
      <w:r w:rsidR="001613C0">
        <w:t xml:space="preserve"> mechanisms in </w:t>
      </w:r>
      <w:r w:rsidR="00DE7B2C">
        <w:t xml:space="preserve">socially-important industries. </w:t>
      </w:r>
      <w:r w:rsidR="00474B4F">
        <w:t>As t</w:t>
      </w:r>
      <w:r w:rsidR="000F734D">
        <w:t>he respons</w:t>
      </w:r>
      <w:r w:rsidR="008A26EC">
        <w:t>ibilities of the Centre also include encouraging private investment, inter alia</w:t>
      </w:r>
      <w:r w:rsidR="00474B4F">
        <w:t xml:space="preserve">, learnings and resources from the </w:t>
      </w:r>
      <w:r w:rsidR="00792366" w:rsidRPr="009B71B7">
        <w:rPr>
          <w:i/>
          <w:iCs/>
        </w:rPr>
        <w:t xml:space="preserve">Towards </w:t>
      </w:r>
      <w:r w:rsidR="00792366">
        <w:rPr>
          <w:i/>
          <w:iCs/>
        </w:rPr>
        <w:t>I</w:t>
      </w:r>
      <w:r w:rsidR="00792366" w:rsidRPr="009B71B7">
        <w:rPr>
          <w:i/>
          <w:iCs/>
        </w:rPr>
        <w:t>NFF Project</w:t>
      </w:r>
      <w:r w:rsidR="00474B4F">
        <w:t xml:space="preserve"> can be </w:t>
      </w:r>
      <w:r w:rsidR="00E257C1">
        <w:t>used to enhance th</w:t>
      </w:r>
      <w:r w:rsidR="00EF5B31">
        <w:t>e</w:t>
      </w:r>
      <w:r w:rsidR="009254CB">
        <w:t xml:space="preserve"> PPP</w:t>
      </w:r>
      <w:r w:rsidR="00EF5B31">
        <w:t xml:space="preserve"> work portfolio</w:t>
      </w:r>
      <w:r w:rsidR="009254CB">
        <w:t xml:space="preserve">. </w:t>
      </w:r>
      <w:r w:rsidR="00BE57DB">
        <w:t xml:space="preserve">In this regard, project activities were in </w:t>
      </w:r>
      <w:r w:rsidR="00BE57DB" w:rsidRPr="00AA5DC8">
        <w:rPr>
          <w:b/>
          <w:bCs/>
        </w:rPr>
        <w:t>coherence</w:t>
      </w:r>
      <w:r w:rsidR="00BE57DB">
        <w:t xml:space="preserve"> with the </w:t>
      </w:r>
      <w:r w:rsidR="00AA5DC8">
        <w:t>development financing landscape o</w:t>
      </w:r>
      <w:r w:rsidR="008A2F6B">
        <w:t>f</w:t>
      </w:r>
      <w:r w:rsidR="00AA5DC8">
        <w:t xml:space="preserve"> Kyrgyzstan.</w:t>
      </w:r>
      <w:r w:rsidR="008A26EC">
        <w:t xml:space="preserve"> </w:t>
      </w:r>
      <w:r w:rsidR="00B65F67">
        <w:t>To the ext</w:t>
      </w:r>
      <w:r w:rsidR="0030382B">
        <w:t>e</w:t>
      </w:r>
      <w:r w:rsidR="00B65F67">
        <w:t>nt</w:t>
      </w:r>
      <w:r w:rsidR="0030382B">
        <w:t xml:space="preserve"> that </w:t>
      </w:r>
      <w:r w:rsidR="00661850">
        <w:t xml:space="preserve">strategic national level planning has included </w:t>
      </w:r>
      <w:r w:rsidR="00636300">
        <w:t xml:space="preserve">measures to mobilise development funding and ensure alignment with </w:t>
      </w:r>
      <w:r w:rsidR="00915111">
        <w:t xml:space="preserve">national sustainable development priorities, there has been </w:t>
      </w:r>
      <w:r w:rsidR="00792366">
        <w:t xml:space="preserve">evidence </w:t>
      </w:r>
      <w:r w:rsidR="00915111">
        <w:t xml:space="preserve">of project </w:t>
      </w:r>
      <w:r w:rsidR="00915111" w:rsidRPr="00F022CF">
        <w:rPr>
          <w:b/>
          <w:bCs/>
        </w:rPr>
        <w:t>effectiveness</w:t>
      </w:r>
      <w:r w:rsidR="00915111">
        <w:t xml:space="preserve">. </w:t>
      </w:r>
      <w:r w:rsidR="00AB644D">
        <w:t xml:space="preserve">As the Government of Kyrgyzstan </w:t>
      </w:r>
      <w:r w:rsidR="00035B24">
        <w:t xml:space="preserve">has underscored the </w:t>
      </w:r>
      <w:r w:rsidR="00035B24">
        <w:t xml:space="preserve">importance of </w:t>
      </w:r>
      <w:r w:rsidR="008819D8">
        <w:t xml:space="preserve">the coordinated use of resources to achieve </w:t>
      </w:r>
      <w:r w:rsidR="00D52B46">
        <w:t>su</w:t>
      </w:r>
      <w:r w:rsidR="00BB4240">
        <w:t>s</w:t>
      </w:r>
      <w:r w:rsidR="00D52B46">
        <w:t>ta</w:t>
      </w:r>
      <w:r w:rsidR="00BB4240">
        <w:t>i</w:t>
      </w:r>
      <w:r w:rsidR="00D52B46">
        <w:t>nable nation development, there</w:t>
      </w:r>
      <w:r w:rsidR="00BB4240">
        <w:t xml:space="preserve"> is </w:t>
      </w:r>
      <w:r w:rsidR="00C41BD3">
        <w:t xml:space="preserve">evidence </w:t>
      </w:r>
      <w:r w:rsidR="00BB4240">
        <w:t xml:space="preserve">of </w:t>
      </w:r>
      <w:r w:rsidR="004B12A9">
        <w:t>a project contribution towards p</w:t>
      </w:r>
      <w:r w:rsidR="00474186">
        <w:t xml:space="preserve">rocess </w:t>
      </w:r>
      <w:r w:rsidR="00474186" w:rsidRPr="00ED74D8">
        <w:rPr>
          <w:b/>
          <w:bCs/>
        </w:rPr>
        <w:t>efficiency</w:t>
      </w:r>
      <w:r w:rsidR="00474186">
        <w:t xml:space="preserve">, </w:t>
      </w:r>
      <w:r w:rsidR="00C41BD3">
        <w:t xml:space="preserve">as well as </w:t>
      </w:r>
      <w:r w:rsidR="00474186">
        <w:t>efficient resource use</w:t>
      </w:r>
      <w:r w:rsidR="00ED74D8">
        <w:t xml:space="preserve"> during development financing. Further, </w:t>
      </w:r>
      <w:r w:rsidR="00C931A3">
        <w:t xml:space="preserve">as </w:t>
      </w:r>
      <w:r w:rsidR="00EB7D30">
        <w:t>strategic plannin</w:t>
      </w:r>
      <w:r w:rsidR="00C931A3">
        <w:t>g</w:t>
      </w:r>
      <w:r w:rsidR="00EB7D30">
        <w:t xml:space="preserve"> </w:t>
      </w:r>
      <w:r w:rsidR="00C931A3">
        <w:t xml:space="preserve">by the government </w:t>
      </w:r>
      <w:r w:rsidR="00EB7D30">
        <w:t xml:space="preserve">is anchored in a people-centred approach, </w:t>
      </w:r>
      <w:r w:rsidR="00BC21AA">
        <w:t xml:space="preserve">there has been evidence of the integration of considerations for </w:t>
      </w:r>
      <w:r w:rsidR="00BC21AA" w:rsidRPr="00435A45">
        <w:rPr>
          <w:b/>
          <w:bCs/>
        </w:rPr>
        <w:t>g</w:t>
      </w:r>
      <w:r w:rsidR="00C931A3" w:rsidRPr="00435A45">
        <w:rPr>
          <w:b/>
          <w:bCs/>
        </w:rPr>
        <w:t>e</w:t>
      </w:r>
      <w:r w:rsidR="00BC21AA" w:rsidRPr="00435A45">
        <w:rPr>
          <w:b/>
          <w:bCs/>
        </w:rPr>
        <w:t>nder equality</w:t>
      </w:r>
      <w:r w:rsidR="00BC21AA">
        <w:t xml:space="preserve">; </w:t>
      </w:r>
      <w:r w:rsidR="00BC21AA" w:rsidRPr="00435A45">
        <w:rPr>
          <w:b/>
          <w:bCs/>
        </w:rPr>
        <w:t>human rights</w:t>
      </w:r>
      <w:r w:rsidR="00BC21AA">
        <w:t xml:space="preserve">; and </w:t>
      </w:r>
      <w:r w:rsidR="00C931A3" w:rsidRPr="00435A45">
        <w:rPr>
          <w:b/>
          <w:bCs/>
        </w:rPr>
        <w:t xml:space="preserve">disability inclusion </w:t>
      </w:r>
      <w:r w:rsidR="00C931A3">
        <w:t xml:space="preserve">into </w:t>
      </w:r>
      <w:r w:rsidR="00435A45">
        <w:t>the sustainable national development agenda.</w:t>
      </w:r>
      <w:r w:rsidR="00056265">
        <w:t xml:space="preserve"> </w:t>
      </w:r>
      <w:r w:rsidR="00C41BD3">
        <w:t xml:space="preserve">As the project has facilitated indefinite access to tools and resources; and information, and the Government of Kyrgyzstan has committed to resource mobilisation, and has actively aligned </w:t>
      </w:r>
      <w:r w:rsidR="00FE70AF">
        <w:t>national priorities with this process,</w:t>
      </w:r>
      <w:r w:rsidR="00C41BD3">
        <w:t xml:space="preserve"> there is scope for results </w:t>
      </w:r>
      <w:r w:rsidR="00C41BD3" w:rsidRPr="00C41BD3">
        <w:rPr>
          <w:b/>
          <w:bCs/>
        </w:rPr>
        <w:t>sustainability</w:t>
      </w:r>
      <w:r w:rsidR="00C41BD3">
        <w:t>. Given that INFF development is still being concept</w:t>
      </w:r>
      <w:r w:rsidR="00FE70AF">
        <w:t>u</w:t>
      </w:r>
      <w:r w:rsidR="00C41BD3">
        <w:t xml:space="preserve">alised, however, project </w:t>
      </w:r>
      <w:r w:rsidR="00C41BD3" w:rsidRPr="00C41BD3">
        <w:rPr>
          <w:b/>
          <w:bCs/>
        </w:rPr>
        <w:t>impact</w:t>
      </w:r>
      <w:r w:rsidR="00C41BD3">
        <w:t xml:space="preserve"> is a work in progress. </w:t>
      </w:r>
    </w:p>
    <w:p w14:paraId="4C18CDE4" w14:textId="77777777" w:rsidR="006A2043" w:rsidRPr="00B3125E" w:rsidRDefault="006A2043" w:rsidP="006A2043">
      <w:pPr>
        <w:pStyle w:val="FrontMatterH3"/>
        <w:spacing w:before="120" w:line="259" w:lineRule="auto"/>
        <w:jc w:val="both"/>
        <w:rPr>
          <w:color w:val="auto"/>
          <w:sz w:val="20"/>
          <w:szCs w:val="20"/>
        </w:rPr>
      </w:pPr>
      <w:r>
        <w:rPr>
          <w:color w:val="auto"/>
          <w:sz w:val="20"/>
          <w:szCs w:val="20"/>
        </w:rPr>
        <w:t>The Next Steps for INFF implementation</w:t>
      </w:r>
    </w:p>
    <w:p w14:paraId="44206562" w14:textId="14EBFC5A" w:rsidR="00BE7C08" w:rsidRDefault="006A2043" w:rsidP="006A2043">
      <w:pPr>
        <w:pStyle w:val="ListNumber"/>
        <w:numPr>
          <w:ilvl w:val="0"/>
          <w:numId w:val="0"/>
        </w:numPr>
      </w:pPr>
      <w:r>
        <w:t xml:space="preserve">The </w:t>
      </w:r>
      <w:r w:rsidR="00BA627E">
        <w:t xml:space="preserve">Government of Kyrgyzstan </w:t>
      </w:r>
      <w:r w:rsidR="004F1F0E">
        <w:t xml:space="preserve">has demonstrated a commitment to </w:t>
      </w:r>
      <w:r w:rsidR="00BE7C08">
        <w:t xml:space="preserve">inclusive sustainable development that puts its citizens first. </w:t>
      </w:r>
      <w:r w:rsidR="00EB5021">
        <w:t xml:space="preserve">National strategic planning has also </w:t>
      </w:r>
      <w:r w:rsidR="00B50906">
        <w:t xml:space="preserve">supported alignment with the 2030 Agenda for Sustainable Development, including the SDGs, to </w:t>
      </w:r>
      <w:r w:rsidR="000516C1">
        <w:t xml:space="preserve">inform national contributions towards SDG achievement. While there has been evidence of </w:t>
      </w:r>
      <w:r w:rsidR="00EA7CD9">
        <w:t>a targeted</w:t>
      </w:r>
      <w:r w:rsidR="000E5577">
        <w:t xml:space="preserve"> and innovative</w:t>
      </w:r>
      <w:r w:rsidR="00EA7CD9">
        <w:t xml:space="preserve"> approach to the mobilisation of development financing, this has been skewed towards the </w:t>
      </w:r>
      <w:r w:rsidR="00753F02">
        <w:t>environment pillar, with a focus on climate change</w:t>
      </w:r>
      <w:r w:rsidR="00414679">
        <w:t xml:space="preserve">. </w:t>
      </w:r>
      <w:r w:rsidR="00FE70AF">
        <w:t xml:space="preserve">The </w:t>
      </w:r>
      <w:r w:rsidR="00D648AD" w:rsidRPr="00FE70AF">
        <w:t xml:space="preserve">government has </w:t>
      </w:r>
      <w:r w:rsidR="00FE70AF" w:rsidRPr="00FE70AF">
        <w:t xml:space="preserve">indictaed, however, that it will continue to invest in </w:t>
      </w:r>
      <w:r w:rsidR="00532155" w:rsidRPr="00FE70AF">
        <w:t xml:space="preserve">PPP, </w:t>
      </w:r>
      <w:r w:rsidR="00FE70AF" w:rsidRPr="00FE70AF">
        <w:t xml:space="preserve">as well as taxation revenue. Within this context, </w:t>
      </w:r>
      <w:r w:rsidR="00532155" w:rsidRPr="00FE70AF">
        <w:t>there is scope for the diversi</w:t>
      </w:r>
      <w:r w:rsidR="004B6EE5" w:rsidRPr="00FE70AF">
        <w:t>fication of financial flows</w:t>
      </w:r>
      <w:r w:rsidR="00FE70AF" w:rsidRPr="00FE70AF">
        <w:t>. Further, as an INFF pioneering country, there is additional scope for the continued application of the</w:t>
      </w:r>
      <w:r w:rsidR="00D07CC3" w:rsidRPr="00FE70AF">
        <w:t xml:space="preserve"> INFF methodology.</w:t>
      </w:r>
    </w:p>
    <w:p w14:paraId="400B5ECA" w14:textId="77777777" w:rsidR="006A2043" w:rsidRDefault="006A2043" w:rsidP="006A2043">
      <w:pPr>
        <w:pStyle w:val="ListNumber"/>
        <w:numPr>
          <w:ilvl w:val="0"/>
          <w:numId w:val="0"/>
        </w:numPr>
      </w:pPr>
    </w:p>
    <w:p w14:paraId="74DBBA33" w14:textId="77777777" w:rsidR="006A2043" w:rsidRDefault="006A2043" w:rsidP="006A2043">
      <w:pPr>
        <w:pStyle w:val="ListNumber"/>
        <w:numPr>
          <w:ilvl w:val="0"/>
          <w:numId w:val="0"/>
        </w:numPr>
        <w:sectPr w:rsidR="006A2043" w:rsidSect="006A2043">
          <w:type w:val="continuous"/>
          <w:pgSz w:w="12240" w:h="15840" w:code="1"/>
          <w:pgMar w:top="1276" w:right="1276" w:bottom="1588" w:left="1276" w:header="720" w:footer="720" w:gutter="0"/>
          <w:cols w:num="2" w:space="720"/>
          <w:docGrid w:linePitch="360"/>
        </w:sectPr>
      </w:pPr>
    </w:p>
    <w:p w14:paraId="7D28AA32" w14:textId="77777777" w:rsidR="00C25772" w:rsidRDefault="00C25772">
      <w:r>
        <w:br w:type="page"/>
      </w:r>
    </w:p>
    <w:p w14:paraId="091BABED" w14:textId="2FEDF8FF" w:rsidR="00787AD5" w:rsidRPr="00296604" w:rsidRDefault="00BE490D" w:rsidP="00787AD5">
      <w:pPr>
        <w:pStyle w:val="FrontMatterH2"/>
      </w:pPr>
      <w:r>
        <w:lastRenderedPageBreak/>
        <w:t xml:space="preserve">Case Study 4: </w:t>
      </w:r>
      <w:r w:rsidR="00787AD5">
        <w:t>Pakis</w:t>
      </w:r>
      <w:r>
        <w:t>tan</w:t>
      </w:r>
      <w:r w:rsidR="00787AD5" w:rsidRPr="00296604">
        <w:t xml:space="preserve"> </w:t>
      </w:r>
    </w:p>
    <w:p w14:paraId="059F4C89" w14:textId="01C6BFC2" w:rsidR="00787AD5" w:rsidRPr="00B3125E" w:rsidRDefault="00787AD5" w:rsidP="00787AD5">
      <w:pPr>
        <w:pStyle w:val="FrontMatterH3"/>
        <w:spacing w:before="120" w:line="259" w:lineRule="auto"/>
        <w:jc w:val="both"/>
        <w:rPr>
          <w:color w:val="auto"/>
          <w:sz w:val="20"/>
          <w:szCs w:val="20"/>
        </w:rPr>
      </w:pPr>
      <w:r w:rsidRPr="00B3125E">
        <w:rPr>
          <w:color w:val="auto"/>
          <w:sz w:val="20"/>
          <w:szCs w:val="20"/>
        </w:rPr>
        <w:t>Introduction</w:t>
      </w:r>
    </w:p>
    <w:p w14:paraId="65927217" w14:textId="77777777" w:rsidR="0040755B" w:rsidRDefault="0040755B" w:rsidP="00586BB2">
      <w:pPr>
        <w:pStyle w:val="ListNumber"/>
        <w:numPr>
          <w:ilvl w:val="0"/>
          <w:numId w:val="0"/>
        </w:numPr>
        <w:jc w:val="left"/>
        <w:sectPr w:rsidR="0040755B" w:rsidSect="00F666A1">
          <w:type w:val="continuous"/>
          <w:pgSz w:w="12240" w:h="15840" w:code="1"/>
          <w:pgMar w:top="1276" w:right="1276" w:bottom="1588" w:left="1276" w:header="720" w:footer="720" w:gutter="0"/>
          <w:cols w:space="720"/>
          <w:docGrid w:linePitch="360"/>
        </w:sectPr>
      </w:pPr>
    </w:p>
    <w:p w14:paraId="771CC630" w14:textId="7C177926" w:rsidR="00BE0C83" w:rsidRDefault="004F1378" w:rsidP="003F284C">
      <w:pPr>
        <w:pStyle w:val="ListNumber"/>
        <w:numPr>
          <w:ilvl w:val="0"/>
          <w:numId w:val="0"/>
        </w:numPr>
      </w:pPr>
      <w:r>
        <w:t xml:space="preserve">Pakistan is a lower-middle-income </w:t>
      </w:r>
      <w:r w:rsidR="00E5436A">
        <w:t xml:space="preserve">country </w:t>
      </w:r>
      <w:r w:rsidR="00FE70AF">
        <w:t>that is located</w:t>
      </w:r>
      <w:r>
        <w:t xml:space="preserve"> in </w:t>
      </w:r>
      <w:r w:rsidR="005E7C85">
        <w:t xml:space="preserve">South Asia within </w:t>
      </w:r>
      <w:r w:rsidR="001274AB">
        <w:t>the Asia and the Paci</w:t>
      </w:r>
      <w:r w:rsidR="005E7C85">
        <w:t>fic region</w:t>
      </w:r>
      <w:r w:rsidR="002E2F6F">
        <w:t>.</w:t>
      </w:r>
      <w:r w:rsidR="007D69BB">
        <w:rPr>
          <w:rStyle w:val="FootnoteReference"/>
        </w:rPr>
        <w:footnoteReference w:id="285"/>
      </w:r>
      <w:r w:rsidR="002E2F6F">
        <w:t xml:space="preserve"> </w:t>
      </w:r>
      <w:r w:rsidR="00E65607">
        <w:t>In 201</w:t>
      </w:r>
      <w:r w:rsidR="00AA637B">
        <w:t>6</w:t>
      </w:r>
      <w:r w:rsidR="00E65607">
        <w:t>, t</w:t>
      </w:r>
      <w:r w:rsidR="00484878">
        <w:t xml:space="preserve">he Government of Pakistan </w:t>
      </w:r>
      <w:r w:rsidR="00E65607">
        <w:t xml:space="preserve">confirmed its commitment to </w:t>
      </w:r>
      <w:r w:rsidR="008F4DF1">
        <w:t xml:space="preserve">sustainable development by adopting </w:t>
      </w:r>
      <w:r w:rsidR="00E65607">
        <w:t xml:space="preserve">the </w:t>
      </w:r>
      <w:hyperlink r:id="rId205" w:history="1">
        <w:r w:rsidR="00E65607" w:rsidRPr="00C4606C">
          <w:rPr>
            <w:rStyle w:val="Hyperlink"/>
          </w:rPr>
          <w:t>2030 Agenda for Sustainable Develo</w:t>
        </w:r>
        <w:r w:rsidR="00311646" w:rsidRPr="00C4606C">
          <w:rPr>
            <w:rStyle w:val="Hyperlink"/>
          </w:rPr>
          <w:t>pment</w:t>
        </w:r>
      </w:hyperlink>
      <w:r w:rsidR="004533A5">
        <w:t xml:space="preserve">, including the </w:t>
      </w:r>
      <w:r w:rsidR="00FE70AF">
        <w:t>Sustainable Development Goals (</w:t>
      </w:r>
      <w:r w:rsidR="004533A5">
        <w:t>SDGs</w:t>
      </w:r>
      <w:r w:rsidR="00FE70AF">
        <w:t>)</w:t>
      </w:r>
      <w:r w:rsidR="00005C18">
        <w:t>,</w:t>
      </w:r>
      <w:r w:rsidR="001C6743">
        <w:t xml:space="preserve"> </w:t>
      </w:r>
      <w:r w:rsidR="008F4DF1">
        <w:t xml:space="preserve">as the national development agenda </w:t>
      </w:r>
      <w:r w:rsidR="00784DCD">
        <w:t>(</w:t>
      </w:r>
      <w:hyperlink r:id="rId206" w:history="1">
        <w:r w:rsidR="00784DCD" w:rsidRPr="00BE23F4">
          <w:rPr>
            <w:rStyle w:val="Hyperlink"/>
          </w:rPr>
          <w:t>National Resolution 19-02-16, Pakistan</w:t>
        </w:r>
      </w:hyperlink>
      <w:r w:rsidR="00784DCD">
        <w:t>)</w:t>
      </w:r>
      <w:r w:rsidR="00BE23F4">
        <w:t xml:space="preserve">. </w:t>
      </w:r>
      <w:r w:rsidR="0085704B">
        <w:t xml:space="preserve">As of </w:t>
      </w:r>
      <w:r w:rsidR="00B21C44">
        <w:t>2024</w:t>
      </w:r>
      <w:r w:rsidR="00D57A75">
        <w:t>,</w:t>
      </w:r>
      <w:r w:rsidR="00B21C44">
        <w:t xml:space="preserve"> </w:t>
      </w:r>
      <w:r w:rsidR="00B31259">
        <w:t xml:space="preserve">Pakistan </w:t>
      </w:r>
      <w:r w:rsidR="00164737">
        <w:t xml:space="preserve">is implementing </w:t>
      </w:r>
      <w:r w:rsidR="00243988">
        <w:t xml:space="preserve">the </w:t>
      </w:r>
      <w:hyperlink r:id="rId207" w:history="1">
        <w:r w:rsidR="00243988" w:rsidRPr="00165A8C">
          <w:rPr>
            <w:rStyle w:val="Hyperlink"/>
          </w:rPr>
          <w:t>5E</w:t>
        </w:r>
        <w:r w:rsidR="00165A8C" w:rsidRPr="00165A8C">
          <w:rPr>
            <w:rStyle w:val="Hyperlink"/>
          </w:rPr>
          <w:t>s</w:t>
        </w:r>
        <w:r w:rsidR="006C70F3" w:rsidRPr="00165A8C">
          <w:rPr>
            <w:rStyle w:val="Hyperlink"/>
          </w:rPr>
          <w:t xml:space="preserve"> National Economic Transformation Plan</w:t>
        </w:r>
        <w:r w:rsidR="00243988" w:rsidRPr="00165A8C">
          <w:rPr>
            <w:rStyle w:val="Hyperlink"/>
          </w:rPr>
          <w:t xml:space="preserve"> 2024-2029</w:t>
        </w:r>
      </w:hyperlink>
      <w:r w:rsidR="00853536">
        <w:t xml:space="preserve">, </w:t>
      </w:r>
      <w:r w:rsidR="009F433A">
        <w:t>comprising the 5Es Framework and the 13</w:t>
      </w:r>
      <w:r w:rsidR="009F433A" w:rsidRPr="009F433A">
        <w:rPr>
          <w:vertAlign w:val="superscript"/>
        </w:rPr>
        <w:t>th</w:t>
      </w:r>
      <w:r w:rsidR="009F433A">
        <w:t xml:space="preserve"> Five Year Plan</w:t>
      </w:r>
      <w:r w:rsidR="00853536">
        <w:t xml:space="preserve"> (</w:t>
      </w:r>
      <w:r w:rsidR="00005C18">
        <w:t>Uraan Pakistan)</w:t>
      </w:r>
      <w:r w:rsidR="00853536">
        <w:t>. The objective of Ura</w:t>
      </w:r>
      <w:r w:rsidR="00210F19">
        <w:t xml:space="preserve">an Pakistan is to facilitate economic </w:t>
      </w:r>
      <w:r w:rsidR="00165A8C">
        <w:t>rejuvenat</w:t>
      </w:r>
      <w:r w:rsidR="00210F19">
        <w:t xml:space="preserve">ion; </w:t>
      </w:r>
      <w:r w:rsidR="009A4EE1">
        <w:t xml:space="preserve">sustainable development; </w:t>
      </w:r>
      <w:r w:rsidR="00B87D21">
        <w:t>and</w:t>
      </w:r>
      <w:r w:rsidR="00447201">
        <w:t xml:space="preserve"> </w:t>
      </w:r>
      <w:r w:rsidR="009A4EE1">
        <w:t>inclusive growth</w:t>
      </w:r>
      <w:r w:rsidR="00B87D21">
        <w:t xml:space="preserve"> </w:t>
      </w:r>
      <w:r w:rsidR="00447201">
        <w:t>through five key pillars</w:t>
      </w:r>
      <w:r w:rsidR="00EE7A1B">
        <w:t xml:space="preserve">: </w:t>
      </w:r>
      <w:r w:rsidR="00BE0C83">
        <w:t xml:space="preserve">i) </w:t>
      </w:r>
      <w:r w:rsidR="00B87D21">
        <w:t xml:space="preserve">Exports; </w:t>
      </w:r>
      <w:r w:rsidR="00BE0C83">
        <w:t xml:space="preserve">ii) </w:t>
      </w:r>
      <w:r w:rsidR="00B87D21">
        <w:t xml:space="preserve">E-Pakistan; </w:t>
      </w:r>
      <w:r w:rsidR="00BE0C83">
        <w:t>iii) Environment; iv) Energy and Infrastructure; and v) Equity and Empowerment.</w:t>
      </w:r>
    </w:p>
    <w:p w14:paraId="1C8C1A9A" w14:textId="6A4518A4" w:rsidR="00D24019" w:rsidRDefault="00D24019" w:rsidP="003F284C">
      <w:pPr>
        <w:pStyle w:val="ListNumber"/>
        <w:numPr>
          <w:ilvl w:val="0"/>
          <w:numId w:val="0"/>
        </w:numPr>
      </w:pPr>
      <w:r>
        <w:t xml:space="preserve">Significantly, Strategic Pillar 5: Equity and Empowerment is anchored in the </w:t>
      </w:r>
      <w:hyperlink r:id="rId208" w:history="1">
        <w:r w:rsidR="00FC0CB2" w:rsidRPr="00FC0CB2">
          <w:rPr>
            <w:rStyle w:val="Hyperlink"/>
          </w:rPr>
          <w:t>Leave No One Behind (LNOB) principle</w:t>
        </w:r>
      </w:hyperlink>
      <w:r>
        <w:t xml:space="preserve"> of the </w:t>
      </w:r>
      <w:r w:rsidRPr="00BB3956">
        <w:t>2030 Agenda for Sustainable Development</w:t>
      </w:r>
      <w:r>
        <w:t xml:space="preserve">. </w:t>
      </w:r>
      <w:r w:rsidR="006D2AD6">
        <w:t>The government has launched several initiatives at the national and provincial levels to improve the quality of life of persons in vulnerable groups, including but not limited to, children; women; the elderly; and disabled persons.</w:t>
      </w:r>
      <w:r w:rsidR="006D2AD6" w:rsidRPr="006D2AD6">
        <w:rPr>
          <w:rStyle w:val="FootnoteReference"/>
        </w:rPr>
        <w:t xml:space="preserve"> </w:t>
      </w:r>
      <w:r w:rsidR="006D2AD6">
        <w:rPr>
          <w:rStyle w:val="FootnoteReference"/>
        </w:rPr>
        <w:footnoteReference w:id="286"/>
      </w:r>
      <w:r w:rsidR="006D2AD6">
        <w:t xml:space="preserve"> These initiatives are supported by legislation.</w:t>
      </w:r>
    </w:p>
    <w:p w14:paraId="566CA6C1" w14:textId="00765B5C" w:rsidR="007901D5" w:rsidRPr="00B3125E" w:rsidRDefault="00B717DF" w:rsidP="007901D5">
      <w:pPr>
        <w:pStyle w:val="FrontMatterH3"/>
        <w:spacing w:before="120" w:line="259" w:lineRule="auto"/>
        <w:jc w:val="both"/>
        <w:rPr>
          <w:color w:val="auto"/>
          <w:sz w:val="20"/>
          <w:szCs w:val="20"/>
        </w:rPr>
      </w:pPr>
      <w:r>
        <w:rPr>
          <w:color w:val="auto"/>
          <w:sz w:val="20"/>
          <w:szCs w:val="20"/>
        </w:rPr>
        <w:t xml:space="preserve">Development Financing in </w:t>
      </w:r>
      <w:r w:rsidR="004B2619">
        <w:rPr>
          <w:color w:val="auto"/>
          <w:sz w:val="20"/>
          <w:szCs w:val="20"/>
        </w:rPr>
        <w:t>P</w:t>
      </w:r>
      <w:r>
        <w:rPr>
          <w:color w:val="auto"/>
          <w:sz w:val="20"/>
          <w:szCs w:val="20"/>
        </w:rPr>
        <w:t>akistan</w:t>
      </w:r>
    </w:p>
    <w:p w14:paraId="11AE4BE4" w14:textId="478E0DCF" w:rsidR="005677E5" w:rsidRDefault="0076220B" w:rsidP="006D2CD0">
      <w:pPr>
        <w:pStyle w:val="ListNumber"/>
        <w:numPr>
          <w:ilvl w:val="0"/>
          <w:numId w:val="0"/>
        </w:numPr>
      </w:pPr>
      <w:r>
        <w:t>Uraan Pakistan has established that Pakistan faces several challenges to its goal of transformative economic and social growth. These challenges include, inter alia, economic growth that is insufficient to meet the needs of the citizenry in relation to essential social services.</w:t>
      </w:r>
      <w:r>
        <w:rPr>
          <w:rStyle w:val="FootnoteReference"/>
        </w:rPr>
        <w:footnoteReference w:id="287"/>
      </w:r>
      <w:r w:rsidR="005677E5">
        <w:t xml:space="preserve"> The Government of Pakistan has acknowledged that public financing has been inadequate to support the provision of critical needs and services to a growing population. In response to this c</w:t>
      </w:r>
      <w:r w:rsidR="00383B2F">
        <w:t>hallenge</w:t>
      </w:r>
      <w:r w:rsidR="005677E5">
        <w:t xml:space="preserve">, the government has advocated holistic and integrated </w:t>
      </w:r>
      <w:r w:rsidR="005677E5">
        <w:t xml:space="preserve">planning for </w:t>
      </w:r>
      <w:r w:rsidR="0080409C">
        <w:t>sustainable economic growth and development.</w:t>
      </w:r>
      <w:r w:rsidR="0080409C">
        <w:rPr>
          <w:rStyle w:val="FootnoteReference"/>
        </w:rPr>
        <w:footnoteReference w:id="288"/>
      </w:r>
    </w:p>
    <w:p w14:paraId="3B26FC65" w14:textId="77777777" w:rsidR="00714206" w:rsidRDefault="0080409C" w:rsidP="006D2CD0">
      <w:pPr>
        <w:pStyle w:val="ListNumber"/>
        <w:numPr>
          <w:ilvl w:val="0"/>
          <w:numId w:val="0"/>
        </w:numPr>
      </w:pPr>
      <w:r>
        <w:t xml:space="preserve">The </w:t>
      </w:r>
      <w:hyperlink r:id="rId209" w:history="1">
        <w:r w:rsidRPr="00045D91">
          <w:rPr>
            <w:rStyle w:val="Hyperlink"/>
          </w:rPr>
          <w:t>2022 Pakistan Voluntary National Review</w:t>
        </w:r>
      </w:hyperlink>
      <w:r>
        <w:t xml:space="preserve"> (</w:t>
      </w:r>
      <w:r w:rsidRPr="00045D91">
        <w:t>VNR</w:t>
      </w:r>
      <w:r>
        <w:t xml:space="preserve">) has affirmed that national contributions towards the SDGs is reliant on ‘ambitious funding.’ Financial flows from domestic resource mobilisation and private sector financing, in combination with overseas development assistance, are identified as </w:t>
      </w:r>
      <w:r w:rsidR="005870BE">
        <w:t>important sources of government revenue. There is a gap, however, in required development financing.</w:t>
      </w:r>
      <w:r w:rsidR="00705616">
        <w:rPr>
          <w:rStyle w:val="FootnoteReference"/>
        </w:rPr>
        <w:footnoteReference w:id="289"/>
      </w:r>
      <w:r w:rsidR="005870BE">
        <w:t xml:space="preserve"> </w:t>
      </w:r>
    </w:p>
    <w:p w14:paraId="4A16AC85" w14:textId="72A55C30" w:rsidR="00F81040" w:rsidRDefault="00D24019" w:rsidP="006D2CD0">
      <w:pPr>
        <w:pStyle w:val="ListNumber"/>
        <w:numPr>
          <w:ilvl w:val="0"/>
          <w:numId w:val="0"/>
        </w:numPr>
      </w:pPr>
      <w:r>
        <w:t xml:space="preserve">To address the shortfall in national finance, </w:t>
      </w:r>
      <w:r w:rsidR="005870BE">
        <w:t>the Government of Pakistan established a National Economic Transformation Unit (NETU), within the Ministry of Planning, Development and Special Initiative</w:t>
      </w:r>
      <w:r w:rsidR="00A05D1C">
        <w:t>s</w:t>
      </w:r>
      <w:r w:rsidR="005870BE">
        <w:t xml:space="preserve">, to spearhead economic transformation. </w:t>
      </w:r>
      <w:r w:rsidR="00705616">
        <w:t>This process has involved facilitating national economic drivers in alignment with the 5Es Framework.</w:t>
      </w:r>
      <w:r w:rsidR="00705616" w:rsidRPr="00705616">
        <w:rPr>
          <w:rStyle w:val="FootnoteReference"/>
        </w:rPr>
        <w:t xml:space="preserve"> </w:t>
      </w:r>
      <w:r w:rsidR="00705616">
        <w:rPr>
          <w:rStyle w:val="FootnoteReference"/>
        </w:rPr>
        <w:footnoteReference w:id="290"/>
      </w:r>
      <w:r w:rsidR="00705616">
        <w:t xml:space="preserve"> The government has also identified several potential sources of development financing to support the national goal of sustainable economic transformation and social gro</w:t>
      </w:r>
      <w:r w:rsidR="005A2C0A">
        <w:t>wth</w:t>
      </w:r>
      <w:r w:rsidR="00705616">
        <w:t>. The</w:t>
      </w:r>
      <w:r w:rsidR="00F81040">
        <w:t>y are st</w:t>
      </w:r>
      <w:r w:rsidR="006D2AD6">
        <w:t>r</w:t>
      </w:r>
      <w:r w:rsidR="00F81040">
        <w:t>uctured around Strategic Pillar</w:t>
      </w:r>
      <w:r>
        <w:t xml:space="preserve"> 1</w:t>
      </w:r>
      <w:r w:rsidR="00F81040">
        <w:t>: Exports, and involve:</w:t>
      </w:r>
    </w:p>
    <w:p w14:paraId="55589ABA" w14:textId="33B3B064" w:rsidR="00F81040" w:rsidRDefault="00855B37" w:rsidP="00DD2DDC">
      <w:pPr>
        <w:pStyle w:val="ListNumber"/>
        <w:numPr>
          <w:ilvl w:val="0"/>
          <w:numId w:val="123"/>
        </w:numPr>
      </w:pPr>
      <w:r>
        <w:t xml:space="preserve">Implementing macroeconomic </w:t>
      </w:r>
      <w:r w:rsidR="00714206">
        <w:t>reforms, mobilising resources and promoting public financial management for an export-led growth economy;</w:t>
      </w:r>
    </w:p>
    <w:p w14:paraId="1A438B1E" w14:textId="5FBF36BD" w:rsidR="00714206" w:rsidRDefault="00714206" w:rsidP="00DD2DDC">
      <w:pPr>
        <w:pStyle w:val="ListNumber"/>
        <w:numPr>
          <w:ilvl w:val="0"/>
          <w:numId w:val="123"/>
        </w:numPr>
      </w:pPr>
      <w:r>
        <w:t>Augmenting productivity, quality and innovation for global competitiveness;</w:t>
      </w:r>
    </w:p>
    <w:p w14:paraId="3B37241F" w14:textId="37836D69" w:rsidR="00714206" w:rsidRDefault="00714206" w:rsidP="00DD2DDC">
      <w:pPr>
        <w:pStyle w:val="ListNumber"/>
        <w:numPr>
          <w:ilvl w:val="0"/>
          <w:numId w:val="123"/>
        </w:numPr>
      </w:pPr>
      <w:r>
        <w:t>Improving the investment climate;</w:t>
      </w:r>
    </w:p>
    <w:p w14:paraId="24EBD93F" w14:textId="7137C1F7" w:rsidR="00714206" w:rsidRDefault="00714206" w:rsidP="00DD2DDC">
      <w:pPr>
        <w:pStyle w:val="ListNumber"/>
        <w:numPr>
          <w:ilvl w:val="0"/>
          <w:numId w:val="123"/>
        </w:numPr>
      </w:pPr>
      <w:r>
        <w:t>Expanding and diversifying product mix and market access;</w:t>
      </w:r>
    </w:p>
    <w:p w14:paraId="1964A5E5" w14:textId="5393745A" w:rsidR="00714206" w:rsidRDefault="00714206" w:rsidP="00DD2DDC">
      <w:pPr>
        <w:pStyle w:val="ListNumber"/>
        <w:numPr>
          <w:ilvl w:val="0"/>
          <w:numId w:val="123"/>
        </w:numPr>
      </w:pPr>
      <w:r>
        <w:t>Promoting small and medium enterprises, entrepreneurship and specialisation; and</w:t>
      </w:r>
    </w:p>
    <w:p w14:paraId="118B1A87" w14:textId="4FD0731B" w:rsidR="00714206" w:rsidRDefault="00714206" w:rsidP="00DD2DDC">
      <w:pPr>
        <w:pStyle w:val="ListNumber"/>
        <w:numPr>
          <w:ilvl w:val="0"/>
          <w:numId w:val="123"/>
        </w:numPr>
      </w:pPr>
      <w:r>
        <w:t>Enhancing Pakistan’s national brand.</w:t>
      </w:r>
      <w:r>
        <w:rPr>
          <w:rStyle w:val="FootnoteReference"/>
        </w:rPr>
        <w:footnoteReference w:id="291"/>
      </w:r>
    </w:p>
    <w:p w14:paraId="127CCCCC" w14:textId="59D9A002" w:rsidR="00F81040" w:rsidRDefault="001A2AE5" w:rsidP="006D2CD0">
      <w:pPr>
        <w:pStyle w:val="ListNumber"/>
        <w:numPr>
          <w:ilvl w:val="0"/>
          <w:numId w:val="0"/>
        </w:numPr>
      </w:pPr>
      <w:r>
        <w:lastRenderedPageBreak/>
        <w:t>Pillar 4: Energy and Infrastructure also advocates innovative financing for infrastructure projects, including, public-private partnerships (PPP); private sector investments; and the establishment of a Fund to support and finance infrastructure projects.</w:t>
      </w:r>
    </w:p>
    <w:p w14:paraId="227FD111" w14:textId="148D0A09" w:rsidR="00986882" w:rsidRPr="00B3125E" w:rsidRDefault="00B17B42" w:rsidP="00986882">
      <w:pPr>
        <w:pStyle w:val="FrontMatterH3"/>
        <w:spacing w:before="120" w:line="259" w:lineRule="auto"/>
        <w:jc w:val="both"/>
        <w:rPr>
          <w:color w:val="auto"/>
          <w:sz w:val="20"/>
          <w:szCs w:val="20"/>
        </w:rPr>
      </w:pPr>
      <w:r>
        <w:rPr>
          <w:color w:val="auto"/>
          <w:sz w:val="20"/>
          <w:szCs w:val="20"/>
        </w:rPr>
        <w:t>Towards INFF</w:t>
      </w:r>
    </w:p>
    <w:p w14:paraId="5A116D43" w14:textId="7A3EB3A4" w:rsidR="007041C6" w:rsidRDefault="000703D9" w:rsidP="00986882">
      <w:pPr>
        <w:pStyle w:val="ListNumber"/>
        <w:numPr>
          <w:ilvl w:val="0"/>
          <w:numId w:val="0"/>
        </w:numPr>
      </w:pPr>
      <w:r>
        <w:t xml:space="preserve">From 2021 to 2024, Pakistan </w:t>
      </w:r>
      <w:r w:rsidR="0092211F">
        <w:t xml:space="preserve">participated </w:t>
      </w:r>
      <w:r w:rsidR="00A975AE">
        <w:t xml:space="preserve">in the UNDESA </w:t>
      </w:r>
      <w:r w:rsidR="00A975AE" w:rsidRPr="009B71B7">
        <w:rPr>
          <w:i/>
          <w:iCs/>
        </w:rPr>
        <w:t>Towards I</w:t>
      </w:r>
      <w:r w:rsidR="00963DE2">
        <w:rPr>
          <w:i/>
          <w:iCs/>
        </w:rPr>
        <w:t>ntegrated National Financing (I</w:t>
      </w:r>
      <w:r w:rsidR="00A975AE" w:rsidRPr="009B71B7">
        <w:rPr>
          <w:i/>
          <w:iCs/>
        </w:rPr>
        <w:t>NFF</w:t>
      </w:r>
      <w:r w:rsidR="00963DE2">
        <w:rPr>
          <w:i/>
          <w:iCs/>
        </w:rPr>
        <w:t>)</w:t>
      </w:r>
      <w:r w:rsidR="00A975AE" w:rsidRPr="009B71B7">
        <w:rPr>
          <w:i/>
          <w:iCs/>
        </w:rPr>
        <w:t xml:space="preserve"> Project</w:t>
      </w:r>
      <w:r w:rsidR="00A975AE">
        <w:t>,</w:t>
      </w:r>
      <w:r w:rsidR="006607BA">
        <w:t xml:space="preserve"> </w:t>
      </w:r>
      <w:r w:rsidR="00A975AE">
        <w:t xml:space="preserve">the </w:t>
      </w:r>
      <w:r w:rsidR="0098046E">
        <w:t xml:space="preserve">main </w:t>
      </w:r>
      <w:r w:rsidR="009B71B7">
        <w:t xml:space="preserve">objective </w:t>
      </w:r>
      <w:r w:rsidR="00A975AE">
        <w:t xml:space="preserve">of which was </w:t>
      </w:r>
      <w:r w:rsidR="00551D62">
        <w:t xml:space="preserve">to </w:t>
      </w:r>
      <w:r w:rsidR="0098046E">
        <w:t xml:space="preserve">strengthen country capacities for mobilising and aligning </w:t>
      </w:r>
      <w:r w:rsidR="009B71B7">
        <w:t xml:space="preserve">financial </w:t>
      </w:r>
      <w:r w:rsidR="00551D62">
        <w:t xml:space="preserve">flows </w:t>
      </w:r>
      <w:r w:rsidR="0098046E">
        <w:t xml:space="preserve">with national </w:t>
      </w:r>
      <w:r w:rsidR="00551D62">
        <w:t xml:space="preserve">sustainable </w:t>
      </w:r>
      <w:r w:rsidR="0098046E">
        <w:t xml:space="preserve">development priorities. There </w:t>
      </w:r>
      <w:r w:rsidR="003A49DD">
        <w:t>was a</w:t>
      </w:r>
      <w:r w:rsidR="0098046E">
        <w:t xml:space="preserve"> specific focus on facilitating the INFF methodology</w:t>
      </w:r>
      <w:r w:rsidR="003A49DD">
        <w:t>.</w:t>
      </w:r>
      <w:r w:rsidR="00C44F65">
        <w:t xml:space="preserve"> As </w:t>
      </w:r>
      <w:r w:rsidR="009251F0">
        <w:t xml:space="preserve">there was an informational gap at the level of </w:t>
      </w:r>
      <w:r w:rsidR="001C51C7">
        <w:t xml:space="preserve">the Pakistani </w:t>
      </w:r>
      <w:r w:rsidR="009251F0">
        <w:t xml:space="preserve">government on the </w:t>
      </w:r>
      <w:r w:rsidR="00963DE2">
        <w:t xml:space="preserve">INFF methodology, the involvement of Pakistan in the INFF project was </w:t>
      </w:r>
      <w:r w:rsidR="00FE70AF">
        <w:t xml:space="preserve">of </w:t>
      </w:r>
      <w:r w:rsidR="00C463E3">
        <w:t xml:space="preserve">strategic relevance to </w:t>
      </w:r>
      <w:r w:rsidR="00DB120E">
        <w:t>the national sustainable development trajectory.</w:t>
      </w:r>
      <w:r w:rsidR="001A2AE5">
        <w:t xml:space="preserve"> It is significant, therefore, that the project engaged </w:t>
      </w:r>
      <w:r w:rsidR="007041C6">
        <w:t xml:space="preserve">government officials </w:t>
      </w:r>
      <w:r w:rsidR="001A2AE5">
        <w:t xml:space="preserve">from Pakistan in a </w:t>
      </w:r>
      <w:r w:rsidR="007041C6">
        <w:t xml:space="preserve">regional workshop for experience-sharing on sustainable financing and </w:t>
      </w:r>
      <w:r w:rsidR="001C51C7">
        <w:t xml:space="preserve">the </w:t>
      </w:r>
      <w:r w:rsidR="007041C6">
        <w:t>contextual implementation of the INFF tool. The workshop provided insight</w:t>
      </w:r>
      <w:r w:rsidR="001C51C7">
        <w:t>s</w:t>
      </w:r>
      <w:r w:rsidR="007041C6">
        <w:t xml:space="preserve"> on INFF development</w:t>
      </w:r>
      <w:r w:rsidR="001C51C7">
        <w:t>,</w:t>
      </w:r>
      <w:r w:rsidR="007041C6">
        <w:t xml:space="preserve"> to increase the understanding of Pakistan-based stakeholders on INFF design and implementation.</w:t>
      </w:r>
    </w:p>
    <w:p w14:paraId="5ED0ADD2" w14:textId="0F944DDE" w:rsidR="008520FA" w:rsidRDefault="00CA5DFF" w:rsidP="00986882">
      <w:pPr>
        <w:pStyle w:val="ListNumber"/>
        <w:numPr>
          <w:ilvl w:val="0"/>
          <w:numId w:val="0"/>
        </w:numPr>
      </w:pPr>
      <w:r>
        <w:t xml:space="preserve">The </w:t>
      </w:r>
      <w:r w:rsidR="00C1710F">
        <w:t>target ben</w:t>
      </w:r>
      <w:r w:rsidR="00A525E6">
        <w:t>eficiar</w:t>
      </w:r>
      <w:r w:rsidR="004161EB">
        <w:t>ies</w:t>
      </w:r>
      <w:r w:rsidR="00A525E6">
        <w:t xml:space="preserve"> of the </w:t>
      </w:r>
      <w:r w:rsidR="00434FC7" w:rsidRPr="00434FC7">
        <w:rPr>
          <w:i/>
          <w:iCs/>
        </w:rPr>
        <w:t xml:space="preserve">Towards </w:t>
      </w:r>
      <w:r w:rsidR="00A525E6" w:rsidRPr="00434FC7">
        <w:rPr>
          <w:i/>
          <w:iCs/>
        </w:rPr>
        <w:t>INFF</w:t>
      </w:r>
      <w:r w:rsidR="00434FC7" w:rsidRPr="00434FC7">
        <w:rPr>
          <w:i/>
          <w:iCs/>
        </w:rPr>
        <w:t xml:space="preserve"> P</w:t>
      </w:r>
      <w:r w:rsidR="00A525E6" w:rsidRPr="00434FC7">
        <w:rPr>
          <w:i/>
          <w:iCs/>
        </w:rPr>
        <w:t>roject</w:t>
      </w:r>
      <w:r w:rsidR="00A525E6">
        <w:t xml:space="preserve"> in Pakistan </w:t>
      </w:r>
      <w:r w:rsidR="00325431">
        <w:t xml:space="preserve">were </w:t>
      </w:r>
      <w:r w:rsidR="004161EB">
        <w:t>government officials</w:t>
      </w:r>
      <w:r w:rsidR="009701AE">
        <w:t xml:space="preserve"> and policy makers </w:t>
      </w:r>
      <w:r w:rsidR="00DC62EC">
        <w:t>at t</w:t>
      </w:r>
      <w:r w:rsidR="009701AE">
        <w:t xml:space="preserve">he </w:t>
      </w:r>
      <w:r w:rsidR="005A03B3">
        <w:t>Federal Board of Revenue (FBR) of Pakistan</w:t>
      </w:r>
      <w:r w:rsidR="00A525E6">
        <w:t xml:space="preserve">. </w:t>
      </w:r>
      <w:r w:rsidR="00A03A1E">
        <w:t xml:space="preserve">Project activities </w:t>
      </w:r>
      <w:r w:rsidR="009B3A05">
        <w:t>were in response to a</w:t>
      </w:r>
      <w:r w:rsidR="00C26430">
        <w:t xml:space="preserve"> </w:t>
      </w:r>
      <w:r w:rsidR="009B3A05">
        <w:t>request f</w:t>
      </w:r>
      <w:r w:rsidR="0039525D">
        <w:t>rom FBR</w:t>
      </w:r>
      <w:r w:rsidR="00AB27A9">
        <w:t xml:space="preserve"> Pakistan for targeted assistance to </w:t>
      </w:r>
      <w:r w:rsidR="001D0A70">
        <w:t xml:space="preserve">transform </w:t>
      </w:r>
      <w:r w:rsidR="0008572B">
        <w:t>its tax administration capacities.</w:t>
      </w:r>
      <w:r w:rsidR="009772CD">
        <w:t xml:space="preserve"> </w:t>
      </w:r>
      <w:r w:rsidR="00D12A1B">
        <w:t xml:space="preserve">Although tax administration is not </w:t>
      </w:r>
      <w:r w:rsidR="002A2C5C">
        <w:t xml:space="preserve">a component of the INFF methodology, </w:t>
      </w:r>
      <w:r w:rsidR="00F2267B">
        <w:t>t</w:t>
      </w:r>
      <w:r w:rsidR="008262BC">
        <w:t xml:space="preserve">ax revenues </w:t>
      </w:r>
      <w:r w:rsidR="002B11B2">
        <w:t xml:space="preserve">can </w:t>
      </w:r>
      <w:r w:rsidR="00C02C90">
        <w:t xml:space="preserve">be incorporated into </w:t>
      </w:r>
      <w:r w:rsidR="002B11B2">
        <w:t xml:space="preserve">a </w:t>
      </w:r>
      <w:r w:rsidR="008262BC">
        <w:t xml:space="preserve">development financing strategy </w:t>
      </w:r>
      <w:r w:rsidR="00BD3198">
        <w:t>to provide required financial r</w:t>
      </w:r>
      <w:r w:rsidR="00A269B1">
        <w:t xml:space="preserve">esources for national </w:t>
      </w:r>
      <w:r w:rsidR="00BD3198">
        <w:t xml:space="preserve">SDG </w:t>
      </w:r>
      <w:r w:rsidR="003B6E82">
        <w:t>contribution</w:t>
      </w:r>
      <w:r w:rsidR="00A269B1">
        <w:t>s.</w:t>
      </w:r>
      <w:r w:rsidR="004C57CF">
        <w:rPr>
          <w:rStyle w:val="FootnoteReference"/>
        </w:rPr>
        <w:footnoteReference w:id="292"/>
      </w:r>
      <w:r w:rsidR="00A269B1">
        <w:t xml:space="preserve"> </w:t>
      </w:r>
      <w:r w:rsidR="00B17B42">
        <w:t xml:space="preserve">As a result, </w:t>
      </w:r>
      <w:r w:rsidR="00FE70AF">
        <w:t>the United Nations Economic and Social Commission for Asi</w:t>
      </w:r>
      <w:r w:rsidR="008A1781">
        <w:t>a</w:t>
      </w:r>
      <w:r w:rsidR="00FE70AF">
        <w:t xml:space="preserve"> and the Pacific (</w:t>
      </w:r>
      <w:r w:rsidR="009772CD">
        <w:t>UNESCA</w:t>
      </w:r>
      <w:r w:rsidR="00FE70AF">
        <w:t>P)</w:t>
      </w:r>
      <w:r w:rsidR="009772CD">
        <w:t xml:space="preserve"> </w:t>
      </w:r>
      <w:r w:rsidR="00584763">
        <w:t xml:space="preserve">engaged FBR Pakistan in a series of interactive workshops </w:t>
      </w:r>
      <w:r w:rsidR="00B53157">
        <w:t>on</w:t>
      </w:r>
      <w:r w:rsidR="00066EF2">
        <w:t xml:space="preserve"> international best practices for </w:t>
      </w:r>
      <w:r w:rsidR="00B53157">
        <w:t xml:space="preserve">the advancement of </w:t>
      </w:r>
      <w:r w:rsidR="00AB27A9">
        <w:t>digital tax solutions</w:t>
      </w:r>
      <w:r w:rsidR="00B53157">
        <w:t>.</w:t>
      </w:r>
      <w:r w:rsidR="00AB27A9">
        <w:t xml:space="preserve"> </w:t>
      </w:r>
      <w:r w:rsidR="004B003B">
        <w:t>There was a specific focus on: e-invoicing; track and trace</w:t>
      </w:r>
      <w:r w:rsidR="00602694">
        <w:t xml:space="preserve"> systems; and withholding tax mechanisms</w:t>
      </w:r>
      <w:r w:rsidR="00D14EAA">
        <w:t>,</w:t>
      </w:r>
      <w:r w:rsidR="008520FA">
        <w:t xml:space="preserve"> to modernise tax administration in Pakistan</w:t>
      </w:r>
      <w:r w:rsidR="00A84C06">
        <w:t xml:space="preserve"> by improving the level of efficiency; </w:t>
      </w:r>
      <w:r w:rsidR="00A84C06">
        <w:t xml:space="preserve">enhancing the services to taxpayers; and reducing the </w:t>
      </w:r>
      <w:r w:rsidR="00204AB7">
        <w:t>incidence of tax evasion.</w:t>
      </w:r>
    </w:p>
    <w:p w14:paraId="5B099C1F" w14:textId="1E2BF1CA" w:rsidR="002876D7" w:rsidRDefault="00E9761E" w:rsidP="00986882">
      <w:pPr>
        <w:pStyle w:val="ListNumber"/>
        <w:numPr>
          <w:ilvl w:val="0"/>
          <w:numId w:val="0"/>
        </w:numPr>
      </w:pPr>
      <w:r>
        <w:t>Project stakeholder</w:t>
      </w:r>
      <w:r w:rsidR="008D113E">
        <w:t>s</w:t>
      </w:r>
      <w:r>
        <w:t xml:space="preserve"> at </w:t>
      </w:r>
      <w:r w:rsidR="00916742">
        <w:t>FBR Pakistan gained access to:</w:t>
      </w:r>
      <w:r w:rsidR="001A5E11">
        <w:t xml:space="preserve"> </w:t>
      </w:r>
    </w:p>
    <w:p w14:paraId="509B6D04" w14:textId="4CC7866B" w:rsidR="00916742" w:rsidRDefault="00143941" w:rsidP="00DD2DDC">
      <w:pPr>
        <w:pStyle w:val="ListNumber"/>
        <w:numPr>
          <w:ilvl w:val="0"/>
          <w:numId w:val="113"/>
        </w:numPr>
      </w:pPr>
      <w:r>
        <w:t>An</w:t>
      </w:r>
      <w:r w:rsidR="00CA2B91">
        <w:t xml:space="preserve"> </w:t>
      </w:r>
      <w:hyperlink r:id="rId210" w:history="1">
        <w:r w:rsidR="00177BC6" w:rsidRPr="00F7383E">
          <w:rPr>
            <w:rStyle w:val="Hyperlink"/>
            <w:rFonts w:cs="Arial"/>
          </w:rPr>
          <w:t xml:space="preserve">International </w:t>
        </w:r>
        <w:r w:rsidR="00177BC6">
          <w:rPr>
            <w:rStyle w:val="Hyperlink"/>
            <w:rFonts w:cs="Arial"/>
          </w:rPr>
          <w:t>C</w:t>
        </w:r>
        <w:r w:rsidR="00177BC6" w:rsidRPr="00F7383E">
          <w:rPr>
            <w:rStyle w:val="Hyperlink"/>
            <w:rFonts w:cs="Arial"/>
          </w:rPr>
          <w:t xml:space="preserve">onference on </w:t>
        </w:r>
        <w:r w:rsidR="00FB012F">
          <w:rPr>
            <w:rStyle w:val="Hyperlink"/>
            <w:rFonts w:cs="Arial"/>
          </w:rPr>
          <w:t>D</w:t>
        </w:r>
        <w:r w:rsidR="00177BC6" w:rsidRPr="00F7383E">
          <w:rPr>
            <w:rStyle w:val="Hyperlink"/>
            <w:rFonts w:cs="Arial"/>
          </w:rPr>
          <w:t>igitali</w:t>
        </w:r>
        <w:r w:rsidR="008D113E">
          <w:rPr>
            <w:rStyle w:val="Hyperlink"/>
            <w:rFonts w:cs="Arial"/>
          </w:rPr>
          <w:t>s</w:t>
        </w:r>
        <w:r w:rsidR="00177BC6" w:rsidRPr="00F7383E">
          <w:rPr>
            <w:rStyle w:val="Hyperlink"/>
            <w:rFonts w:cs="Arial"/>
          </w:rPr>
          <w:t xml:space="preserve">ation of </w:t>
        </w:r>
        <w:r w:rsidR="00FB012F">
          <w:rPr>
            <w:rStyle w:val="Hyperlink"/>
            <w:rFonts w:cs="Arial"/>
          </w:rPr>
          <w:t>T</w:t>
        </w:r>
        <w:r w:rsidR="00177BC6" w:rsidRPr="00F7383E">
          <w:rPr>
            <w:rStyle w:val="Hyperlink"/>
            <w:rFonts w:cs="Arial"/>
          </w:rPr>
          <w:t>axes in Pakistan</w:t>
        </w:r>
      </w:hyperlink>
      <w:r w:rsidR="00177BC6">
        <w:t xml:space="preserve"> </w:t>
      </w:r>
      <w:r>
        <w:t>(June 2023);</w:t>
      </w:r>
    </w:p>
    <w:p w14:paraId="507B36F6" w14:textId="19C17589" w:rsidR="00A87571" w:rsidRDefault="00B460AC" w:rsidP="00DD2DDC">
      <w:pPr>
        <w:pStyle w:val="ListNumber"/>
        <w:numPr>
          <w:ilvl w:val="0"/>
          <w:numId w:val="113"/>
        </w:numPr>
      </w:pPr>
      <w:r>
        <w:t xml:space="preserve">A </w:t>
      </w:r>
      <w:hyperlink r:id="rId211" w:history="1">
        <w:r w:rsidR="00A87571" w:rsidRPr="00F7383E">
          <w:rPr>
            <w:rStyle w:val="Hyperlink"/>
            <w:rFonts w:cs="Arial"/>
          </w:rPr>
          <w:t>Capacity Building Workshop on Data Analytic Tools to Enhance Tax Compliance through E-invoicing, Track and Trace Systems, E-withholding taxes, and POS Systems</w:t>
        </w:r>
      </w:hyperlink>
      <w:r w:rsidR="00A87571">
        <w:t xml:space="preserve"> </w:t>
      </w:r>
      <w:r w:rsidR="00143941">
        <w:t>(October 2023);</w:t>
      </w:r>
    </w:p>
    <w:p w14:paraId="504B3405" w14:textId="043D69D3" w:rsidR="00A87571" w:rsidRDefault="00341FEC" w:rsidP="00DD2DDC">
      <w:pPr>
        <w:pStyle w:val="ListNumber"/>
        <w:numPr>
          <w:ilvl w:val="0"/>
          <w:numId w:val="113"/>
        </w:numPr>
      </w:pPr>
      <w:r>
        <w:t xml:space="preserve">A </w:t>
      </w:r>
      <w:hyperlink r:id="rId212" w:history="1">
        <w:r w:rsidR="00C236F8" w:rsidRPr="00F7383E">
          <w:rPr>
            <w:rStyle w:val="Hyperlink"/>
            <w:rFonts w:cstheme="minorHAnsi"/>
          </w:rPr>
          <w:t>Training Workshop on Public Finance for SDGs in Pakistan: An Integrated National Financing Framework Approach</w:t>
        </w:r>
      </w:hyperlink>
      <w:r>
        <w:t xml:space="preserve"> (February 2024);</w:t>
      </w:r>
    </w:p>
    <w:p w14:paraId="4EF1D693" w14:textId="290DEFC9" w:rsidR="00A87571" w:rsidRDefault="000873FB" w:rsidP="00DD2DDC">
      <w:pPr>
        <w:pStyle w:val="ListNumber"/>
        <w:numPr>
          <w:ilvl w:val="0"/>
          <w:numId w:val="113"/>
        </w:numPr>
      </w:pPr>
      <w:r w:rsidRPr="00F7383E">
        <w:t xml:space="preserve">Guidance material </w:t>
      </w:r>
      <w:r>
        <w:t xml:space="preserve">on </w:t>
      </w:r>
      <w:hyperlink r:id="rId213" w:history="1">
        <w:r w:rsidRPr="00F7383E">
          <w:rPr>
            <w:rStyle w:val="Hyperlink"/>
            <w:rFonts w:cstheme="minorHAnsi"/>
          </w:rPr>
          <w:t>Advancing Tax Compliance through Digital Solutions: Best Practices, Tools, and Possible Strategies for Pakistan</w:t>
        </w:r>
      </w:hyperlink>
      <w:r>
        <w:t>; and</w:t>
      </w:r>
    </w:p>
    <w:p w14:paraId="5700C86F" w14:textId="14A08A34" w:rsidR="00A87571" w:rsidRDefault="000873FB" w:rsidP="00DD2DDC">
      <w:pPr>
        <w:pStyle w:val="ListNumber"/>
        <w:numPr>
          <w:ilvl w:val="0"/>
          <w:numId w:val="113"/>
        </w:numPr>
      </w:pPr>
      <w:r w:rsidRPr="00F7383E">
        <w:t xml:space="preserve">Guidance material </w:t>
      </w:r>
      <w:r w:rsidR="008C448F">
        <w:t>on INFF development</w:t>
      </w:r>
      <w:r w:rsidRPr="00F7383E">
        <w:t xml:space="preserve">: </w:t>
      </w:r>
      <w:hyperlink r:id="rId214" w:history="1">
        <w:r w:rsidRPr="00F7383E">
          <w:rPr>
            <w:rStyle w:val="Hyperlink"/>
            <w:rFonts w:cstheme="minorHAnsi"/>
          </w:rPr>
          <w:t>Towards an Integrated National Financing Framework for Pakistan</w:t>
        </w:r>
      </w:hyperlink>
      <w:r w:rsidR="008C448F">
        <w:t>.</w:t>
      </w:r>
    </w:p>
    <w:p w14:paraId="3F4C212E" w14:textId="596F942A" w:rsidR="00801582" w:rsidRDefault="00FB012F" w:rsidP="00986882">
      <w:pPr>
        <w:pStyle w:val="ListNumber"/>
        <w:numPr>
          <w:ilvl w:val="0"/>
          <w:numId w:val="0"/>
        </w:numPr>
      </w:pPr>
      <w:r>
        <w:t xml:space="preserve">The </w:t>
      </w:r>
      <w:r w:rsidR="00F5643A">
        <w:t xml:space="preserve">combination of </w:t>
      </w:r>
      <w:r w:rsidR="004D07C0">
        <w:t xml:space="preserve">interactive sessions and </w:t>
      </w:r>
      <w:r w:rsidR="005A7F49">
        <w:t>resource</w:t>
      </w:r>
      <w:r w:rsidR="004D07C0">
        <w:t xml:space="preserve">s </w:t>
      </w:r>
      <w:r w:rsidR="005A7F49">
        <w:t xml:space="preserve">provided insights and </w:t>
      </w:r>
      <w:r w:rsidR="00FB586A">
        <w:t xml:space="preserve">international </w:t>
      </w:r>
      <w:r w:rsidR="005A7F49">
        <w:t xml:space="preserve">best practices on </w:t>
      </w:r>
      <w:r w:rsidR="00FB586A">
        <w:t>digital tax solutions</w:t>
      </w:r>
      <w:r w:rsidR="005A7562">
        <w:t>, as well as context-specific recommendations that addressed the needs of FBR Pakistan.</w:t>
      </w:r>
      <w:r w:rsidR="00801582">
        <w:t xml:space="preserve"> </w:t>
      </w:r>
      <w:r w:rsidR="00A838AC">
        <w:t xml:space="preserve">As a major output of the international conference, UNESCAP </w:t>
      </w:r>
      <w:r w:rsidR="00823B3F">
        <w:t>establish</w:t>
      </w:r>
      <w:r w:rsidR="00EE5848">
        <w:t>ed</w:t>
      </w:r>
      <w:r w:rsidR="00823B3F">
        <w:t xml:space="preserve"> a global tax digitalisation knowledge</w:t>
      </w:r>
      <w:r w:rsidR="00710A09">
        <w:t xml:space="preserve"> </w:t>
      </w:r>
      <w:r w:rsidR="00823B3F">
        <w:t>base</w:t>
      </w:r>
      <w:r w:rsidR="0016776E">
        <w:t xml:space="preserve">. It </w:t>
      </w:r>
      <w:r w:rsidR="00823B3F">
        <w:t>support</w:t>
      </w:r>
      <w:r w:rsidR="006B7DEE">
        <w:t>s</w:t>
      </w:r>
      <w:r w:rsidR="00823B3F">
        <w:t xml:space="preserve"> modernis</w:t>
      </w:r>
      <w:r w:rsidR="00B05D30">
        <w:t>ed tax administration</w:t>
      </w:r>
      <w:r w:rsidR="006C7A94">
        <w:t xml:space="preserve"> for stre</w:t>
      </w:r>
      <w:r w:rsidR="00535DD3">
        <w:t>n</w:t>
      </w:r>
      <w:r w:rsidR="006C7A94">
        <w:t>gthen</w:t>
      </w:r>
      <w:r w:rsidR="00535DD3">
        <w:t>ed fiscal capacity at the country level.</w:t>
      </w:r>
      <w:r w:rsidR="008D113E">
        <w:rPr>
          <w:rStyle w:val="FootnoteReference"/>
        </w:rPr>
        <w:footnoteReference w:id="293"/>
      </w:r>
      <w:r w:rsidR="00535DD3">
        <w:t xml:space="preserve"> </w:t>
      </w:r>
    </w:p>
    <w:p w14:paraId="2E7FC81E" w14:textId="40B729B4" w:rsidR="00DD11C5" w:rsidRPr="00B3125E" w:rsidRDefault="00DD11C5" w:rsidP="00DD11C5">
      <w:pPr>
        <w:pStyle w:val="FrontMatterH3"/>
        <w:spacing w:before="120" w:line="259" w:lineRule="auto"/>
        <w:jc w:val="both"/>
        <w:rPr>
          <w:color w:val="auto"/>
          <w:sz w:val="20"/>
          <w:szCs w:val="20"/>
        </w:rPr>
      </w:pPr>
      <w:r>
        <w:rPr>
          <w:color w:val="auto"/>
          <w:sz w:val="20"/>
          <w:szCs w:val="20"/>
        </w:rPr>
        <w:t>The Next Steps for INFF implementation</w:t>
      </w:r>
    </w:p>
    <w:p w14:paraId="617CE438" w14:textId="72D2AEBB" w:rsidR="008A1781" w:rsidRDefault="00994005" w:rsidP="00CA1E45">
      <w:pPr>
        <w:pStyle w:val="ListNumber"/>
        <w:numPr>
          <w:ilvl w:val="0"/>
          <w:numId w:val="0"/>
        </w:numPr>
      </w:pPr>
      <w:r>
        <w:t xml:space="preserve">The </w:t>
      </w:r>
      <w:r w:rsidR="00CA1E45">
        <w:t xml:space="preserve">project activities in </w:t>
      </w:r>
      <w:r w:rsidR="00053080">
        <w:t xml:space="preserve">Pakistan were </w:t>
      </w:r>
      <w:r w:rsidR="0041274E">
        <w:t xml:space="preserve">responsive to the stated requirements of FBR Pakistan. </w:t>
      </w:r>
      <w:r w:rsidR="00712F5B">
        <w:t xml:space="preserve">While this has created scope for the </w:t>
      </w:r>
      <w:r w:rsidR="00552576">
        <w:t>uptake of new learning</w:t>
      </w:r>
      <w:r w:rsidR="00586381">
        <w:t>s</w:t>
      </w:r>
      <w:r w:rsidR="00552576">
        <w:t xml:space="preserve"> at the policy level, </w:t>
      </w:r>
      <w:r w:rsidR="00237F90">
        <w:t xml:space="preserve">there are challenges to </w:t>
      </w:r>
      <w:r w:rsidR="00256F83">
        <w:t>INFF implementation</w:t>
      </w:r>
      <w:r w:rsidR="0016776E">
        <w:t xml:space="preserve"> in Pakistan</w:t>
      </w:r>
      <w:r w:rsidR="00256F83">
        <w:t xml:space="preserve">. </w:t>
      </w:r>
      <w:r w:rsidR="00C203EF">
        <w:t xml:space="preserve">These challenges </w:t>
      </w:r>
      <w:r w:rsidR="00586381">
        <w:t xml:space="preserve">stem from </w:t>
      </w:r>
      <w:r w:rsidR="00C203EF">
        <w:t>the re</w:t>
      </w:r>
      <w:r w:rsidR="00D65C1F">
        <w:t xml:space="preserve">assignment of project focal points to </w:t>
      </w:r>
      <w:r w:rsidR="00290DC9">
        <w:t xml:space="preserve">new portfolios and </w:t>
      </w:r>
      <w:r w:rsidR="00C450DD">
        <w:t xml:space="preserve">a limited understanding of </w:t>
      </w:r>
      <w:r w:rsidR="008A1781">
        <w:t xml:space="preserve">the </w:t>
      </w:r>
      <w:r w:rsidR="00C450DD">
        <w:t>INFF</w:t>
      </w:r>
      <w:r w:rsidR="008A1781">
        <w:t xml:space="preserve"> methodology at the level of FBR, </w:t>
      </w:r>
      <w:r w:rsidR="00C450DD">
        <w:t xml:space="preserve">which has translated into </w:t>
      </w:r>
      <w:r w:rsidR="005C4D17">
        <w:t xml:space="preserve">limited interest in </w:t>
      </w:r>
      <w:r w:rsidR="008A1781">
        <w:t>uptake</w:t>
      </w:r>
      <w:r w:rsidR="005C4D17">
        <w:t xml:space="preserve">. </w:t>
      </w:r>
      <w:r w:rsidR="0016776E">
        <w:t>T</w:t>
      </w:r>
      <w:r w:rsidR="005C4D17">
        <w:t xml:space="preserve">his </w:t>
      </w:r>
      <w:r w:rsidR="0018001C">
        <w:lastRenderedPageBreak/>
        <w:t>climate</w:t>
      </w:r>
      <w:r w:rsidR="00EC5C13">
        <w:t xml:space="preserve"> </w:t>
      </w:r>
      <w:r w:rsidR="008A1781">
        <w:t xml:space="preserve">contradicts </w:t>
      </w:r>
      <w:r w:rsidR="00BA0E86">
        <w:t xml:space="preserve">the </w:t>
      </w:r>
      <w:r w:rsidR="008A1781">
        <w:t xml:space="preserve">strategic goals </w:t>
      </w:r>
      <w:r w:rsidR="002245D7">
        <w:t>o</w:t>
      </w:r>
      <w:r w:rsidR="001B12F5">
        <w:t>f</w:t>
      </w:r>
      <w:r w:rsidR="002245D7">
        <w:t xml:space="preserve"> </w:t>
      </w:r>
      <w:r w:rsidR="008A1781">
        <w:t>Uraan Pakistan</w:t>
      </w:r>
      <w:r w:rsidR="001B12F5">
        <w:t xml:space="preserve">. </w:t>
      </w:r>
    </w:p>
    <w:p w14:paraId="5B8E1988" w14:textId="22CED052" w:rsidR="00FE23BC" w:rsidRDefault="008A1781" w:rsidP="00CA1E45">
      <w:pPr>
        <w:pStyle w:val="ListNumber"/>
        <w:numPr>
          <w:ilvl w:val="0"/>
          <w:numId w:val="0"/>
        </w:numPr>
      </w:pPr>
      <w:r>
        <w:t>There</w:t>
      </w:r>
      <w:r w:rsidR="00A5667E">
        <w:t xml:space="preserve"> </w:t>
      </w:r>
      <w:r w:rsidR="000E3660">
        <w:t xml:space="preserve">is </w:t>
      </w:r>
      <w:r>
        <w:t xml:space="preserve">still </w:t>
      </w:r>
      <w:r w:rsidR="000E3660">
        <w:t xml:space="preserve">interest </w:t>
      </w:r>
      <w:r w:rsidR="00B45174">
        <w:t>in the modernisation of tax administration</w:t>
      </w:r>
      <w:r>
        <w:t xml:space="preserve"> at the level of FBR</w:t>
      </w:r>
      <w:r w:rsidR="00185C40">
        <w:t xml:space="preserve">. </w:t>
      </w:r>
      <w:r>
        <w:t>In terms of the uptake of the INFF methodology, however, t</w:t>
      </w:r>
      <w:r w:rsidR="00A83490">
        <w:t>he issue to be addressed</w:t>
      </w:r>
      <w:r w:rsidR="00B45174">
        <w:t xml:space="preserve"> </w:t>
      </w:r>
      <w:r w:rsidR="0088350B">
        <w:t xml:space="preserve">is whether FBR Pakistan is the </w:t>
      </w:r>
      <w:r w:rsidR="008139DE">
        <w:t xml:space="preserve">most appropriate stakeholder agency to champion the need for </w:t>
      </w:r>
      <w:r w:rsidR="00E7703D">
        <w:t xml:space="preserve">development financing, including </w:t>
      </w:r>
      <w:r w:rsidR="00D743A5">
        <w:t>INFF</w:t>
      </w:r>
      <w:r>
        <w:t xml:space="preserve"> development</w:t>
      </w:r>
      <w:r w:rsidR="00D743A5">
        <w:t>.</w:t>
      </w:r>
      <w:r w:rsidR="001E25B2">
        <w:t xml:space="preserve"> </w:t>
      </w:r>
      <w:r w:rsidR="00FE23BC">
        <w:t xml:space="preserve">As </w:t>
      </w:r>
      <w:r w:rsidR="001425A4">
        <w:t xml:space="preserve">Pakistan is challenged by a low tax to </w:t>
      </w:r>
      <w:r w:rsidR="00003C49">
        <w:t>gross domestic product ratio and low tax collection rates,</w:t>
      </w:r>
      <w:r w:rsidR="00D21CD1">
        <w:rPr>
          <w:rStyle w:val="FootnoteReference"/>
        </w:rPr>
        <w:footnoteReference w:id="294"/>
      </w:r>
      <w:r w:rsidR="00003C49">
        <w:t xml:space="preserve"> there is a role for UNESCAP, in </w:t>
      </w:r>
      <w:r w:rsidR="00CC3308">
        <w:t xml:space="preserve">collaboration with UN RCO Pakistan and UNCT to </w:t>
      </w:r>
      <w:r w:rsidR="009B624A">
        <w:t>support policy discussion</w:t>
      </w:r>
      <w:r w:rsidR="00A8438C">
        <w:t xml:space="preserve">s </w:t>
      </w:r>
      <w:r>
        <w:t>with the G</w:t>
      </w:r>
      <w:r w:rsidR="00A8438C">
        <w:t xml:space="preserve">overnment </w:t>
      </w:r>
      <w:r>
        <w:t xml:space="preserve">of Pakistan, </w:t>
      </w:r>
      <w:r w:rsidR="006E7F17">
        <w:t xml:space="preserve">to encourage national ownership </w:t>
      </w:r>
      <w:r>
        <w:t xml:space="preserve">of </w:t>
      </w:r>
      <w:r w:rsidR="00651565">
        <w:t xml:space="preserve">the INFF </w:t>
      </w:r>
      <w:r w:rsidR="00471B5A">
        <w:t xml:space="preserve">methodology. The </w:t>
      </w:r>
      <w:r w:rsidR="00DA1BED">
        <w:t xml:space="preserve">advantages </w:t>
      </w:r>
      <w:r w:rsidR="006E7F17">
        <w:t xml:space="preserve">to the </w:t>
      </w:r>
      <w:r>
        <w:t>g</w:t>
      </w:r>
      <w:r w:rsidR="006E7F17">
        <w:t xml:space="preserve">overnment include </w:t>
      </w:r>
      <w:r>
        <w:t xml:space="preserve">the </w:t>
      </w:r>
      <w:r w:rsidR="00ED2228">
        <w:t xml:space="preserve">mobilisation </w:t>
      </w:r>
      <w:r>
        <w:t xml:space="preserve">of </w:t>
      </w:r>
      <w:r w:rsidR="00ED2228">
        <w:t xml:space="preserve">sustainable </w:t>
      </w:r>
      <w:r>
        <w:t xml:space="preserve">development financing, </w:t>
      </w:r>
      <w:r w:rsidR="009C309D">
        <w:t>to support and accelerate national contributions to the SDGs.</w:t>
      </w:r>
    </w:p>
    <w:p w14:paraId="569556B2" w14:textId="77777777" w:rsidR="00FE23BC" w:rsidRDefault="00FE23BC" w:rsidP="00CA1E45">
      <w:pPr>
        <w:pStyle w:val="ListNumber"/>
        <w:numPr>
          <w:ilvl w:val="0"/>
          <w:numId w:val="0"/>
        </w:numPr>
      </w:pPr>
    </w:p>
    <w:p w14:paraId="66562F0A" w14:textId="77777777" w:rsidR="007901D5" w:rsidRDefault="007901D5" w:rsidP="00DF100C">
      <w:pPr>
        <w:pStyle w:val="ListNumber"/>
        <w:numPr>
          <w:ilvl w:val="0"/>
          <w:numId w:val="0"/>
        </w:numPr>
        <w:ind w:left="340" w:hanging="340"/>
        <w:jc w:val="left"/>
      </w:pPr>
    </w:p>
    <w:p w14:paraId="1B93DDF8" w14:textId="77777777" w:rsidR="00DF100C" w:rsidRDefault="00DF100C" w:rsidP="00DF100C">
      <w:pPr>
        <w:pStyle w:val="ListNumber"/>
        <w:numPr>
          <w:ilvl w:val="0"/>
          <w:numId w:val="0"/>
        </w:numPr>
        <w:ind w:left="567" w:hanging="340"/>
        <w:jc w:val="left"/>
      </w:pPr>
    </w:p>
    <w:p w14:paraId="3E2FD1C5" w14:textId="77777777" w:rsidR="0040755B" w:rsidRDefault="0040755B">
      <w:pPr>
        <w:sectPr w:rsidR="0040755B" w:rsidSect="0040755B">
          <w:type w:val="continuous"/>
          <w:pgSz w:w="12240" w:h="15840" w:code="1"/>
          <w:pgMar w:top="1276" w:right="1276" w:bottom="1588" w:left="1276" w:header="720" w:footer="720" w:gutter="0"/>
          <w:cols w:num="2" w:space="720"/>
          <w:docGrid w:linePitch="360"/>
        </w:sectPr>
      </w:pPr>
    </w:p>
    <w:p w14:paraId="1EA17173" w14:textId="77777777" w:rsidR="00C25772" w:rsidRDefault="00C25772">
      <w:r>
        <w:br w:type="page"/>
      </w:r>
    </w:p>
    <w:p w14:paraId="35CF5641" w14:textId="5BE4876C" w:rsidR="008A1781" w:rsidRPr="00296604" w:rsidRDefault="008A1781" w:rsidP="008A1781">
      <w:pPr>
        <w:pStyle w:val="FrontMatterH2"/>
      </w:pPr>
      <w:r>
        <w:lastRenderedPageBreak/>
        <w:t>Case Study 5: Zambia</w:t>
      </w:r>
      <w:r w:rsidRPr="00296604">
        <w:t xml:space="preserve"> </w:t>
      </w:r>
    </w:p>
    <w:p w14:paraId="6E2CC68A" w14:textId="77777777" w:rsidR="008A1781" w:rsidRPr="00B3125E" w:rsidRDefault="008A1781" w:rsidP="008A1781">
      <w:pPr>
        <w:pStyle w:val="FrontMatterH3"/>
        <w:spacing w:before="120" w:line="259" w:lineRule="auto"/>
        <w:jc w:val="both"/>
        <w:rPr>
          <w:color w:val="auto"/>
          <w:sz w:val="20"/>
          <w:szCs w:val="20"/>
        </w:rPr>
      </w:pPr>
      <w:r>
        <w:rPr>
          <w:color w:val="auto"/>
          <w:sz w:val="20"/>
          <w:szCs w:val="20"/>
        </w:rPr>
        <w:t>Country Overview</w:t>
      </w:r>
      <w:r w:rsidRPr="00B3125E">
        <w:rPr>
          <w:color w:val="auto"/>
          <w:sz w:val="20"/>
          <w:szCs w:val="20"/>
        </w:rPr>
        <w:t>:</w:t>
      </w:r>
    </w:p>
    <w:p w14:paraId="46C98E8C" w14:textId="77777777" w:rsidR="008A1781" w:rsidRDefault="008A1781" w:rsidP="008A1781">
      <w:pPr>
        <w:pStyle w:val="ListNumber"/>
        <w:numPr>
          <w:ilvl w:val="0"/>
          <w:numId w:val="0"/>
        </w:numPr>
        <w:jc w:val="left"/>
        <w:sectPr w:rsidR="008A1781" w:rsidSect="008A1781">
          <w:type w:val="continuous"/>
          <w:pgSz w:w="12240" w:h="15840" w:code="1"/>
          <w:pgMar w:top="1276" w:right="1276" w:bottom="1588" w:left="1276" w:header="720" w:footer="720" w:gutter="0"/>
          <w:cols w:space="720"/>
          <w:docGrid w:linePitch="360"/>
        </w:sectPr>
      </w:pPr>
    </w:p>
    <w:p w14:paraId="3DA773C2" w14:textId="355CD7F2" w:rsidR="00F20091" w:rsidRDefault="0055341F" w:rsidP="008A1781">
      <w:pPr>
        <w:pStyle w:val="ListNumber"/>
        <w:numPr>
          <w:ilvl w:val="0"/>
          <w:numId w:val="0"/>
        </w:numPr>
      </w:pPr>
      <w:r>
        <w:t xml:space="preserve">Zambia is a lower-middle-income country that is located in Southern Africa. </w:t>
      </w:r>
      <w:r w:rsidR="006E0DFF">
        <w:t xml:space="preserve">The Government of Zambia has established a long-term vision for sustainable national development, </w:t>
      </w:r>
      <w:hyperlink r:id="rId215" w:history="1">
        <w:r w:rsidR="006E0DFF" w:rsidRPr="00855031">
          <w:rPr>
            <w:rStyle w:val="Hyperlink"/>
          </w:rPr>
          <w:t>Vision 2030</w:t>
        </w:r>
      </w:hyperlink>
      <w:r w:rsidR="006E0DFF">
        <w:t xml:space="preserve">, which is anchored in the </w:t>
      </w:r>
      <w:hyperlink r:id="rId216" w:history="1">
        <w:r w:rsidR="009878D9" w:rsidRPr="00E0379B">
          <w:rPr>
            <w:rStyle w:val="Hyperlink"/>
          </w:rPr>
          <w:t>2030 Agenda for Sustainable Development</w:t>
        </w:r>
      </w:hyperlink>
      <w:r w:rsidR="006E0DFF">
        <w:t>, including the Sustainable Development Goals (SDGs).</w:t>
      </w:r>
      <w:r w:rsidR="001300C5">
        <w:t xml:space="preserve"> Vision 2030 </w:t>
      </w:r>
      <w:r w:rsidR="00355006">
        <w:t xml:space="preserve">aligns with the SDGs and </w:t>
      </w:r>
      <w:r w:rsidR="00F20091">
        <w:t>targets</w:t>
      </w:r>
      <w:r w:rsidR="00794B0F">
        <w:t xml:space="preserve"> a competitive, self-sustaining and </w:t>
      </w:r>
      <w:r w:rsidR="005272E5">
        <w:t>dynamic economy that is resilient to external shocks</w:t>
      </w:r>
      <w:r w:rsidR="0039797D">
        <w:t xml:space="preserve"> and free from dono</w:t>
      </w:r>
      <w:r w:rsidR="00344FDD">
        <w:t>r</w:t>
      </w:r>
      <w:r w:rsidR="0039797D">
        <w:t xml:space="preserve"> dependence</w:t>
      </w:r>
      <w:r w:rsidR="005272E5">
        <w:t>.</w:t>
      </w:r>
      <w:r w:rsidR="005272E5">
        <w:rPr>
          <w:rStyle w:val="FootnoteReference"/>
        </w:rPr>
        <w:footnoteReference w:id="295"/>
      </w:r>
      <w:r w:rsidR="00775CB1">
        <w:t xml:space="preserve"> </w:t>
      </w:r>
      <w:r w:rsidR="00010B47">
        <w:t>It</w:t>
      </w:r>
      <w:r w:rsidR="00BA1A08">
        <w:t>s vision has been to provide ‘opportunities for improving the well-being of all, embodying values of socio-economic justice.’</w:t>
      </w:r>
      <w:r w:rsidR="00BA1A08">
        <w:rPr>
          <w:rStyle w:val="FootnoteReference"/>
        </w:rPr>
        <w:footnoteReference w:id="296"/>
      </w:r>
      <w:r w:rsidR="00BA1A08">
        <w:t xml:space="preserve"> </w:t>
      </w:r>
      <w:r w:rsidR="00775CB1">
        <w:t>Th</w:t>
      </w:r>
      <w:r w:rsidR="0017080B">
        <w:t xml:space="preserve">ere has been an </w:t>
      </w:r>
      <w:r w:rsidR="00434B25">
        <w:t xml:space="preserve">equal </w:t>
      </w:r>
      <w:r w:rsidR="0017080B">
        <w:t>acknowledgement, howeve</w:t>
      </w:r>
      <w:r w:rsidR="002E7514">
        <w:t>r</w:t>
      </w:r>
      <w:r w:rsidR="00434B25">
        <w:t xml:space="preserve">, of the existence of several challenges to the Vision 2030 </w:t>
      </w:r>
      <w:r w:rsidR="00537C5C">
        <w:t>goals</w:t>
      </w:r>
      <w:r w:rsidR="002E7514">
        <w:t>. These challenges includ</w:t>
      </w:r>
      <w:r w:rsidR="00235E78">
        <w:t>e</w:t>
      </w:r>
      <w:r w:rsidR="002E7514">
        <w:t xml:space="preserve">, inter alia, </w:t>
      </w:r>
      <w:r w:rsidR="00425505">
        <w:t>maintaining a macroecono</w:t>
      </w:r>
      <w:r w:rsidR="00B04392">
        <w:t>mic environment and investment climate that attracts and retains</w:t>
      </w:r>
      <w:r w:rsidR="00235E78">
        <w:t xml:space="preserve"> high levels of foreign and domestic environment</w:t>
      </w:r>
      <w:r w:rsidR="00BC352F">
        <w:t xml:space="preserve">. </w:t>
      </w:r>
    </w:p>
    <w:p w14:paraId="064651DC" w14:textId="2CAA03B8" w:rsidR="00AB4C68" w:rsidRDefault="00AB4C68" w:rsidP="008A1781">
      <w:pPr>
        <w:pStyle w:val="ListNumber"/>
        <w:numPr>
          <w:ilvl w:val="0"/>
          <w:numId w:val="0"/>
        </w:numPr>
      </w:pPr>
      <w:r>
        <w:t xml:space="preserve">In 2022, the Government of Zambia launched the </w:t>
      </w:r>
      <w:hyperlink r:id="rId217" w:history="1">
        <w:r w:rsidRPr="00EA048C">
          <w:rPr>
            <w:rStyle w:val="Hyperlink"/>
          </w:rPr>
          <w:t>Eight National Development Plan</w:t>
        </w:r>
      </w:hyperlink>
      <w:r>
        <w:t xml:space="preserve"> (8NDP</w:t>
      </w:r>
      <w:r w:rsidR="00310D56">
        <w:t>,</w:t>
      </w:r>
      <w:r>
        <w:t xml:space="preserve"> 2022-2026) to operationalise Vision 2030 and support the ac</w:t>
      </w:r>
      <w:r w:rsidR="00310D56">
        <w:t xml:space="preserve">hievement of its milestones </w:t>
      </w:r>
      <w:r>
        <w:t>over the medium term</w:t>
      </w:r>
      <w:r w:rsidR="00310D56">
        <w:t xml:space="preserve">. 8NDP </w:t>
      </w:r>
      <w:r w:rsidR="00C428F6">
        <w:t>(</w:t>
      </w:r>
      <w:r w:rsidR="00310D56">
        <w:t>2022-2026</w:t>
      </w:r>
      <w:r w:rsidR="00C428F6">
        <w:t xml:space="preserve">) </w:t>
      </w:r>
      <w:r w:rsidR="0028699E">
        <w:t xml:space="preserve">is a strategic framework that </w:t>
      </w:r>
      <w:r w:rsidR="00A406F2">
        <w:t xml:space="preserve">has mapped out the national development priorities and the implementation strategies that will be used to </w:t>
      </w:r>
      <w:r w:rsidR="00C332E3">
        <w:t xml:space="preserve">facilitate achievement. </w:t>
      </w:r>
      <w:r w:rsidR="00BC51F2">
        <w:t xml:space="preserve">The implementation of 8NDP will be government-led </w:t>
      </w:r>
      <w:r w:rsidR="00EE61C8">
        <w:t xml:space="preserve">and will engage </w:t>
      </w:r>
      <w:r w:rsidR="00413029">
        <w:t xml:space="preserve">State and non-State actors at the national and sub-national levels. </w:t>
      </w:r>
      <w:r w:rsidR="00310D56">
        <w:t xml:space="preserve"> </w:t>
      </w:r>
    </w:p>
    <w:p w14:paraId="706027A4" w14:textId="12E566EE" w:rsidR="009878D9" w:rsidRDefault="008109B8" w:rsidP="008A1781">
      <w:pPr>
        <w:pStyle w:val="ListNumber"/>
        <w:numPr>
          <w:ilvl w:val="0"/>
          <w:numId w:val="0"/>
        </w:numPr>
      </w:pPr>
      <w:r>
        <w:t xml:space="preserve">Significantly, </w:t>
      </w:r>
      <w:r w:rsidR="00362E76">
        <w:t xml:space="preserve">the theme of 8NDP (2022-2026) is </w:t>
      </w:r>
      <w:r w:rsidR="002C6135" w:rsidRPr="0092217F">
        <w:rPr>
          <w:i/>
          <w:iCs/>
        </w:rPr>
        <w:t>Socio-economic Transformation for I</w:t>
      </w:r>
      <w:r w:rsidR="0092217F" w:rsidRPr="0092217F">
        <w:rPr>
          <w:i/>
          <w:iCs/>
        </w:rPr>
        <w:t>mproved Livelihoods</w:t>
      </w:r>
      <w:r w:rsidR="0092217F">
        <w:t xml:space="preserve">. </w:t>
      </w:r>
      <w:r w:rsidR="006D2CB2">
        <w:t xml:space="preserve">This theme </w:t>
      </w:r>
      <w:r w:rsidR="00882A32">
        <w:t xml:space="preserve">has been informed by the commitment of the Government of Zambia to </w:t>
      </w:r>
      <w:r w:rsidR="00D21CD1">
        <w:t xml:space="preserve">resolving </w:t>
      </w:r>
      <w:r w:rsidR="00882A32">
        <w:t xml:space="preserve">the </w:t>
      </w:r>
      <w:r w:rsidR="007F19EF">
        <w:t>persistent socio-economic challenges to sustainable national development</w:t>
      </w:r>
      <w:r w:rsidR="007D0243">
        <w:t xml:space="preserve">. </w:t>
      </w:r>
      <w:r w:rsidR="006D2CB2">
        <w:t xml:space="preserve">It </w:t>
      </w:r>
      <w:r w:rsidR="009E0574">
        <w:t xml:space="preserve">is </w:t>
      </w:r>
      <w:r w:rsidR="006D2CB2">
        <w:t xml:space="preserve">also </w:t>
      </w:r>
      <w:r w:rsidR="009E0574">
        <w:t xml:space="preserve">linked to </w:t>
      </w:r>
      <w:r w:rsidR="004B5324">
        <w:t>the vision of</w:t>
      </w:r>
      <w:r w:rsidR="009878D9">
        <w:t xml:space="preserve"> ‘well-being of all,’ as incorporated into </w:t>
      </w:r>
      <w:r w:rsidR="004B5324">
        <w:t>Vision 2030,</w:t>
      </w:r>
      <w:r w:rsidR="009878D9">
        <w:t xml:space="preserve"> and the </w:t>
      </w:r>
      <w:hyperlink r:id="rId218" w:history="1">
        <w:r w:rsidR="00FC0CB2" w:rsidRPr="00FC0CB2">
          <w:rPr>
            <w:rStyle w:val="Hyperlink"/>
          </w:rPr>
          <w:t>Leave No One Behind (LNOB) principle</w:t>
        </w:r>
      </w:hyperlink>
      <w:r w:rsidR="00FC0CB2">
        <w:t xml:space="preserve"> </w:t>
      </w:r>
      <w:r w:rsidR="009878D9">
        <w:t xml:space="preserve">of the </w:t>
      </w:r>
      <w:r w:rsidR="009878D9" w:rsidRPr="00352EF4">
        <w:t>2030 Agenda for Sustainable Development</w:t>
      </w:r>
      <w:r w:rsidR="009878D9">
        <w:t>.</w:t>
      </w:r>
    </w:p>
    <w:p w14:paraId="0A659936" w14:textId="393F5BC7" w:rsidR="008A1781" w:rsidRPr="00B3125E" w:rsidRDefault="008A1781" w:rsidP="008A1781">
      <w:pPr>
        <w:pStyle w:val="FrontMatterH3"/>
        <w:spacing w:before="120" w:line="259" w:lineRule="auto"/>
        <w:jc w:val="both"/>
        <w:rPr>
          <w:color w:val="auto"/>
          <w:sz w:val="20"/>
          <w:szCs w:val="20"/>
        </w:rPr>
      </w:pPr>
      <w:r>
        <w:rPr>
          <w:color w:val="auto"/>
          <w:sz w:val="20"/>
          <w:szCs w:val="20"/>
        </w:rPr>
        <w:t xml:space="preserve">Development Financing in </w:t>
      </w:r>
      <w:r w:rsidR="001300C5">
        <w:rPr>
          <w:color w:val="auto"/>
          <w:sz w:val="20"/>
          <w:szCs w:val="20"/>
        </w:rPr>
        <w:t>Zambia</w:t>
      </w:r>
    </w:p>
    <w:p w14:paraId="09C0BCFE" w14:textId="2B81A635" w:rsidR="00C03619" w:rsidRDefault="00BB3A04" w:rsidP="008A1781">
      <w:pPr>
        <w:pStyle w:val="ListNumber"/>
        <w:numPr>
          <w:ilvl w:val="0"/>
          <w:numId w:val="0"/>
        </w:numPr>
      </w:pPr>
      <w:r>
        <w:t xml:space="preserve">In support of the Vision 2030 economic growth </w:t>
      </w:r>
      <w:r w:rsidR="00293DE1">
        <w:t>objective</w:t>
      </w:r>
      <w:r w:rsidR="003B54BE">
        <w:t xml:space="preserve">, 8NDP (2022-2026) </w:t>
      </w:r>
      <w:r w:rsidR="00FF4C43">
        <w:t xml:space="preserve">provides a clear </w:t>
      </w:r>
      <w:r w:rsidR="00E15328">
        <w:t xml:space="preserve">strategy for </w:t>
      </w:r>
      <w:r w:rsidR="00945659">
        <w:t>resource mobilisation</w:t>
      </w:r>
      <w:r w:rsidR="00F319A4">
        <w:t>.</w:t>
      </w:r>
      <w:r w:rsidR="00B75DE1">
        <w:t xml:space="preserve"> The </w:t>
      </w:r>
      <w:r w:rsidR="000F0CC7">
        <w:t xml:space="preserve">proposed trajectory </w:t>
      </w:r>
      <w:r w:rsidR="001955F1">
        <w:t xml:space="preserve">comprises traditional and non-traditional sources of </w:t>
      </w:r>
      <w:r w:rsidR="00945659">
        <w:t>development financ</w:t>
      </w:r>
      <w:r w:rsidR="007B147F">
        <w:t xml:space="preserve">e, </w:t>
      </w:r>
      <w:r w:rsidR="006D2CB2">
        <w:t>including, but not limited to</w:t>
      </w:r>
      <w:r w:rsidR="007B147F">
        <w:t>:</w:t>
      </w:r>
    </w:p>
    <w:p w14:paraId="67D0CE5D" w14:textId="092161B2" w:rsidR="00F0386D" w:rsidRDefault="00F0386D" w:rsidP="00DD2DDC">
      <w:pPr>
        <w:pStyle w:val="ListNumber"/>
        <w:numPr>
          <w:ilvl w:val="0"/>
          <w:numId w:val="124"/>
        </w:numPr>
      </w:pPr>
      <w:r>
        <w:t>Traditional sources of development finance:</w:t>
      </w:r>
    </w:p>
    <w:p w14:paraId="75E12DEC" w14:textId="27D21C18" w:rsidR="00F0386D" w:rsidRDefault="003F4263" w:rsidP="00DD2DDC">
      <w:pPr>
        <w:pStyle w:val="ListNumber"/>
        <w:numPr>
          <w:ilvl w:val="1"/>
          <w:numId w:val="124"/>
        </w:numPr>
      </w:pPr>
      <w:r>
        <w:t>Domestic revenue</w:t>
      </w:r>
      <w:r w:rsidR="006D2CB2">
        <w:t>;</w:t>
      </w:r>
    </w:p>
    <w:p w14:paraId="26EE221B" w14:textId="7B95447A" w:rsidR="003F4263" w:rsidRDefault="003F4263" w:rsidP="00DD2DDC">
      <w:pPr>
        <w:pStyle w:val="ListNumber"/>
        <w:numPr>
          <w:ilvl w:val="1"/>
          <w:numId w:val="124"/>
        </w:numPr>
      </w:pPr>
      <w:r>
        <w:t>Grants</w:t>
      </w:r>
      <w:r w:rsidR="006D2CB2">
        <w:t>;</w:t>
      </w:r>
    </w:p>
    <w:p w14:paraId="2804B714" w14:textId="51339621" w:rsidR="003F4263" w:rsidRDefault="003F4263" w:rsidP="00DD2DDC">
      <w:pPr>
        <w:pStyle w:val="ListNumber"/>
        <w:numPr>
          <w:ilvl w:val="1"/>
          <w:numId w:val="124"/>
        </w:numPr>
      </w:pPr>
      <w:r>
        <w:t>Donations</w:t>
      </w:r>
      <w:r w:rsidR="006D2CB2">
        <w:t>; and</w:t>
      </w:r>
    </w:p>
    <w:p w14:paraId="001BEB66" w14:textId="431347E1" w:rsidR="003F4263" w:rsidRDefault="003F4263" w:rsidP="00DD2DDC">
      <w:pPr>
        <w:pStyle w:val="ListNumber"/>
        <w:numPr>
          <w:ilvl w:val="1"/>
          <w:numId w:val="124"/>
        </w:numPr>
      </w:pPr>
      <w:r>
        <w:t>Concessional loans</w:t>
      </w:r>
      <w:r w:rsidR="006D2CB2">
        <w:t>;</w:t>
      </w:r>
    </w:p>
    <w:p w14:paraId="3F132D5A" w14:textId="35B22697" w:rsidR="003F4263" w:rsidRDefault="003F4263" w:rsidP="00DD2DDC">
      <w:pPr>
        <w:pStyle w:val="ListNumber"/>
        <w:numPr>
          <w:ilvl w:val="0"/>
          <w:numId w:val="124"/>
        </w:numPr>
      </w:pPr>
      <w:r>
        <w:t>Non-traditional sources of development finance:</w:t>
      </w:r>
    </w:p>
    <w:p w14:paraId="4403671D" w14:textId="55B95F0D" w:rsidR="003F4263" w:rsidRDefault="003146C8" w:rsidP="00DD2DDC">
      <w:pPr>
        <w:pStyle w:val="ListNumber"/>
        <w:numPr>
          <w:ilvl w:val="1"/>
          <w:numId w:val="124"/>
        </w:numPr>
      </w:pPr>
      <w:r>
        <w:t>Public-Private-Partnerships</w:t>
      </w:r>
      <w:r w:rsidR="006D2CB2">
        <w:t>;</w:t>
      </w:r>
    </w:p>
    <w:p w14:paraId="34C09713" w14:textId="4380472B" w:rsidR="003146C8" w:rsidRDefault="003146C8" w:rsidP="00DD2DDC">
      <w:pPr>
        <w:pStyle w:val="ListNumber"/>
        <w:numPr>
          <w:ilvl w:val="1"/>
          <w:numId w:val="124"/>
        </w:numPr>
      </w:pPr>
      <w:r>
        <w:t>Impact capital</w:t>
      </w:r>
      <w:r w:rsidR="006D2CB2">
        <w:t>;</w:t>
      </w:r>
    </w:p>
    <w:p w14:paraId="30A3B79A" w14:textId="2B372778" w:rsidR="00856FC1" w:rsidRDefault="00856FC1" w:rsidP="00DD2DDC">
      <w:pPr>
        <w:pStyle w:val="ListNumber"/>
        <w:numPr>
          <w:ilvl w:val="1"/>
          <w:numId w:val="124"/>
        </w:numPr>
      </w:pPr>
      <w:r>
        <w:t>Green financing</w:t>
      </w:r>
      <w:r w:rsidR="006D2CB2">
        <w:t>;</w:t>
      </w:r>
    </w:p>
    <w:p w14:paraId="651F4190" w14:textId="7DF2012E" w:rsidR="00856FC1" w:rsidRDefault="00856FC1" w:rsidP="00DD2DDC">
      <w:pPr>
        <w:pStyle w:val="ListNumber"/>
        <w:numPr>
          <w:ilvl w:val="1"/>
          <w:numId w:val="124"/>
        </w:numPr>
      </w:pPr>
      <w:r>
        <w:t>Bonds</w:t>
      </w:r>
      <w:r w:rsidR="006D2CB2">
        <w:t>;</w:t>
      </w:r>
    </w:p>
    <w:p w14:paraId="047BB331" w14:textId="482432B4" w:rsidR="00856FC1" w:rsidRDefault="003F0584" w:rsidP="00DD2DDC">
      <w:pPr>
        <w:pStyle w:val="ListNumber"/>
        <w:numPr>
          <w:ilvl w:val="1"/>
          <w:numId w:val="124"/>
        </w:numPr>
      </w:pPr>
      <w:r>
        <w:t>Pension funds</w:t>
      </w:r>
      <w:r w:rsidR="006D2CB2">
        <w:t>;</w:t>
      </w:r>
    </w:p>
    <w:p w14:paraId="2A61DE22" w14:textId="1549C4A2" w:rsidR="003F0584" w:rsidRDefault="003F0584" w:rsidP="00DD2DDC">
      <w:pPr>
        <w:pStyle w:val="ListNumber"/>
        <w:numPr>
          <w:ilvl w:val="1"/>
          <w:numId w:val="124"/>
        </w:numPr>
      </w:pPr>
      <w:r>
        <w:t>Peer-to-Peer lending</w:t>
      </w:r>
      <w:r w:rsidR="006D2CB2">
        <w:t>; and</w:t>
      </w:r>
    </w:p>
    <w:p w14:paraId="47D4C4B6" w14:textId="4A0938D1" w:rsidR="003F0584" w:rsidRDefault="003F0584" w:rsidP="00DD2DDC">
      <w:pPr>
        <w:pStyle w:val="ListNumber"/>
        <w:numPr>
          <w:ilvl w:val="1"/>
          <w:numId w:val="124"/>
        </w:numPr>
      </w:pPr>
      <w:r>
        <w:t>Crowd inves</w:t>
      </w:r>
      <w:r w:rsidR="00261975">
        <w:t>t</w:t>
      </w:r>
      <w:r>
        <w:t>ment</w:t>
      </w:r>
      <w:r w:rsidR="006D2CB2">
        <w:t>.</w:t>
      </w:r>
      <w:r w:rsidR="00261975">
        <w:rPr>
          <w:rStyle w:val="FootnoteReference"/>
        </w:rPr>
        <w:footnoteReference w:id="297"/>
      </w:r>
    </w:p>
    <w:p w14:paraId="13222B4D" w14:textId="77777777" w:rsidR="00DB669D" w:rsidRDefault="00560EBD" w:rsidP="008A1781">
      <w:pPr>
        <w:pStyle w:val="ListNumber"/>
        <w:numPr>
          <w:ilvl w:val="0"/>
          <w:numId w:val="0"/>
        </w:numPr>
      </w:pPr>
      <w:r>
        <w:t xml:space="preserve">While it is practical </w:t>
      </w:r>
      <w:r w:rsidR="006D2CB2">
        <w:t xml:space="preserve">for the government </w:t>
      </w:r>
      <w:r>
        <w:t xml:space="preserve">to continue to </w:t>
      </w:r>
      <w:r w:rsidR="00F0159E">
        <w:t xml:space="preserve">mobilise </w:t>
      </w:r>
      <w:r w:rsidR="006D2CB2">
        <w:t>resources</w:t>
      </w:r>
      <w:r w:rsidR="00F0159E">
        <w:t xml:space="preserve"> from </w:t>
      </w:r>
      <w:r>
        <w:t xml:space="preserve">traditional </w:t>
      </w:r>
      <w:r w:rsidR="00F0159E">
        <w:t>source</w:t>
      </w:r>
      <w:r w:rsidR="006D2CB2">
        <w:t>s</w:t>
      </w:r>
      <w:r w:rsidR="00F0159E">
        <w:t xml:space="preserve"> to f</w:t>
      </w:r>
      <w:r w:rsidR="006D2CB2">
        <w:t>und</w:t>
      </w:r>
      <w:r w:rsidR="00F0159E">
        <w:t xml:space="preserve"> </w:t>
      </w:r>
      <w:r w:rsidR="00E96C53">
        <w:t>national contributions to the SDGs, it is equally important to ma</w:t>
      </w:r>
      <w:r w:rsidR="00B46504">
        <w:t xml:space="preserve">nage public spending to </w:t>
      </w:r>
      <w:r w:rsidR="003937A9">
        <w:t xml:space="preserve">minimise deficit. </w:t>
      </w:r>
      <w:r w:rsidR="0004240D">
        <w:t xml:space="preserve">8NDP (2022-2026) has advocated non-traditional sources of development financing to </w:t>
      </w:r>
      <w:r w:rsidR="003A274E">
        <w:t xml:space="preserve">capitalise on </w:t>
      </w:r>
      <w:r w:rsidR="00D43915">
        <w:t xml:space="preserve">situations of </w:t>
      </w:r>
      <w:r w:rsidR="0085255A">
        <w:t xml:space="preserve">low- or </w:t>
      </w:r>
      <w:r w:rsidR="00A27AF8">
        <w:t>no-cost implications for the</w:t>
      </w:r>
      <w:r w:rsidR="0085255A">
        <w:t xml:space="preserve"> Treasury (e.g. </w:t>
      </w:r>
      <w:r w:rsidR="00D43915" w:rsidRPr="00D43915">
        <w:rPr>
          <w:lang w:val="en-CA"/>
        </w:rPr>
        <w:t>no interest payments</w:t>
      </w:r>
      <w:r w:rsidR="00D43915">
        <w:rPr>
          <w:lang w:val="en-CA"/>
        </w:rPr>
        <w:t>; guarantee commitments</w:t>
      </w:r>
      <w:r w:rsidR="00A27AF8">
        <w:rPr>
          <w:lang w:val="en-CA"/>
        </w:rPr>
        <w:t>; etc</w:t>
      </w:r>
      <w:r w:rsidR="0085255A">
        <w:rPr>
          <w:lang w:val="en-CA"/>
        </w:rPr>
        <w:t>.).</w:t>
      </w:r>
      <w:r w:rsidR="00DB669D">
        <w:rPr>
          <w:lang w:val="en-CA"/>
        </w:rPr>
        <w:t xml:space="preserve"> </w:t>
      </w:r>
      <w:r w:rsidR="005B7C99">
        <w:t xml:space="preserve">The need for this approach was corroborated by the </w:t>
      </w:r>
      <w:hyperlink r:id="rId219" w:history="1">
        <w:r w:rsidR="003055C5" w:rsidRPr="00AC5F14">
          <w:rPr>
            <w:rStyle w:val="Hyperlink"/>
          </w:rPr>
          <w:t>2023 Development Finance Assessment for Zambia</w:t>
        </w:r>
      </w:hyperlink>
      <w:r w:rsidR="003055C5">
        <w:t xml:space="preserve">, which </w:t>
      </w:r>
      <w:r w:rsidR="00B71193">
        <w:t>identified a we</w:t>
      </w:r>
      <w:r w:rsidR="003335C8">
        <w:t xml:space="preserve">ak linkage between national budgeting and planning. </w:t>
      </w:r>
    </w:p>
    <w:p w14:paraId="328463E9" w14:textId="4B114379" w:rsidR="00F319A4" w:rsidRDefault="00DB669D" w:rsidP="008A1781">
      <w:pPr>
        <w:pStyle w:val="ListNumber"/>
        <w:numPr>
          <w:ilvl w:val="0"/>
          <w:numId w:val="0"/>
        </w:numPr>
      </w:pPr>
      <w:r>
        <w:lastRenderedPageBreak/>
        <w:t>T</w:t>
      </w:r>
      <w:r w:rsidR="00765902">
        <w:t xml:space="preserve">here </w:t>
      </w:r>
      <w:r w:rsidR="009A2632">
        <w:t xml:space="preserve">has been </w:t>
      </w:r>
      <w:r w:rsidR="00765902">
        <w:t>a gap in available fundin</w:t>
      </w:r>
      <w:r w:rsidR="009A2632">
        <w:t>g for the implementation of the national de</w:t>
      </w:r>
      <w:r w:rsidR="00F61967">
        <w:t>velopment plan. This situation was compounded by the effects of emergent shocks on the Zambian economy</w:t>
      </w:r>
      <w:r>
        <w:t xml:space="preserve"> (e.g. </w:t>
      </w:r>
      <w:r w:rsidR="00F61967">
        <w:t xml:space="preserve">the </w:t>
      </w:r>
      <w:r w:rsidR="00271E4C">
        <w:t>loss of rev</w:t>
      </w:r>
      <w:r w:rsidR="000E4A5F">
        <w:t>enue that was generated by the COVID-19 pandemic</w:t>
      </w:r>
      <w:r>
        <w:t>)</w:t>
      </w:r>
      <w:r w:rsidR="000E4A5F">
        <w:t>.</w:t>
      </w:r>
      <w:r w:rsidR="00B63957">
        <w:t xml:space="preserve"> Included among the recommendations of the 2023 DFA, therefore, was </w:t>
      </w:r>
      <w:r w:rsidR="00337CBE">
        <w:t xml:space="preserve">the need for the government to explore new and innovative sources </w:t>
      </w:r>
      <w:r w:rsidR="00DA7F82">
        <w:t>of development financing</w:t>
      </w:r>
      <w:r w:rsidR="004B3BDF">
        <w:t xml:space="preserve">, including through the application of the integrated national financing framework (INFF) methodology. The potential benefits of the INFF approach </w:t>
      </w:r>
      <w:r w:rsidR="00F748B6">
        <w:t>have include</w:t>
      </w:r>
      <w:r w:rsidR="00463C90">
        <w:t>d</w:t>
      </w:r>
      <w:r w:rsidR="00F748B6">
        <w:t xml:space="preserve"> strong institutional and policy frameworks to</w:t>
      </w:r>
      <w:r w:rsidR="00900DE7">
        <w:t xml:space="preserve"> generate fiscal </w:t>
      </w:r>
      <w:r w:rsidR="00463C90">
        <w:t>sustainability</w:t>
      </w:r>
      <w:r w:rsidR="000930DB">
        <w:t>; macroeconomic stability</w:t>
      </w:r>
      <w:r>
        <w:t>;</w:t>
      </w:r>
      <w:r w:rsidR="000930DB">
        <w:t xml:space="preserve"> and stable </w:t>
      </w:r>
      <w:r w:rsidR="003F73D0">
        <w:t>developmen</w:t>
      </w:r>
      <w:r w:rsidR="00D132C5">
        <w:t>t</w:t>
      </w:r>
      <w:r w:rsidR="003F73D0">
        <w:t xml:space="preserve"> funding</w:t>
      </w:r>
      <w:r w:rsidR="00F960C2">
        <w:t>.</w:t>
      </w:r>
      <w:r w:rsidR="004D322F">
        <w:rPr>
          <w:rStyle w:val="FootnoteReference"/>
        </w:rPr>
        <w:footnoteReference w:id="298"/>
      </w:r>
      <w:r w:rsidR="008E504E">
        <w:t xml:space="preserve"> </w:t>
      </w:r>
      <w:r w:rsidR="00F75CDB">
        <w:t>As a contribution towar</w:t>
      </w:r>
      <w:r w:rsidR="00B229A2">
        <w:t>ds the sustainable national development goals of Vision 2030 and 8NDP (2022-2026)</w:t>
      </w:r>
      <w:r w:rsidR="00F52EB6">
        <w:t xml:space="preserve">, therefore, the 2023 DFA </w:t>
      </w:r>
      <w:r w:rsidR="00B6045D">
        <w:t xml:space="preserve">for Zambia </w:t>
      </w:r>
      <w:r>
        <w:t xml:space="preserve">presents </w:t>
      </w:r>
      <w:r w:rsidR="00B6045D">
        <w:t>a detailed roadmap for INFF development.</w:t>
      </w:r>
    </w:p>
    <w:p w14:paraId="64229E66" w14:textId="77777777" w:rsidR="008A1781" w:rsidRPr="00B3125E" w:rsidRDefault="008A1781" w:rsidP="008A1781">
      <w:pPr>
        <w:pStyle w:val="FrontMatterH3"/>
        <w:spacing w:before="120" w:line="259" w:lineRule="auto"/>
        <w:jc w:val="both"/>
        <w:rPr>
          <w:color w:val="auto"/>
          <w:sz w:val="20"/>
          <w:szCs w:val="20"/>
        </w:rPr>
      </w:pPr>
      <w:r>
        <w:rPr>
          <w:color w:val="auto"/>
          <w:sz w:val="20"/>
          <w:szCs w:val="20"/>
        </w:rPr>
        <w:t>Towards INFF</w:t>
      </w:r>
    </w:p>
    <w:p w14:paraId="1F239C4D" w14:textId="372A210E" w:rsidR="008A1781" w:rsidRDefault="00462C96" w:rsidP="008A1781">
      <w:pPr>
        <w:pStyle w:val="ListNumber"/>
        <w:numPr>
          <w:ilvl w:val="0"/>
          <w:numId w:val="0"/>
        </w:numPr>
      </w:pPr>
      <w:r>
        <w:t>During 2020 – 2022</w:t>
      </w:r>
      <w:r w:rsidR="008A1781" w:rsidRPr="00D45BFB">
        <w:t xml:space="preserve">, the Government of </w:t>
      </w:r>
      <w:r w:rsidR="00716959" w:rsidRPr="00D45BFB">
        <w:t>Zambia</w:t>
      </w:r>
      <w:r w:rsidR="008A1781" w:rsidRPr="00D45BFB">
        <w:t xml:space="preserve"> participated</w:t>
      </w:r>
      <w:r w:rsidR="008A1781">
        <w:t xml:space="preserve"> in two parallel initiatives on INFF development. The objective of the UNDESA </w:t>
      </w:r>
      <w:r w:rsidR="008A1781" w:rsidRPr="002C68DD">
        <w:rPr>
          <w:i/>
          <w:iCs/>
        </w:rPr>
        <w:t>Towards INFF Project</w:t>
      </w:r>
      <w:r w:rsidR="008A1781">
        <w:rPr>
          <w:i/>
          <w:iCs/>
        </w:rPr>
        <w:t xml:space="preserve">, </w:t>
      </w:r>
      <w:r w:rsidR="008A1781" w:rsidRPr="00EA0C40">
        <w:rPr>
          <w:i/>
          <w:iCs/>
        </w:rPr>
        <w:t>2021-2024</w:t>
      </w:r>
      <w:r w:rsidR="008A1781">
        <w:rPr>
          <w:i/>
          <w:iCs/>
        </w:rPr>
        <w:t xml:space="preserve"> </w:t>
      </w:r>
      <w:r w:rsidR="008A1781">
        <w:t xml:space="preserve">was to strengthen country capacities for mobilising and aligning financing with national development priorities. There was a specific focus on facilitating the INFF methodology, as well as knowledge-exchange and peer-learning on INFF development. The aim of project implementation under the UNDP-managed </w:t>
      </w:r>
      <w:r w:rsidR="008A1781" w:rsidRPr="00C70954">
        <w:rPr>
          <w:i/>
          <w:iCs/>
        </w:rPr>
        <w:t>Joint SDG Fund Programme</w:t>
      </w:r>
      <w:r w:rsidR="008A1781">
        <w:t xml:space="preserve"> (the </w:t>
      </w:r>
      <w:r w:rsidR="008A1781" w:rsidRPr="00C0657B">
        <w:rPr>
          <w:i/>
          <w:iCs/>
        </w:rPr>
        <w:t>Joint Programme</w:t>
      </w:r>
      <w:r w:rsidR="008A1781">
        <w:t xml:space="preserve">) was to identify: i) national resources for financing the SDGs; and ii) existing gaps and challenges to INFF implementation. To further support INFF development, both initiatives </w:t>
      </w:r>
      <w:r w:rsidR="00BA0C07">
        <w:t xml:space="preserve">were also used to </w:t>
      </w:r>
      <w:r w:rsidR="008A1781">
        <w:t>identif</w:t>
      </w:r>
      <w:r w:rsidR="00BA0C07">
        <w:t>y</w:t>
      </w:r>
      <w:r w:rsidR="008A1781">
        <w:t xml:space="preserve"> innovative financial tools and mechanisms to address challenges to INFF development and establish the cost of national contributions to the SDGs. </w:t>
      </w:r>
      <w:r w:rsidR="00C84B84">
        <w:t xml:space="preserve">The United Nations Economic Commission for Africa (UNECA) was the </w:t>
      </w:r>
      <w:r w:rsidR="00511DC5">
        <w:t xml:space="preserve">executing entity for the </w:t>
      </w:r>
      <w:r w:rsidR="00511DC5" w:rsidRPr="002C68DD">
        <w:rPr>
          <w:i/>
          <w:iCs/>
        </w:rPr>
        <w:t>Towards INFF Project</w:t>
      </w:r>
      <w:r w:rsidR="00511DC5">
        <w:t xml:space="preserve"> and a technical partner for the </w:t>
      </w:r>
      <w:r w:rsidR="00045B3E" w:rsidRPr="00BA0C07">
        <w:rPr>
          <w:i/>
          <w:iCs/>
        </w:rPr>
        <w:t>Joint Programme</w:t>
      </w:r>
      <w:r w:rsidR="00045B3E">
        <w:t>.</w:t>
      </w:r>
      <w:r w:rsidR="00C84B84">
        <w:t xml:space="preserve"> </w:t>
      </w:r>
    </w:p>
    <w:p w14:paraId="6B3C9270" w14:textId="055C34A2" w:rsidR="000E4B05" w:rsidRDefault="00FE6593" w:rsidP="008A1781">
      <w:pPr>
        <w:pStyle w:val="ListNumber"/>
        <w:numPr>
          <w:ilvl w:val="0"/>
          <w:numId w:val="0"/>
        </w:numPr>
      </w:pPr>
      <w:r>
        <w:t xml:space="preserve">The </w:t>
      </w:r>
      <w:r w:rsidR="00AE6D5B">
        <w:t xml:space="preserve">implementation of the </w:t>
      </w:r>
      <w:r w:rsidRPr="002C68DD">
        <w:rPr>
          <w:i/>
          <w:iCs/>
        </w:rPr>
        <w:t>Towards INFF Project</w:t>
      </w:r>
      <w:r>
        <w:rPr>
          <w:i/>
          <w:iCs/>
        </w:rPr>
        <w:t xml:space="preserve"> </w:t>
      </w:r>
      <w:r w:rsidR="00AE6D5B">
        <w:t xml:space="preserve">in Zambia </w:t>
      </w:r>
      <w:r w:rsidR="0046364F">
        <w:t>engaged stakeholders from across sectors, including the public and private sector</w:t>
      </w:r>
      <w:r w:rsidR="009F2ED3">
        <w:t>s</w:t>
      </w:r>
      <w:r w:rsidR="0046364F">
        <w:t xml:space="preserve">; academia; and the international development cooperation </w:t>
      </w:r>
      <w:r w:rsidR="0046364F">
        <w:t xml:space="preserve">sector. </w:t>
      </w:r>
      <w:r w:rsidR="00EE1310">
        <w:t xml:space="preserve">As a result of </w:t>
      </w:r>
      <w:r w:rsidR="006D7AC4">
        <w:t>i</w:t>
      </w:r>
      <w:r w:rsidR="00EE1310">
        <w:t>ts project participation, Zambia gained access to:</w:t>
      </w:r>
    </w:p>
    <w:p w14:paraId="72D5D333" w14:textId="3B17B7E6" w:rsidR="00AC3922" w:rsidRDefault="00BF704D" w:rsidP="00DD2DDC">
      <w:pPr>
        <w:pStyle w:val="ListNumber"/>
        <w:numPr>
          <w:ilvl w:val="0"/>
          <w:numId w:val="125"/>
        </w:numPr>
      </w:pPr>
      <w:r>
        <w:t>Three national works</w:t>
      </w:r>
      <w:r w:rsidR="00CE3D39">
        <w:t xml:space="preserve">hops that </w:t>
      </w:r>
      <w:r w:rsidR="00E405CA">
        <w:t xml:space="preserve">were </w:t>
      </w:r>
      <w:r w:rsidR="00CE3D39">
        <w:t xml:space="preserve">jointly </w:t>
      </w:r>
      <w:r w:rsidR="00E405CA">
        <w:t xml:space="preserve">facilitated </w:t>
      </w:r>
      <w:r w:rsidR="00560985">
        <w:t xml:space="preserve">by UNECA and </w:t>
      </w:r>
      <w:r w:rsidR="00E405CA">
        <w:t>UN Trade and Development (UN</w:t>
      </w:r>
      <w:r w:rsidR="00754545">
        <w:t>C</w:t>
      </w:r>
      <w:r w:rsidR="00E405CA">
        <w:t>TAD)</w:t>
      </w:r>
      <w:r w:rsidR="00B011E6">
        <w:t xml:space="preserve"> </w:t>
      </w:r>
      <w:r w:rsidR="00560985">
        <w:t xml:space="preserve">on </w:t>
      </w:r>
      <w:r w:rsidR="00E405CA">
        <w:t xml:space="preserve">i) domestic resource mobilisation and illicit financial flows; ii) impact investing and corporate sustainability reporting; and iii) </w:t>
      </w:r>
      <w:r w:rsidR="00AC3922">
        <w:t>Public-Private Partnerships;</w:t>
      </w:r>
    </w:p>
    <w:p w14:paraId="6FB4FCE4" w14:textId="0D56AA72" w:rsidR="00B81211" w:rsidRDefault="00633F33" w:rsidP="00DD2DDC">
      <w:pPr>
        <w:pStyle w:val="ListNumber"/>
        <w:numPr>
          <w:ilvl w:val="0"/>
          <w:numId w:val="125"/>
        </w:numPr>
      </w:pPr>
      <w:r>
        <w:t xml:space="preserve">Three regional workshops on </w:t>
      </w:r>
      <w:r w:rsidR="00906BE6">
        <w:t xml:space="preserve">the </w:t>
      </w:r>
      <w:r w:rsidR="00E405CA">
        <w:t xml:space="preserve">INFF </w:t>
      </w:r>
      <w:r w:rsidR="00304B7C">
        <w:t xml:space="preserve">concept and methodology, to support the sharing of knowledge and experience on </w:t>
      </w:r>
      <w:r w:rsidR="00B81211">
        <w:t>INFF development;</w:t>
      </w:r>
    </w:p>
    <w:p w14:paraId="2CD08C65" w14:textId="25071ED9" w:rsidR="00B81211" w:rsidRDefault="00AE6D5B" w:rsidP="00DD2DDC">
      <w:pPr>
        <w:pStyle w:val="ListNumber"/>
        <w:numPr>
          <w:ilvl w:val="0"/>
          <w:numId w:val="125"/>
        </w:numPr>
      </w:pPr>
      <w:r>
        <w:t xml:space="preserve">A global workshop </w:t>
      </w:r>
      <w:r w:rsidR="00925A3A">
        <w:t>for knowledge</w:t>
      </w:r>
      <w:r w:rsidR="009F2ED3">
        <w:t>-</w:t>
      </w:r>
      <w:r w:rsidR="00925A3A">
        <w:t>exchange and peer-learning on INFFs, including best practices; challenges and lessons learned;</w:t>
      </w:r>
    </w:p>
    <w:p w14:paraId="347595BE" w14:textId="67B0F5FB" w:rsidR="00925A3A" w:rsidRDefault="003115A5" w:rsidP="00DD2DDC">
      <w:pPr>
        <w:pStyle w:val="ListNumber"/>
        <w:numPr>
          <w:ilvl w:val="0"/>
          <w:numId w:val="125"/>
        </w:numPr>
      </w:pPr>
      <w:r>
        <w:t xml:space="preserve">A </w:t>
      </w:r>
      <w:r w:rsidR="001719F1">
        <w:t>p</w:t>
      </w:r>
      <w:r>
        <w:t xml:space="preserve">olicy </w:t>
      </w:r>
      <w:r w:rsidR="001719F1">
        <w:t>m</w:t>
      </w:r>
      <w:r>
        <w:t xml:space="preserve">anual on </w:t>
      </w:r>
      <w:r w:rsidR="001719F1">
        <w:t>E</w:t>
      </w:r>
      <w:r w:rsidR="009524DF">
        <w:t xml:space="preserve">nhanced </w:t>
      </w:r>
      <w:r w:rsidR="001719F1">
        <w:t>D</w:t>
      </w:r>
      <w:r w:rsidR="009524DF">
        <w:t xml:space="preserve">omestic </w:t>
      </w:r>
      <w:r w:rsidR="001719F1">
        <w:t>R</w:t>
      </w:r>
      <w:r w:rsidR="009524DF">
        <w:t xml:space="preserve">esource </w:t>
      </w:r>
      <w:r w:rsidR="001719F1">
        <w:t>M</w:t>
      </w:r>
      <w:r w:rsidR="009524DF">
        <w:t xml:space="preserve">obilisation in Zambia, post-COVID-19; and </w:t>
      </w:r>
    </w:p>
    <w:p w14:paraId="5466CF07" w14:textId="3E099ABF" w:rsidR="009524DF" w:rsidRDefault="001719F1" w:rsidP="00DD2DDC">
      <w:pPr>
        <w:pStyle w:val="ListNumber"/>
        <w:numPr>
          <w:ilvl w:val="0"/>
          <w:numId w:val="125"/>
        </w:numPr>
      </w:pPr>
      <w:r>
        <w:t>A handbook on Innovative Finance for Inclusive Industrialisation and Private Sector Development in Zambia</w:t>
      </w:r>
      <w:r w:rsidR="005739BB">
        <w:t>.</w:t>
      </w:r>
      <w:r w:rsidR="005739BB">
        <w:rPr>
          <w:rStyle w:val="FootnoteReference"/>
        </w:rPr>
        <w:footnoteReference w:id="299"/>
      </w:r>
    </w:p>
    <w:p w14:paraId="57231642" w14:textId="4B288074" w:rsidR="006D7AC4" w:rsidRDefault="00FA059C" w:rsidP="008A1781">
      <w:pPr>
        <w:pStyle w:val="ListNumber"/>
        <w:numPr>
          <w:ilvl w:val="0"/>
          <w:numId w:val="0"/>
        </w:numPr>
      </w:pPr>
      <w:r>
        <w:t>The combination of workshops and resources allowed stakeholder</w:t>
      </w:r>
      <w:r w:rsidR="00BB7326">
        <w:t>s</w:t>
      </w:r>
      <w:r>
        <w:t xml:space="preserve"> in Zambia to </w:t>
      </w:r>
      <w:r w:rsidR="00776823">
        <w:t xml:space="preserve">develop built capacities </w:t>
      </w:r>
      <w:r w:rsidR="00F24B38">
        <w:t xml:space="preserve">to </w:t>
      </w:r>
      <w:r w:rsidR="00634EF7">
        <w:t xml:space="preserve">support </w:t>
      </w:r>
      <w:r w:rsidR="00D1684E">
        <w:t xml:space="preserve">resource mobilisation and systems strengthening for INFF development. </w:t>
      </w:r>
      <w:r w:rsidR="000A72C4">
        <w:t xml:space="preserve">Significantly, there </w:t>
      </w:r>
      <w:r w:rsidR="00E53C42">
        <w:t xml:space="preserve">has been </w:t>
      </w:r>
      <w:r w:rsidR="000A72C4">
        <w:t>evidence of the uptake of the INFF methodology by the Government of Zambia</w:t>
      </w:r>
      <w:r w:rsidR="00E53C42">
        <w:t xml:space="preserve">. The </w:t>
      </w:r>
      <w:r w:rsidR="003A4CA3">
        <w:t xml:space="preserve">commissioning of the </w:t>
      </w:r>
      <w:r w:rsidR="00E53C42">
        <w:t xml:space="preserve">2023 DFA </w:t>
      </w:r>
      <w:r w:rsidR="009127B5">
        <w:t xml:space="preserve">for Zambia </w:t>
      </w:r>
      <w:r w:rsidR="00F24B38">
        <w:t xml:space="preserve">by the government </w:t>
      </w:r>
      <w:r w:rsidR="00696AC1">
        <w:t xml:space="preserve">was </w:t>
      </w:r>
      <w:r w:rsidR="003A4CA3">
        <w:t xml:space="preserve">used to identify development financing options for the implementation of 8NDP (2022-2026) and the development of an INFF to guide sustainable national development. </w:t>
      </w:r>
      <w:r w:rsidR="00BE1890">
        <w:t xml:space="preserve">It was further conducted to </w:t>
      </w:r>
      <w:r w:rsidR="00E62FCD">
        <w:t xml:space="preserve">strategically </w:t>
      </w:r>
      <w:r w:rsidR="00EB60C0">
        <w:t>coordinat</w:t>
      </w:r>
      <w:r w:rsidR="00E62FCD">
        <w:t>e</w:t>
      </w:r>
      <w:r w:rsidR="00EB60C0">
        <w:t xml:space="preserve"> resource mobilisation </w:t>
      </w:r>
      <w:r w:rsidR="00E62FCD">
        <w:t xml:space="preserve">to allow Zambia to fulfil it </w:t>
      </w:r>
      <w:r w:rsidR="006D7AC4">
        <w:t>sustainable development commitments at the international and regional levels.</w:t>
      </w:r>
    </w:p>
    <w:p w14:paraId="4DB703C6" w14:textId="7E76A493" w:rsidR="008A1781" w:rsidRPr="003A4F5D" w:rsidRDefault="008A1781" w:rsidP="008A1781">
      <w:pPr>
        <w:pStyle w:val="ListNumber"/>
        <w:numPr>
          <w:ilvl w:val="0"/>
          <w:numId w:val="0"/>
        </w:numPr>
      </w:pPr>
      <w:r>
        <w:t xml:space="preserve">The assessment of the involvement of </w:t>
      </w:r>
      <w:r w:rsidR="006D7AC4">
        <w:t xml:space="preserve">Zambia </w:t>
      </w:r>
      <w:r>
        <w:t xml:space="preserve">in the </w:t>
      </w:r>
      <w:r w:rsidRPr="002C68DD">
        <w:rPr>
          <w:i/>
          <w:iCs/>
        </w:rPr>
        <w:t>Towards INFF Project</w:t>
      </w:r>
      <w:r>
        <w:rPr>
          <w:i/>
          <w:iCs/>
        </w:rPr>
        <w:t xml:space="preserve"> </w:t>
      </w:r>
      <w:r>
        <w:t xml:space="preserve">has highlighted the </w:t>
      </w:r>
      <w:r w:rsidRPr="00E25B69">
        <w:rPr>
          <w:b/>
          <w:bCs/>
        </w:rPr>
        <w:t>relevance</w:t>
      </w:r>
      <w:r>
        <w:t xml:space="preserve"> of the project to </w:t>
      </w:r>
      <w:r w:rsidR="00091295">
        <w:t xml:space="preserve">the </w:t>
      </w:r>
      <w:r>
        <w:t xml:space="preserve">national vision </w:t>
      </w:r>
      <w:r w:rsidR="006D7AC4">
        <w:t xml:space="preserve">and strategic plan </w:t>
      </w:r>
      <w:r>
        <w:t xml:space="preserve">for sustainable development. </w:t>
      </w:r>
      <w:r w:rsidR="006D7AC4">
        <w:t xml:space="preserve">A </w:t>
      </w:r>
      <w:r w:rsidR="006D7AC4" w:rsidRPr="004A5ACE">
        <w:rPr>
          <w:b/>
          <w:bCs/>
        </w:rPr>
        <w:t>coherent</w:t>
      </w:r>
      <w:r w:rsidR="006D7AC4">
        <w:t xml:space="preserve"> link between </w:t>
      </w:r>
      <w:r>
        <w:t xml:space="preserve">project activities and the </w:t>
      </w:r>
      <w:r w:rsidR="00ED18B2">
        <w:t xml:space="preserve">commitment of the government to </w:t>
      </w:r>
      <w:r w:rsidR="0070738D">
        <w:t xml:space="preserve">fiscal stability </w:t>
      </w:r>
      <w:r w:rsidR="00091295">
        <w:t xml:space="preserve">based on </w:t>
      </w:r>
      <w:r w:rsidR="0070738D">
        <w:lastRenderedPageBreak/>
        <w:t xml:space="preserve">innovative </w:t>
      </w:r>
      <w:r w:rsidR="0023362D">
        <w:t>resource mobilisation and diversification</w:t>
      </w:r>
      <w:r w:rsidR="00091295">
        <w:t>,</w:t>
      </w:r>
      <w:r w:rsidR="0023362D">
        <w:t xml:space="preserve"> </w:t>
      </w:r>
      <w:r w:rsidR="0070738D">
        <w:t>has been visible.</w:t>
      </w:r>
      <w:r w:rsidR="00530E90">
        <w:t xml:space="preserve"> </w:t>
      </w:r>
      <w:r w:rsidRPr="003560CA">
        <w:t>The uptake of the INFF methodology</w:t>
      </w:r>
      <w:r w:rsidR="00D02CCC">
        <w:t xml:space="preserve"> </w:t>
      </w:r>
      <w:r w:rsidR="00091295">
        <w:t>has</w:t>
      </w:r>
      <w:r w:rsidR="00D02CCC">
        <w:t xml:space="preserve"> </w:t>
      </w:r>
      <w:r w:rsidR="00530E90">
        <w:t xml:space="preserve">provided evidence of the </w:t>
      </w:r>
      <w:r w:rsidRPr="003560CA">
        <w:rPr>
          <w:b/>
          <w:bCs/>
        </w:rPr>
        <w:t xml:space="preserve">effectiveness </w:t>
      </w:r>
      <w:r w:rsidR="00530E90" w:rsidRPr="00530E90">
        <w:t>of the project</w:t>
      </w:r>
      <w:r w:rsidR="00530E90">
        <w:rPr>
          <w:b/>
          <w:bCs/>
        </w:rPr>
        <w:t xml:space="preserve"> </w:t>
      </w:r>
      <w:r w:rsidRPr="003560CA">
        <w:t>in contributing towards built capacities in the INFF methodology</w:t>
      </w:r>
      <w:r>
        <w:t xml:space="preserve">. </w:t>
      </w:r>
      <w:r w:rsidR="00D6357C">
        <w:t>Relatedly, the facilitation of the 2023 DFA for Zambia, including the establishment of a roadmap for INFF develop</w:t>
      </w:r>
      <w:r w:rsidR="00091295">
        <w:t>ment,</w:t>
      </w:r>
      <w:r w:rsidR="00D6357C">
        <w:t xml:space="preserve"> </w:t>
      </w:r>
      <w:r w:rsidR="00F1331B">
        <w:t xml:space="preserve">is indicative of </w:t>
      </w:r>
      <w:r w:rsidR="00D6357C">
        <w:t>project</w:t>
      </w:r>
      <w:r w:rsidRPr="003560CA">
        <w:t xml:space="preserve"> </w:t>
      </w:r>
      <w:r w:rsidRPr="003560CA">
        <w:rPr>
          <w:b/>
          <w:bCs/>
        </w:rPr>
        <w:t>impact</w:t>
      </w:r>
      <w:r w:rsidR="000D6D31">
        <w:t xml:space="preserve">. </w:t>
      </w:r>
      <w:r w:rsidR="00091295">
        <w:t xml:space="preserve">As the Government of Zambia </w:t>
      </w:r>
      <w:r w:rsidR="00EA0EBF">
        <w:t xml:space="preserve">has adopted </w:t>
      </w:r>
      <w:r w:rsidR="008F1296">
        <w:t>a</w:t>
      </w:r>
      <w:r w:rsidR="00AD7D8B">
        <w:t xml:space="preserve">n inclusive and participatory approach </w:t>
      </w:r>
      <w:r w:rsidR="00EA0EBF">
        <w:t xml:space="preserve">to development </w:t>
      </w:r>
      <w:r w:rsidR="00F42541">
        <w:t xml:space="preserve">that takes into account the well-being and contribution of all citizens, including vulnerable social </w:t>
      </w:r>
      <w:r w:rsidR="004C685B">
        <w:t xml:space="preserve">groups, there </w:t>
      </w:r>
      <w:r w:rsidR="00641C61">
        <w:t xml:space="preserve">is evidence </w:t>
      </w:r>
      <w:r w:rsidR="004C685B">
        <w:t>of</w:t>
      </w:r>
      <w:r w:rsidR="00091295">
        <w:t xml:space="preserve"> t</w:t>
      </w:r>
      <w:r>
        <w:t xml:space="preserve">he integration of considerations for </w:t>
      </w:r>
      <w:r w:rsidRPr="00AB67D8">
        <w:rPr>
          <w:b/>
          <w:bCs/>
        </w:rPr>
        <w:t>gender equality</w:t>
      </w:r>
      <w:r>
        <w:t xml:space="preserve">; </w:t>
      </w:r>
      <w:r w:rsidRPr="00AB67D8">
        <w:rPr>
          <w:b/>
          <w:bCs/>
        </w:rPr>
        <w:t>human rights</w:t>
      </w:r>
      <w:r>
        <w:t xml:space="preserve">; and </w:t>
      </w:r>
      <w:r w:rsidRPr="00AB67D8">
        <w:rPr>
          <w:b/>
          <w:bCs/>
        </w:rPr>
        <w:t>disability inclusion</w:t>
      </w:r>
      <w:r>
        <w:rPr>
          <w:b/>
          <w:bCs/>
        </w:rPr>
        <w:t xml:space="preserve"> </w:t>
      </w:r>
      <w:r w:rsidRPr="005B4B7B">
        <w:t>into</w:t>
      </w:r>
      <w:r w:rsidR="004C685B">
        <w:t xml:space="preserve"> the su</w:t>
      </w:r>
      <w:r w:rsidR="00831F83">
        <w:t>stainable national development process.</w:t>
      </w:r>
      <w:r w:rsidR="00694A78">
        <w:t xml:space="preserve"> The establishment of a roadmap for INFF development, supported by a </w:t>
      </w:r>
      <w:r w:rsidR="001C1C25">
        <w:t xml:space="preserve">systematic and transparent approach to progress monitoring </w:t>
      </w:r>
      <w:r w:rsidR="000062DD">
        <w:t xml:space="preserve">has </w:t>
      </w:r>
      <w:r w:rsidR="00641C61">
        <w:t xml:space="preserve">also </w:t>
      </w:r>
      <w:r>
        <w:t>signifie</w:t>
      </w:r>
      <w:r w:rsidR="000062DD">
        <w:t>d</w:t>
      </w:r>
      <w:r>
        <w:t xml:space="preserve"> an investment in </w:t>
      </w:r>
      <w:r w:rsidRPr="00836A0B">
        <w:rPr>
          <w:b/>
          <w:bCs/>
        </w:rPr>
        <w:t>efficient</w:t>
      </w:r>
      <w:r>
        <w:t xml:space="preserve"> implementation. As there has been evidence of the uptake of the INFF methodology,</w:t>
      </w:r>
      <w:r w:rsidR="000062DD">
        <w:t xml:space="preserve"> and the availability of </w:t>
      </w:r>
      <w:r w:rsidR="00836BCA">
        <w:t>suppor</w:t>
      </w:r>
      <w:r w:rsidR="00634CB4">
        <w:t>t</w:t>
      </w:r>
      <w:r w:rsidR="00836BCA">
        <w:t xml:space="preserve">ing </w:t>
      </w:r>
      <w:r w:rsidR="000062DD">
        <w:t xml:space="preserve">resources </w:t>
      </w:r>
      <w:r w:rsidR="00836BCA">
        <w:t>on INFF development for indefini</w:t>
      </w:r>
      <w:r w:rsidR="00634CB4">
        <w:t>te use by project participants and stakeholders, th</w:t>
      </w:r>
      <w:r w:rsidR="00641C61">
        <w:t xml:space="preserve">is also denotes </w:t>
      </w:r>
      <w:r w:rsidR="00634CB4">
        <w:t>prospects for</w:t>
      </w:r>
      <w:r>
        <w:t xml:space="preserve"> results </w:t>
      </w:r>
      <w:r w:rsidRPr="00324244">
        <w:rPr>
          <w:b/>
          <w:bCs/>
        </w:rPr>
        <w:t>sustainability</w:t>
      </w:r>
      <w:r w:rsidRPr="003A4F5D">
        <w:t>.</w:t>
      </w:r>
    </w:p>
    <w:p w14:paraId="01189C2C" w14:textId="77777777" w:rsidR="008A1781" w:rsidRPr="00B3125E" w:rsidRDefault="008A1781" w:rsidP="008A1781">
      <w:pPr>
        <w:pStyle w:val="FrontMatterH3"/>
        <w:spacing w:before="120" w:line="259" w:lineRule="auto"/>
        <w:jc w:val="both"/>
        <w:rPr>
          <w:color w:val="auto"/>
          <w:sz w:val="20"/>
          <w:szCs w:val="20"/>
        </w:rPr>
      </w:pPr>
      <w:r>
        <w:rPr>
          <w:color w:val="auto"/>
          <w:sz w:val="20"/>
          <w:szCs w:val="20"/>
        </w:rPr>
        <w:t>The Next Steps for INFF implementation</w:t>
      </w:r>
      <w:r w:rsidRPr="00B3125E">
        <w:rPr>
          <w:color w:val="auto"/>
          <w:sz w:val="20"/>
          <w:szCs w:val="20"/>
        </w:rPr>
        <w:t>:</w:t>
      </w:r>
    </w:p>
    <w:p w14:paraId="400D24E0" w14:textId="2AF48207" w:rsidR="00AC1B17" w:rsidRDefault="008751C0" w:rsidP="008A1781">
      <w:pPr>
        <w:pStyle w:val="ListNumber"/>
        <w:numPr>
          <w:ilvl w:val="0"/>
          <w:numId w:val="0"/>
        </w:numPr>
      </w:pPr>
      <w:r>
        <w:t>S</w:t>
      </w:r>
      <w:r w:rsidR="007B4462">
        <w:t xml:space="preserve">trategic planning </w:t>
      </w:r>
      <w:r>
        <w:t xml:space="preserve">by the Government of Zambia </w:t>
      </w:r>
      <w:r w:rsidR="00830146">
        <w:t>for</w:t>
      </w:r>
      <w:r w:rsidR="00DB3E35">
        <w:t xml:space="preserve"> </w:t>
      </w:r>
      <w:r w:rsidR="007B4462">
        <w:t xml:space="preserve">sustainable </w:t>
      </w:r>
      <w:r>
        <w:t xml:space="preserve">national </w:t>
      </w:r>
      <w:r w:rsidR="007B4462">
        <w:t xml:space="preserve">development has </w:t>
      </w:r>
      <w:r w:rsidR="00980FFB">
        <w:t xml:space="preserve">underscored </w:t>
      </w:r>
      <w:r w:rsidR="00641C61">
        <w:t>a</w:t>
      </w:r>
      <w:r w:rsidR="00830146">
        <w:t xml:space="preserve"> </w:t>
      </w:r>
      <w:r w:rsidR="00980FFB">
        <w:t xml:space="preserve">commitment </w:t>
      </w:r>
      <w:r w:rsidR="00641C61">
        <w:t xml:space="preserve">the government </w:t>
      </w:r>
      <w:r w:rsidR="00980FFB">
        <w:t xml:space="preserve">to the well-being of </w:t>
      </w:r>
      <w:r w:rsidR="00830146">
        <w:t xml:space="preserve">the </w:t>
      </w:r>
      <w:r w:rsidR="00980FFB">
        <w:t>citizenry</w:t>
      </w:r>
      <w:r w:rsidR="00DB3E35">
        <w:t xml:space="preserve">. </w:t>
      </w:r>
      <w:r w:rsidR="001F765F">
        <w:t>The</w:t>
      </w:r>
      <w:r w:rsidR="009D19CF">
        <w:t xml:space="preserve"> </w:t>
      </w:r>
      <w:r w:rsidR="001F765F">
        <w:t xml:space="preserve">government </w:t>
      </w:r>
      <w:r w:rsidR="009D19CF">
        <w:t xml:space="preserve">has advocated </w:t>
      </w:r>
      <w:r w:rsidR="00561C23">
        <w:t xml:space="preserve">sustainable development that is </w:t>
      </w:r>
      <w:r w:rsidR="001F765F">
        <w:t>inclusive and participatory</w:t>
      </w:r>
      <w:r w:rsidR="00EB1C48">
        <w:t xml:space="preserve">, to support </w:t>
      </w:r>
      <w:r w:rsidR="001A6ECF">
        <w:t>consolidated and transformative actions</w:t>
      </w:r>
      <w:r w:rsidR="00705E9B">
        <w:t xml:space="preserve"> for SDG achievement</w:t>
      </w:r>
      <w:r w:rsidR="008B78B5">
        <w:t>.</w:t>
      </w:r>
      <w:r w:rsidR="00EB1C48">
        <w:t xml:space="preserve"> </w:t>
      </w:r>
      <w:r w:rsidR="00641C61">
        <w:t>T</w:t>
      </w:r>
      <w:r w:rsidR="00EB1C48">
        <w:t>he</w:t>
      </w:r>
      <w:r w:rsidR="00D62EC1">
        <w:t xml:space="preserve"> INFF</w:t>
      </w:r>
      <w:r w:rsidR="00A569B9">
        <w:t xml:space="preserve"> </w:t>
      </w:r>
      <w:r w:rsidR="00705E9B">
        <w:t xml:space="preserve">is being used to </w:t>
      </w:r>
      <w:r w:rsidR="00AC1B17">
        <w:t>support effective resource mobilisation</w:t>
      </w:r>
      <w:r w:rsidR="006F0F04">
        <w:t xml:space="preserve"> </w:t>
      </w:r>
      <w:r w:rsidR="00641C61">
        <w:t xml:space="preserve">to facilitate this process and ensure </w:t>
      </w:r>
      <w:r w:rsidR="006F0F04">
        <w:t>align</w:t>
      </w:r>
      <w:r w:rsidR="003A1942">
        <w:t xml:space="preserve">ment </w:t>
      </w:r>
      <w:r w:rsidR="006F0F04">
        <w:t>with national development priorities.</w:t>
      </w:r>
      <w:r w:rsidR="003A1942">
        <w:t xml:space="preserve"> </w:t>
      </w:r>
      <w:r w:rsidR="00B92FDE">
        <w:t xml:space="preserve">As the 2022 Zambia VNR </w:t>
      </w:r>
      <w:r w:rsidR="00B926EF">
        <w:t xml:space="preserve">identified the 2023 DFA for Zambia as the first stage of INFF development, there </w:t>
      </w:r>
      <w:r w:rsidR="00003A2E">
        <w:t xml:space="preserve">is a strong indication that the government will continue to institute the INFF process </w:t>
      </w:r>
      <w:r w:rsidR="006F054C">
        <w:t xml:space="preserve">to support </w:t>
      </w:r>
      <w:r w:rsidR="00D8652A">
        <w:t xml:space="preserve">the </w:t>
      </w:r>
      <w:r w:rsidR="00D82914">
        <w:t xml:space="preserve">national goals for sustainable development. </w:t>
      </w:r>
    </w:p>
    <w:p w14:paraId="39CA465E" w14:textId="77777777" w:rsidR="00AC1B17" w:rsidRDefault="00AC1B17" w:rsidP="008A1781">
      <w:pPr>
        <w:pStyle w:val="ListNumber"/>
        <w:numPr>
          <w:ilvl w:val="0"/>
          <w:numId w:val="0"/>
        </w:numPr>
      </w:pPr>
    </w:p>
    <w:p w14:paraId="61B572EF" w14:textId="77777777" w:rsidR="00AC1B17" w:rsidRDefault="00AC1B17" w:rsidP="008A1781">
      <w:pPr>
        <w:pStyle w:val="ListNumber"/>
        <w:numPr>
          <w:ilvl w:val="0"/>
          <w:numId w:val="0"/>
        </w:numPr>
      </w:pPr>
    </w:p>
    <w:p w14:paraId="74EEF308" w14:textId="77777777" w:rsidR="00AC1B17" w:rsidRDefault="00AC1B17" w:rsidP="008A1781">
      <w:pPr>
        <w:pStyle w:val="ListNumber"/>
        <w:numPr>
          <w:ilvl w:val="0"/>
          <w:numId w:val="0"/>
        </w:numPr>
      </w:pPr>
    </w:p>
    <w:p w14:paraId="0B63074E" w14:textId="77777777" w:rsidR="008B78B5" w:rsidRDefault="008B78B5" w:rsidP="008A1781">
      <w:pPr>
        <w:pStyle w:val="ListNumber"/>
        <w:numPr>
          <w:ilvl w:val="0"/>
          <w:numId w:val="0"/>
        </w:numPr>
      </w:pPr>
    </w:p>
    <w:p w14:paraId="1EE8585B" w14:textId="77777777" w:rsidR="008A1781" w:rsidRDefault="008A1781" w:rsidP="008A1781">
      <w:pPr>
        <w:pStyle w:val="ListNumber"/>
        <w:numPr>
          <w:ilvl w:val="0"/>
          <w:numId w:val="0"/>
        </w:numPr>
      </w:pPr>
    </w:p>
    <w:p w14:paraId="5400B6BD" w14:textId="77777777" w:rsidR="008A1781" w:rsidRDefault="008A1781" w:rsidP="008A1781">
      <w:pPr>
        <w:pStyle w:val="ListNumber"/>
        <w:numPr>
          <w:ilvl w:val="0"/>
          <w:numId w:val="0"/>
        </w:numPr>
      </w:pPr>
    </w:p>
    <w:p w14:paraId="3BACC56D" w14:textId="77777777" w:rsidR="008A1781" w:rsidRDefault="008A1781" w:rsidP="008A1781">
      <w:pPr>
        <w:pStyle w:val="ListNumber"/>
        <w:numPr>
          <w:ilvl w:val="0"/>
          <w:numId w:val="0"/>
        </w:numPr>
      </w:pPr>
    </w:p>
    <w:p w14:paraId="6E1EBD53" w14:textId="77777777" w:rsidR="008A1781" w:rsidRDefault="008A1781" w:rsidP="008A1781">
      <w:pPr>
        <w:pStyle w:val="ListNumber"/>
        <w:numPr>
          <w:ilvl w:val="0"/>
          <w:numId w:val="0"/>
        </w:numPr>
        <w:ind w:left="340" w:hanging="340"/>
        <w:jc w:val="left"/>
      </w:pPr>
    </w:p>
    <w:p w14:paraId="2C520FB1" w14:textId="77777777" w:rsidR="008A1781" w:rsidRDefault="008A1781" w:rsidP="008A1781">
      <w:pPr>
        <w:pStyle w:val="ListNumber"/>
        <w:numPr>
          <w:ilvl w:val="0"/>
          <w:numId w:val="0"/>
        </w:numPr>
        <w:jc w:val="left"/>
      </w:pPr>
    </w:p>
    <w:p w14:paraId="6330BA90" w14:textId="77777777" w:rsidR="008A1781" w:rsidRDefault="008A1781" w:rsidP="008A1781">
      <w:pPr>
        <w:sectPr w:rsidR="008A1781" w:rsidSect="008A1781">
          <w:type w:val="continuous"/>
          <w:pgSz w:w="12240" w:h="15840" w:code="1"/>
          <w:pgMar w:top="1276" w:right="1276" w:bottom="1588" w:left="1276" w:header="720" w:footer="720" w:gutter="0"/>
          <w:cols w:num="2" w:space="720"/>
          <w:docGrid w:linePitch="360"/>
        </w:sectPr>
      </w:pPr>
    </w:p>
    <w:p w14:paraId="4ABEE108" w14:textId="77777777" w:rsidR="009349BE" w:rsidRDefault="009349BE" w:rsidP="009349BE">
      <w:pPr>
        <w:pStyle w:val="ListNumber"/>
        <w:numPr>
          <w:ilvl w:val="0"/>
          <w:numId w:val="0"/>
        </w:numPr>
        <w:ind w:left="340" w:hanging="340"/>
        <w:jc w:val="left"/>
      </w:pPr>
    </w:p>
    <w:p w14:paraId="36093F46" w14:textId="77777777" w:rsidR="00CC20D1" w:rsidRDefault="00CC20D1" w:rsidP="001264D8">
      <w:pPr>
        <w:pStyle w:val="ListNumber"/>
        <w:numPr>
          <w:ilvl w:val="0"/>
          <w:numId w:val="0"/>
        </w:numPr>
        <w:ind w:left="340" w:hanging="340"/>
        <w:jc w:val="left"/>
      </w:pPr>
    </w:p>
    <w:p w14:paraId="42DA3C3E" w14:textId="77777777" w:rsidR="007C549D" w:rsidRDefault="007C549D" w:rsidP="007C549D">
      <w:pPr>
        <w:pStyle w:val="ListNumber"/>
        <w:numPr>
          <w:ilvl w:val="0"/>
          <w:numId w:val="0"/>
        </w:numPr>
        <w:ind w:left="567" w:hanging="340"/>
        <w:jc w:val="left"/>
      </w:pPr>
    </w:p>
    <w:p w14:paraId="1DB813B7" w14:textId="77777777" w:rsidR="007C549D" w:rsidRDefault="007C549D" w:rsidP="007C549D">
      <w:pPr>
        <w:pStyle w:val="ListNumber"/>
        <w:numPr>
          <w:ilvl w:val="0"/>
          <w:numId w:val="0"/>
        </w:numPr>
        <w:ind w:left="567" w:hanging="340"/>
        <w:jc w:val="left"/>
      </w:pPr>
    </w:p>
    <w:p w14:paraId="578AA40D" w14:textId="37E8B4DB" w:rsidR="007C549D" w:rsidRDefault="007C549D">
      <w:r>
        <w:br w:type="page"/>
      </w:r>
    </w:p>
    <w:p w14:paraId="3CA0DC6A" w14:textId="722AFE7D" w:rsidR="007C549D" w:rsidRPr="008C075F" w:rsidRDefault="007C549D" w:rsidP="007C549D">
      <w:pPr>
        <w:pStyle w:val="Heading9"/>
      </w:pPr>
      <w:bookmarkStart w:id="67" w:name="_Toc210730362"/>
      <w:r w:rsidRPr="00C064F6">
        <w:lastRenderedPageBreak/>
        <w:t>Annex 1</w:t>
      </w:r>
      <w:r w:rsidR="0092261C" w:rsidRPr="00C064F6">
        <w:t>0</w:t>
      </w:r>
      <w:r w:rsidRPr="00C064F6">
        <w:t xml:space="preserve"> Management Response</w:t>
      </w:r>
      <w:bookmarkEnd w:id="67"/>
    </w:p>
    <w:tbl>
      <w:tblPr>
        <w:tblStyle w:val="BlueTable"/>
        <w:tblW w:w="4979" w:type="pct"/>
        <w:tblLook w:val="06A0" w:firstRow="1" w:lastRow="0" w:firstColumn="1" w:lastColumn="0" w:noHBand="1" w:noVBand="1"/>
      </w:tblPr>
      <w:tblGrid>
        <w:gridCol w:w="2544"/>
        <w:gridCol w:w="1701"/>
        <w:gridCol w:w="1701"/>
        <w:gridCol w:w="1701"/>
        <w:gridCol w:w="1984"/>
      </w:tblGrid>
      <w:tr w:rsidR="002C10A9" w:rsidRPr="008C075F" w14:paraId="04FE77C6" w14:textId="77777777" w:rsidTr="004C0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1" w:type="dxa"/>
            <w:gridSpan w:val="5"/>
            <w:vAlign w:val="center"/>
          </w:tcPr>
          <w:p w14:paraId="7AEC57E6" w14:textId="7EE8348A" w:rsidR="00EA129C" w:rsidRPr="00152FAF" w:rsidRDefault="00C6445E" w:rsidP="002C10A9">
            <w:pPr>
              <w:rPr>
                <w:b w:val="0"/>
                <w:sz w:val="18"/>
                <w:szCs w:val="18"/>
              </w:rPr>
            </w:pPr>
            <w:r w:rsidRPr="00626D8C">
              <w:rPr>
                <w:sz w:val="18"/>
                <w:szCs w:val="18"/>
              </w:rPr>
              <w:t xml:space="preserve">Evaluation recommendation 1: </w:t>
            </w:r>
            <w:r w:rsidR="00152FAF" w:rsidRPr="00D24F97">
              <w:rPr>
                <w:sz w:val="18"/>
                <w:szCs w:val="18"/>
              </w:rPr>
              <w:t>Project conceptualisation should be preceded by a scoping session and/ or planning meeting between counterpart entities to establish synergies; enhance relevance; and minimise risk, including the possibility for and perception of duplicated efforts</w:t>
            </w:r>
            <w:r w:rsidR="0087516C" w:rsidRPr="00D24F97">
              <w:rPr>
                <w:sz w:val="18"/>
                <w:szCs w:val="18"/>
              </w:rPr>
              <w:t>.</w:t>
            </w:r>
          </w:p>
        </w:tc>
      </w:tr>
      <w:tr w:rsidR="004425C2" w:rsidRPr="00AE7299" w14:paraId="0654AB83"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67D82501" w14:textId="03E9C50B" w:rsidR="004425C2" w:rsidRPr="00626D8C" w:rsidRDefault="004425C2"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7A0671" w:rsidRPr="00AE7299" w14:paraId="427D3888"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0BD1DC63" w14:textId="5DCA4DEB" w:rsidR="007A0671" w:rsidRPr="00626D8C" w:rsidRDefault="007A0671" w:rsidP="00157FBB">
            <w:pPr>
              <w:rPr>
                <w:sz w:val="18"/>
                <w:szCs w:val="18"/>
              </w:rPr>
            </w:pPr>
            <w:r w:rsidRPr="00626D8C">
              <w:rPr>
                <w:sz w:val="18"/>
                <w:szCs w:val="18"/>
              </w:rPr>
              <w:t>Key actions to be taken</w:t>
            </w:r>
          </w:p>
        </w:tc>
        <w:tc>
          <w:tcPr>
            <w:tcW w:w="1701" w:type="dxa"/>
            <w:vMerge w:val="restart"/>
          </w:tcPr>
          <w:p w14:paraId="0D0067F5" w14:textId="76EAF890"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63A0D900" w14:textId="1E1C1AB7"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396A6A4F" w14:textId="60137438"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7A0671" w:rsidRPr="00AE7299" w14:paraId="5543AAF4"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52679EDF" w14:textId="229830B5" w:rsidR="007A0671" w:rsidRPr="00626D8C" w:rsidRDefault="007A0671" w:rsidP="00157FBB">
            <w:pPr>
              <w:rPr>
                <w:sz w:val="18"/>
                <w:szCs w:val="18"/>
              </w:rPr>
            </w:pPr>
          </w:p>
        </w:tc>
        <w:tc>
          <w:tcPr>
            <w:tcW w:w="1701" w:type="dxa"/>
            <w:vMerge/>
          </w:tcPr>
          <w:p w14:paraId="3E904E1E" w14:textId="3D664CE9" w:rsidR="007A0671" w:rsidRPr="00626D8C" w:rsidRDefault="007A0671"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6C46BEC7" w14:textId="371F7697" w:rsidR="007A0671" w:rsidRPr="00626D8C" w:rsidRDefault="007A0671"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19FA732" w14:textId="62F0D576"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260962B9" w14:textId="76045616" w:rsidR="007A0671" w:rsidRPr="00626D8C" w:rsidRDefault="007A0671" w:rsidP="007A0671">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C40A40" w:rsidRPr="00AE7299" w14:paraId="665FFC33"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102628B3" w14:textId="75310F49" w:rsidR="00C40A40" w:rsidRPr="00626D8C" w:rsidRDefault="0089460F" w:rsidP="00157FBB">
            <w:pPr>
              <w:rPr>
                <w:b w:val="0"/>
                <w:bCs/>
                <w:sz w:val="18"/>
                <w:szCs w:val="18"/>
              </w:rPr>
            </w:pPr>
            <w:r w:rsidRPr="00626D8C">
              <w:rPr>
                <w:b w:val="0"/>
                <w:bCs/>
                <w:sz w:val="18"/>
                <w:szCs w:val="18"/>
              </w:rPr>
              <w:t xml:space="preserve">1.1 </w:t>
            </w:r>
            <w:r w:rsidR="00F81C21">
              <w:rPr>
                <w:b w:val="0"/>
                <w:bCs/>
                <w:sz w:val="18"/>
                <w:szCs w:val="18"/>
              </w:rPr>
              <w:t xml:space="preserve">Execution of scoping session/ Facilitation of planning meeting </w:t>
            </w:r>
            <w:r w:rsidR="00603377">
              <w:rPr>
                <w:b w:val="0"/>
                <w:bCs/>
                <w:sz w:val="18"/>
                <w:szCs w:val="18"/>
              </w:rPr>
              <w:t xml:space="preserve">among project partners/ stakeholders </w:t>
            </w:r>
          </w:p>
        </w:tc>
        <w:tc>
          <w:tcPr>
            <w:tcW w:w="1701" w:type="dxa"/>
          </w:tcPr>
          <w:p w14:paraId="6059BEB1" w14:textId="56A5CE13" w:rsidR="00C40A40" w:rsidRPr="00626D8C" w:rsidRDefault="00603377"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project conception</w:t>
            </w:r>
            <w:r w:rsidR="00076539">
              <w:rPr>
                <w:sz w:val="18"/>
                <w:szCs w:val="18"/>
              </w:rPr>
              <w:t>/ de</w:t>
            </w:r>
            <w:r w:rsidR="008D1FFB">
              <w:rPr>
                <w:sz w:val="18"/>
                <w:szCs w:val="18"/>
              </w:rPr>
              <w:t>sign</w:t>
            </w:r>
          </w:p>
        </w:tc>
        <w:tc>
          <w:tcPr>
            <w:tcW w:w="1701" w:type="dxa"/>
          </w:tcPr>
          <w:p w14:paraId="22F427D5" w14:textId="5E13D216" w:rsidR="00C40A40" w:rsidRPr="00626D8C" w:rsidRDefault="00076539" w:rsidP="00076539">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5A269B7C"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56B6B3E9" w14:textId="6005D0C2"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C40A40" w:rsidRPr="00AE7299" w14:paraId="0CA17D00"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446667BC" w14:textId="66EDD7B2" w:rsidR="00C40A40" w:rsidRPr="00626D8C" w:rsidRDefault="0089460F" w:rsidP="00157FBB">
            <w:pPr>
              <w:rPr>
                <w:b w:val="0"/>
                <w:bCs/>
                <w:sz w:val="18"/>
                <w:szCs w:val="18"/>
              </w:rPr>
            </w:pPr>
            <w:r w:rsidRPr="00626D8C">
              <w:rPr>
                <w:b w:val="0"/>
                <w:bCs/>
                <w:sz w:val="18"/>
                <w:szCs w:val="18"/>
              </w:rPr>
              <w:t xml:space="preserve">1.2 </w:t>
            </w:r>
          </w:p>
        </w:tc>
        <w:tc>
          <w:tcPr>
            <w:tcW w:w="1701" w:type="dxa"/>
          </w:tcPr>
          <w:p w14:paraId="2C6CF344"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27A674CF" w14:textId="2AE19DBC"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45C25D54"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D89DAC7" w14:textId="48D24588"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C40A40" w:rsidRPr="00AE7299" w14:paraId="2AED0E47"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7024DC3B" w14:textId="5B0B26AD" w:rsidR="00C40A40" w:rsidRPr="00626D8C" w:rsidRDefault="0089460F" w:rsidP="00157FBB">
            <w:pPr>
              <w:rPr>
                <w:b w:val="0"/>
                <w:bCs/>
                <w:sz w:val="18"/>
                <w:szCs w:val="18"/>
              </w:rPr>
            </w:pPr>
            <w:r w:rsidRPr="00626D8C">
              <w:rPr>
                <w:b w:val="0"/>
                <w:bCs/>
                <w:sz w:val="18"/>
                <w:szCs w:val="18"/>
              </w:rPr>
              <w:t xml:space="preserve">1.3 </w:t>
            </w:r>
          </w:p>
        </w:tc>
        <w:tc>
          <w:tcPr>
            <w:tcW w:w="1701" w:type="dxa"/>
          </w:tcPr>
          <w:p w14:paraId="5121C177"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707C52E"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20242C1C"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26BD0311" w14:textId="77777777" w:rsidR="00C40A40" w:rsidRPr="00626D8C" w:rsidRDefault="00C40A40"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89460F" w:rsidRPr="0089460F" w14:paraId="223330C4"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shd w:val="clear" w:color="auto" w:fill="009EDB" w:themeFill="accent1"/>
            <w:vAlign w:val="center"/>
          </w:tcPr>
          <w:p w14:paraId="2A83ED4B" w14:textId="566E209D" w:rsidR="0089460F" w:rsidRPr="00CF1A65" w:rsidRDefault="0089460F" w:rsidP="00157FBB">
            <w:pPr>
              <w:rPr>
                <w:b w:val="0"/>
                <w:color w:val="FFFFFF" w:themeColor="background1"/>
                <w:sz w:val="18"/>
                <w:szCs w:val="18"/>
              </w:rPr>
            </w:pPr>
            <w:r w:rsidRPr="00626D8C">
              <w:rPr>
                <w:color w:val="FFFFFF" w:themeColor="background1"/>
                <w:sz w:val="18"/>
                <w:szCs w:val="18"/>
              </w:rPr>
              <w:t xml:space="preserve">Evaluation recommendation 2: </w:t>
            </w:r>
            <w:r w:rsidR="00A34079" w:rsidRPr="00D24F97">
              <w:rPr>
                <w:color w:val="FFFFFF" w:themeColor="background1"/>
                <w:sz w:val="18"/>
                <w:szCs w:val="18"/>
              </w:rPr>
              <w:t xml:space="preserve">Clarified roles and responsibilities at the level of project management and </w:t>
            </w:r>
            <w:r w:rsidR="00D24F97" w:rsidRPr="00D24F97">
              <w:rPr>
                <w:color w:val="FFFFFF" w:themeColor="background1"/>
                <w:sz w:val="18"/>
                <w:szCs w:val="18"/>
              </w:rPr>
              <w:t xml:space="preserve">activity </w:t>
            </w:r>
            <w:r w:rsidR="00A34079" w:rsidRPr="00D24F97">
              <w:rPr>
                <w:color w:val="FFFFFF" w:themeColor="background1"/>
                <w:sz w:val="18"/>
                <w:szCs w:val="18"/>
              </w:rPr>
              <w:t>coordination should be established to allow for efficient oversight throughout the implementation timeframe</w:t>
            </w:r>
            <w:r w:rsidR="0087516C" w:rsidRPr="00D24F97">
              <w:rPr>
                <w:color w:val="FFFFFF" w:themeColor="background1"/>
                <w:sz w:val="18"/>
                <w:szCs w:val="18"/>
              </w:rPr>
              <w:t>.</w:t>
            </w:r>
          </w:p>
        </w:tc>
      </w:tr>
      <w:tr w:rsidR="0089460F" w:rsidRPr="00AE7299" w14:paraId="2CDBBD76"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20E28381" w14:textId="77777777" w:rsidR="0089460F" w:rsidRPr="00626D8C" w:rsidRDefault="0089460F"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89460F" w:rsidRPr="00AE7299" w14:paraId="426F2CAE"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05002A4B" w14:textId="77777777" w:rsidR="0089460F" w:rsidRPr="00626D8C" w:rsidRDefault="0089460F" w:rsidP="00157FBB">
            <w:pPr>
              <w:rPr>
                <w:sz w:val="18"/>
                <w:szCs w:val="18"/>
              </w:rPr>
            </w:pPr>
            <w:r w:rsidRPr="00626D8C">
              <w:rPr>
                <w:sz w:val="18"/>
                <w:szCs w:val="18"/>
              </w:rPr>
              <w:t>Key actions to be taken</w:t>
            </w:r>
          </w:p>
        </w:tc>
        <w:tc>
          <w:tcPr>
            <w:tcW w:w="1701" w:type="dxa"/>
            <w:vMerge w:val="restart"/>
          </w:tcPr>
          <w:p w14:paraId="72632B3A"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617E41CF"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43AF9836"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89460F" w:rsidRPr="00AE7299" w14:paraId="6CA26B50"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3E11D99D" w14:textId="77777777" w:rsidR="0089460F" w:rsidRPr="00626D8C" w:rsidRDefault="0089460F" w:rsidP="00157FBB">
            <w:pPr>
              <w:rPr>
                <w:sz w:val="18"/>
                <w:szCs w:val="18"/>
              </w:rPr>
            </w:pPr>
          </w:p>
        </w:tc>
        <w:tc>
          <w:tcPr>
            <w:tcW w:w="1701" w:type="dxa"/>
            <w:vMerge/>
          </w:tcPr>
          <w:p w14:paraId="4DD64409"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2FFCEB9B"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4E76716"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0C6A7F4D" w14:textId="77777777" w:rsidR="0089460F" w:rsidRPr="00626D8C" w:rsidRDefault="0089460F"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89460F" w:rsidRPr="00AE7299" w14:paraId="332C913E"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2DFBBAB3" w14:textId="64499792" w:rsidR="0089460F" w:rsidRPr="00626D8C" w:rsidRDefault="0089460F" w:rsidP="00157FBB">
            <w:pPr>
              <w:rPr>
                <w:b w:val="0"/>
                <w:bCs/>
                <w:sz w:val="18"/>
                <w:szCs w:val="18"/>
              </w:rPr>
            </w:pPr>
            <w:r w:rsidRPr="00626D8C">
              <w:rPr>
                <w:b w:val="0"/>
                <w:bCs/>
                <w:sz w:val="18"/>
                <w:szCs w:val="18"/>
              </w:rPr>
              <w:t xml:space="preserve">2.1 </w:t>
            </w:r>
            <w:r w:rsidR="008D1FFB">
              <w:rPr>
                <w:b w:val="0"/>
                <w:bCs/>
                <w:sz w:val="18"/>
                <w:szCs w:val="18"/>
              </w:rPr>
              <w:t>Clarification of oversight roles for project management</w:t>
            </w:r>
          </w:p>
        </w:tc>
        <w:tc>
          <w:tcPr>
            <w:tcW w:w="1701" w:type="dxa"/>
          </w:tcPr>
          <w:p w14:paraId="2D362864" w14:textId="18E837D5" w:rsidR="0089460F" w:rsidRPr="00626D8C" w:rsidRDefault="008D1FFB"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project conception/ design</w:t>
            </w:r>
          </w:p>
        </w:tc>
        <w:tc>
          <w:tcPr>
            <w:tcW w:w="1701" w:type="dxa"/>
          </w:tcPr>
          <w:p w14:paraId="11B8431F" w14:textId="1396C413" w:rsidR="0089460F" w:rsidRPr="00626D8C" w:rsidRDefault="008D1FFB"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64F3B7FA"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74E5E91A"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89460F" w:rsidRPr="00AE7299" w14:paraId="31E02CD9"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4FCCC8AC" w14:textId="1F575742" w:rsidR="0089460F" w:rsidRPr="00626D8C" w:rsidRDefault="0089460F" w:rsidP="00157FBB">
            <w:pPr>
              <w:rPr>
                <w:b w:val="0"/>
                <w:bCs/>
                <w:sz w:val="18"/>
                <w:szCs w:val="18"/>
              </w:rPr>
            </w:pPr>
            <w:r w:rsidRPr="00626D8C">
              <w:rPr>
                <w:b w:val="0"/>
                <w:bCs/>
                <w:sz w:val="18"/>
                <w:szCs w:val="18"/>
              </w:rPr>
              <w:t xml:space="preserve">2.2 </w:t>
            </w:r>
          </w:p>
        </w:tc>
        <w:tc>
          <w:tcPr>
            <w:tcW w:w="1701" w:type="dxa"/>
          </w:tcPr>
          <w:p w14:paraId="7E3B3D75"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41B19C94"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55D0A2F8"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4008EFB1"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89460F" w:rsidRPr="00AE7299" w14:paraId="47F9A4CB"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0025489E" w14:textId="4DE72E2A" w:rsidR="0089460F" w:rsidRPr="00626D8C" w:rsidRDefault="0089460F" w:rsidP="00157FBB">
            <w:pPr>
              <w:rPr>
                <w:b w:val="0"/>
                <w:bCs/>
                <w:sz w:val="18"/>
                <w:szCs w:val="18"/>
              </w:rPr>
            </w:pPr>
            <w:r w:rsidRPr="00626D8C">
              <w:rPr>
                <w:b w:val="0"/>
                <w:bCs/>
                <w:sz w:val="18"/>
                <w:szCs w:val="18"/>
              </w:rPr>
              <w:t xml:space="preserve">2.3 </w:t>
            </w:r>
          </w:p>
        </w:tc>
        <w:tc>
          <w:tcPr>
            <w:tcW w:w="1701" w:type="dxa"/>
          </w:tcPr>
          <w:p w14:paraId="315F8953"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39240A46"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36AAEE7B"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568BB05C" w14:textId="77777777" w:rsidR="0089460F" w:rsidRPr="00626D8C" w:rsidRDefault="0089460F"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89460F" w14:paraId="24199ADB"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shd w:val="clear" w:color="auto" w:fill="009EDB" w:themeFill="accent1"/>
            <w:vAlign w:val="center"/>
          </w:tcPr>
          <w:p w14:paraId="5BB75A8C" w14:textId="542B1095" w:rsidR="004C020A" w:rsidRPr="001527B0" w:rsidRDefault="004C020A" w:rsidP="00157FBB">
            <w:pPr>
              <w:rPr>
                <w:b w:val="0"/>
                <w:color w:val="FFFFFF" w:themeColor="background1"/>
                <w:sz w:val="18"/>
                <w:szCs w:val="18"/>
              </w:rPr>
            </w:pPr>
            <w:r w:rsidRPr="001527B0">
              <w:rPr>
                <w:color w:val="FFFFFF" w:themeColor="background1"/>
                <w:sz w:val="18"/>
                <w:szCs w:val="18"/>
              </w:rPr>
              <w:t xml:space="preserve">Evaluation recommendation </w:t>
            </w:r>
            <w:r w:rsidR="0051570A" w:rsidRPr="001527B0">
              <w:rPr>
                <w:color w:val="FFFFFF" w:themeColor="background1"/>
                <w:sz w:val="18"/>
                <w:szCs w:val="18"/>
              </w:rPr>
              <w:t>3</w:t>
            </w:r>
            <w:r w:rsidRPr="001527B0">
              <w:rPr>
                <w:color w:val="FFFFFF" w:themeColor="background1"/>
                <w:sz w:val="18"/>
                <w:szCs w:val="18"/>
              </w:rPr>
              <w:t xml:space="preserve">: </w:t>
            </w:r>
            <w:r w:rsidR="00CF1A65" w:rsidRPr="001527B0">
              <w:rPr>
                <w:color w:val="FFFFFF" w:themeColor="background1"/>
                <w:sz w:val="18"/>
                <w:szCs w:val="18"/>
              </w:rPr>
              <w:t>Guidance documents on the INFF methodology should provide detailed, step-by-step guidelines that can be easily contextualised by the implementing country</w:t>
            </w:r>
            <w:r w:rsidR="0087516C" w:rsidRPr="001527B0">
              <w:rPr>
                <w:color w:val="FFFFFF" w:themeColor="background1"/>
                <w:sz w:val="18"/>
                <w:szCs w:val="18"/>
              </w:rPr>
              <w:t>.</w:t>
            </w:r>
          </w:p>
        </w:tc>
      </w:tr>
      <w:tr w:rsidR="004C020A" w:rsidRPr="00AE7299" w14:paraId="64DBBB01"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05568FEA" w14:textId="77777777" w:rsidR="004C020A" w:rsidRPr="00626D8C" w:rsidRDefault="004C020A"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4C020A" w:rsidRPr="00AE7299" w14:paraId="14922B68"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5CA1FBA4" w14:textId="77777777" w:rsidR="004C020A" w:rsidRPr="00626D8C" w:rsidRDefault="004C020A" w:rsidP="00157FBB">
            <w:pPr>
              <w:rPr>
                <w:sz w:val="18"/>
                <w:szCs w:val="18"/>
              </w:rPr>
            </w:pPr>
            <w:r w:rsidRPr="00626D8C">
              <w:rPr>
                <w:sz w:val="18"/>
                <w:szCs w:val="18"/>
              </w:rPr>
              <w:t>Key actions to be taken</w:t>
            </w:r>
          </w:p>
        </w:tc>
        <w:tc>
          <w:tcPr>
            <w:tcW w:w="1701" w:type="dxa"/>
            <w:vMerge w:val="restart"/>
          </w:tcPr>
          <w:p w14:paraId="4D3F9A18"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1C076A8E"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638F8946"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4C020A" w:rsidRPr="00AE7299" w14:paraId="2F487A2F"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4697FA9D" w14:textId="77777777" w:rsidR="004C020A" w:rsidRPr="00626D8C" w:rsidRDefault="004C020A" w:rsidP="00157FBB">
            <w:pPr>
              <w:rPr>
                <w:sz w:val="18"/>
                <w:szCs w:val="18"/>
              </w:rPr>
            </w:pPr>
          </w:p>
        </w:tc>
        <w:tc>
          <w:tcPr>
            <w:tcW w:w="1701" w:type="dxa"/>
            <w:vMerge/>
          </w:tcPr>
          <w:p w14:paraId="4F763DF7"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0633F9E9"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3071692"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11F997FD"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4C020A" w:rsidRPr="00AE7299" w14:paraId="25183D9F"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0A843C89" w14:textId="0A53D4E3" w:rsidR="004C020A" w:rsidRPr="00626D8C" w:rsidRDefault="0051570A" w:rsidP="00157FBB">
            <w:pPr>
              <w:rPr>
                <w:b w:val="0"/>
                <w:bCs/>
                <w:sz w:val="18"/>
                <w:szCs w:val="18"/>
              </w:rPr>
            </w:pPr>
            <w:r w:rsidRPr="00626D8C">
              <w:rPr>
                <w:b w:val="0"/>
                <w:bCs/>
                <w:sz w:val="18"/>
                <w:szCs w:val="18"/>
              </w:rPr>
              <w:t>3</w:t>
            </w:r>
            <w:r w:rsidR="004C020A" w:rsidRPr="00626D8C">
              <w:rPr>
                <w:b w:val="0"/>
                <w:bCs/>
                <w:sz w:val="18"/>
                <w:szCs w:val="18"/>
              </w:rPr>
              <w:t xml:space="preserve">.1 </w:t>
            </w:r>
            <w:r w:rsidR="001448B1">
              <w:rPr>
                <w:b w:val="0"/>
                <w:bCs/>
                <w:sz w:val="18"/>
                <w:szCs w:val="18"/>
              </w:rPr>
              <w:t xml:space="preserve">Development of detailed/ step-by-step guidelines </w:t>
            </w:r>
            <w:r w:rsidR="001E77D9">
              <w:rPr>
                <w:b w:val="0"/>
                <w:bCs/>
                <w:sz w:val="18"/>
                <w:szCs w:val="18"/>
              </w:rPr>
              <w:t>for INFF development</w:t>
            </w:r>
          </w:p>
        </w:tc>
        <w:tc>
          <w:tcPr>
            <w:tcW w:w="1701" w:type="dxa"/>
          </w:tcPr>
          <w:p w14:paraId="0E1316FC" w14:textId="5A27C35E" w:rsidR="004C020A" w:rsidRPr="00626D8C" w:rsidRDefault="001E77D9"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project inception, prior to start</w:t>
            </w:r>
            <w:r w:rsidR="00F52ED1">
              <w:rPr>
                <w:sz w:val="18"/>
                <w:szCs w:val="18"/>
              </w:rPr>
              <w:t>-up/ inception workshops</w:t>
            </w:r>
          </w:p>
        </w:tc>
        <w:tc>
          <w:tcPr>
            <w:tcW w:w="1701" w:type="dxa"/>
          </w:tcPr>
          <w:p w14:paraId="0D657267" w14:textId="3D086543" w:rsidR="004C020A" w:rsidRPr="00626D8C" w:rsidRDefault="007C6C83"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07E29D62"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1BBC626A"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AE7299" w14:paraId="0D65E7E7"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2E00D0AF" w14:textId="1F7392E4" w:rsidR="004C020A" w:rsidRPr="00626D8C" w:rsidRDefault="0051570A" w:rsidP="00157FBB">
            <w:pPr>
              <w:rPr>
                <w:b w:val="0"/>
                <w:bCs/>
                <w:sz w:val="18"/>
                <w:szCs w:val="18"/>
              </w:rPr>
            </w:pPr>
            <w:r w:rsidRPr="00626D8C">
              <w:rPr>
                <w:b w:val="0"/>
                <w:bCs/>
                <w:sz w:val="18"/>
                <w:szCs w:val="18"/>
              </w:rPr>
              <w:t>3</w:t>
            </w:r>
            <w:r w:rsidR="004C020A" w:rsidRPr="00626D8C">
              <w:rPr>
                <w:b w:val="0"/>
                <w:bCs/>
                <w:sz w:val="18"/>
                <w:szCs w:val="18"/>
              </w:rPr>
              <w:t xml:space="preserve">.2 </w:t>
            </w:r>
          </w:p>
        </w:tc>
        <w:tc>
          <w:tcPr>
            <w:tcW w:w="1701" w:type="dxa"/>
          </w:tcPr>
          <w:p w14:paraId="70528DD5"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2A18106D"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783AFCBC"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9FEC205"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AE7299" w14:paraId="39B51973"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197E313B" w14:textId="6704772E" w:rsidR="004C020A" w:rsidRPr="00626D8C" w:rsidRDefault="0051570A" w:rsidP="00157FBB">
            <w:pPr>
              <w:rPr>
                <w:b w:val="0"/>
                <w:bCs/>
                <w:sz w:val="18"/>
                <w:szCs w:val="18"/>
              </w:rPr>
            </w:pPr>
            <w:r w:rsidRPr="00626D8C">
              <w:rPr>
                <w:b w:val="0"/>
                <w:bCs/>
                <w:sz w:val="18"/>
                <w:szCs w:val="18"/>
              </w:rPr>
              <w:t>3</w:t>
            </w:r>
            <w:r w:rsidR="004C020A" w:rsidRPr="00626D8C">
              <w:rPr>
                <w:b w:val="0"/>
                <w:bCs/>
                <w:sz w:val="18"/>
                <w:szCs w:val="18"/>
              </w:rPr>
              <w:t xml:space="preserve">.3 </w:t>
            </w:r>
          </w:p>
        </w:tc>
        <w:tc>
          <w:tcPr>
            <w:tcW w:w="1701" w:type="dxa"/>
          </w:tcPr>
          <w:p w14:paraId="193373A3"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65E7E777"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0CA7A35D"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1632E62D"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89460F" w14:paraId="056F3825"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shd w:val="clear" w:color="auto" w:fill="009EDB" w:themeFill="accent1"/>
            <w:vAlign w:val="center"/>
          </w:tcPr>
          <w:p w14:paraId="154EA727" w14:textId="2D092DB4" w:rsidR="004C020A" w:rsidRPr="00DC31FD" w:rsidRDefault="004C020A" w:rsidP="00157FBB">
            <w:pPr>
              <w:rPr>
                <w:b w:val="0"/>
                <w:color w:val="FFFFFF" w:themeColor="background1"/>
                <w:sz w:val="18"/>
                <w:szCs w:val="18"/>
              </w:rPr>
            </w:pPr>
            <w:r w:rsidRPr="00626D8C">
              <w:rPr>
                <w:color w:val="FFFFFF" w:themeColor="background1"/>
                <w:sz w:val="18"/>
                <w:szCs w:val="18"/>
              </w:rPr>
              <w:t xml:space="preserve">Evaluation recommendation </w:t>
            </w:r>
            <w:r w:rsidR="0051570A" w:rsidRPr="00626D8C">
              <w:rPr>
                <w:color w:val="FFFFFF" w:themeColor="background1"/>
                <w:sz w:val="18"/>
                <w:szCs w:val="18"/>
              </w:rPr>
              <w:t>4</w:t>
            </w:r>
            <w:r w:rsidRPr="00626D8C">
              <w:rPr>
                <w:color w:val="FFFFFF" w:themeColor="background1"/>
                <w:sz w:val="18"/>
                <w:szCs w:val="18"/>
              </w:rPr>
              <w:t xml:space="preserve">: </w:t>
            </w:r>
            <w:r w:rsidR="00DC31FD" w:rsidRPr="001527B0">
              <w:rPr>
                <w:color w:val="FFFFFF" w:themeColor="background1"/>
                <w:sz w:val="18"/>
                <w:szCs w:val="18"/>
              </w:rPr>
              <w:t>The FINS project should be scaled up to provide post-project technical assistance to target and non-target countries in response to their requests for context-specific support for INFF implementation</w:t>
            </w:r>
            <w:r w:rsidR="0087516C" w:rsidRPr="001527B0">
              <w:rPr>
                <w:color w:val="FFFFFF" w:themeColor="background1"/>
                <w:sz w:val="18"/>
                <w:szCs w:val="18"/>
              </w:rPr>
              <w:t>.</w:t>
            </w:r>
          </w:p>
        </w:tc>
      </w:tr>
      <w:tr w:rsidR="004C020A" w:rsidRPr="00AE7299" w14:paraId="51198B3D"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16C9A708" w14:textId="77777777" w:rsidR="004C020A" w:rsidRPr="00626D8C" w:rsidRDefault="004C020A"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4C020A" w:rsidRPr="00AE7299" w14:paraId="3AABD625"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5BFF78E0" w14:textId="77777777" w:rsidR="004C020A" w:rsidRPr="00626D8C" w:rsidRDefault="004C020A" w:rsidP="00157FBB">
            <w:pPr>
              <w:rPr>
                <w:sz w:val="18"/>
                <w:szCs w:val="18"/>
              </w:rPr>
            </w:pPr>
            <w:r w:rsidRPr="00626D8C">
              <w:rPr>
                <w:sz w:val="18"/>
                <w:szCs w:val="18"/>
              </w:rPr>
              <w:t>Key actions to be taken</w:t>
            </w:r>
          </w:p>
        </w:tc>
        <w:tc>
          <w:tcPr>
            <w:tcW w:w="1701" w:type="dxa"/>
            <w:vMerge w:val="restart"/>
          </w:tcPr>
          <w:p w14:paraId="72CD21C8"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4295F1E3"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0D6D719A"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4C020A" w:rsidRPr="00AE7299" w14:paraId="7E2BCA57"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6D4321EE" w14:textId="77777777" w:rsidR="004C020A" w:rsidRPr="00626D8C" w:rsidRDefault="004C020A" w:rsidP="00157FBB">
            <w:pPr>
              <w:rPr>
                <w:sz w:val="18"/>
                <w:szCs w:val="18"/>
              </w:rPr>
            </w:pPr>
          </w:p>
        </w:tc>
        <w:tc>
          <w:tcPr>
            <w:tcW w:w="1701" w:type="dxa"/>
            <w:vMerge/>
          </w:tcPr>
          <w:p w14:paraId="43799528"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2A5BF660"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2507885C"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2D06EFD7"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4C020A" w:rsidRPr="00AE7299" w14:paraId="3C481E82"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70FE777E" w14:textId="53A4081D" w:rsidR="004C020A" w:rsidRPr="00626D8C" w:rsidRDefault="0051570A" w:rsidP="00157FBB">
            <w:pPr>
              <w:rPr>
                <w:b w:val="0"/>
                <w:bCs/>
                <w:sz w:val="18"/>
                <w:szCs w:val="18"/>
              </w:rPr>
            </w:pPr>
            <w:r w:rsidRPr="00626D8C">
              <w:rPr>
                <w:b w:val="0"/>
                <w:bCs/>
                <w:sz w:val="18"/>
                <w:szCs w:val="18"/>
              </w:rPr>
              <w:t>4</w:t>
            </w:r>
            <w:r w:rsidR="004C020A" w:rsidRPr="00626D8C">
              <w:rPr>
                <w:b w:val="0"/>
                <w:bCs/>
                <w:sz w:val="18"/>
                <w:szCs w:val="18"/>
              </w:rPr>
              <w:t xml:space="preserve">.1 </w:t>
            </w:r>
            <w:r w:rsidR="00B16937">
              <w:rPr>
                <w:b w:val="0"/>
                <w:bCs/>
                <w:sz w:val="18"/>
                <w:szCs w:val="18"/>
              </w:rPr>
              <w:t xml:space="preserve">Review of progress reporting on FINS project implementation </w:t>
            </w:r>
          </w:p>
        </w:tc>
        <w:tc>
          <w:tcPr>
            <w:tcW w:w="1701" w:type="dxa"/>
          </w:tcPr>
          <w:p w14:paraId="6D3B21C5" w14:textId="2499C63F" w:rsidR="004C020A" w:rsidRPr="00626D8C" w:rsidRDefault="00341222"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 xml:space="preserve">In line with </w:t>
            </w:r>
            <w:r w:rsidR="007C6C83">
              <w:rPr>
                <w:sz w:val="18"/>
                <w:szCs w:val="18"/>
              </w:rPr>
              <w:t xml:space="preserve">progress </w:t>
            </w:r>
            <w:r>
              <w:rPr>
                <w:sz w:val="18"/>
                <w:szCs w:val="18"/>
              </w:rPr>
              <w:t>report sub</w:t>
            </w:r>
            <w:r w:rsidR="007C6C83">
              <w:rPr>
                <w:sz w:val="18"/>
                <w:szCs w:val="18"/>
              </w:rPr>
              <w:t>mission</w:t>
            </w:r>
          </w:p>
        </w:tc>
        <w:tc>
          <w:tcPr>
            <w:tcW w:w="1701" w:type="dxa"/>
          </w:tcPr>
          <w:p w14:paraId="108B6C4B" w14:textId="06218167" w:rsidR="004C020A" w:rsidRPr="00626D8C" w:rsidRDefault="007C6C83"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4FC6381C"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0263733A"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AE7299" w14:paraId="2CC4B466"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35C7420A" w14:textId="55A9721F" w:rsidR="004C020A" w:rsidRPr="00626D8C" w:rsidRDefault="0051570A" w:rsidP="00157FBB">
            <w:pPr>
              <w:rPr>
                <w:b w:val="0"/>
                <w:bCs/>
                <w:sz w:val="18"/>
                <w:szCs w:val="18"/>
              </w:rPr>
            </w:pPr>
            <w:r w:rsidRPr="00626D8C">
              <w:rPr>
                <w:b w:val="0"/>
                <w:bCs/>
                <w:sz w:val="18"/>
                <w:szCs w:val="18"/>
              </w:rPr>
              <w:t>4</w:t>
            </w:r>
            <w:r w:rsidR="004C020A" w:rsidRPr="00626D8C">
              <w:rPr>
                <w:b w:val="0"/>
                <w:bCs/>
                <w:sz w:val="18"/>
                <w:szCs w:val="18"/>
              </w:rPr>
              <w:t xml:space="preserve">.2 </w:t>
            </w:r>
            <w:r w:rsidR="00B16937">
              <w:rPr>
                <w:b w:val="0"/>
                <w:bCs/>
                <w:sz w:val="18"/>
                <w:szCs w:val="18"/>
              </w:rPr>
              <w:t>Decision-making on scale up</w:t>
            </w:r>
          </w:p>
        </w:tc>
        <w:tc>
          <w:tcPr>
            <w:tcW w:w="1701" w:type="dxa"/>
          </w:tcPr>
          <w:p w14:paraId="383D37D3" w14:textId="169CFD1F" w:rsidR="004C020A" w:rsidRPr="00626D8C" w:rsidRDefault="007C6C83"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final stage of project, contingent of funding availability</w:t>
            </w:r>
          </w:p>
        </w:tc>
        <w:tc>
          <w:tcPr>
            <w:tcW w:w="1701" w:type="dxa"/>
          </w:tcPr>
          <w:p w14:paraId="1F936A5A" w14:textId="4E6DF986" w:rsidR="004C020A" w:rsidRPr="00626D8C" w:rsidRDefault="007C6C83" w:rsidP="00157FBB">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7563CA38"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1051CA25"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AE7299" w14:paraId="2CEFD75B"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1149876C" w14:textId="4442F999" w:rsidR="004C020A" w:rsidRPr="00626D8C" w:rsidRDefault="0051570A" w:rsidP="00157FBB">
            <w:pPr>
              <w:rPr>
                <w:b w:val="0"/>
                <w:bCs/>
                <w:sz w:val="18"/>
                <w:szCs w:val="18"/>
              </w:rPr>
            </w:pPr>
            <w:r w:rsidRPr="00626D8C">
              <w:rPr>
                <w:b w:val="0"/>
                <w:bCs/>
                <w:sz w:val="18"/>
                <w:szCs w:val="18"/>
              </w:rPr>
              <w:t>4</w:t>
            </w:r>
            <w:r w:rsidR="004C020A" w:rsidRPr="00626D8C">
              <w:rPr>
                <w:b w:val="0"/>
                <w:bCs/>
                <w:sz w:val="18"/>
                <w:szCs w:val="18"/>
              </w:rPr>
              <w:t xml:space="preserve">.3 </w:t>
            </w:r>
          </w:p>
        </w:tc>
        <w:tc>
          <w:tcPr>
            <w:tcW w:w="1701" w:type="dxa"/>
          </w:tcPr>
          <w:p w14:paraId="4CDCEFF5"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52EE6CE9"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1FD4F77F"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4827763D"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r>
      <w:tr w:rsidR="004C020A" w:rsidRPr="0089460F" w14:paraId="22411B08"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shd w:val="clear" w:color="auto" w:fill="009EDB" w:themeFill="accent1"/>
            <w:vAlign w:val="center"/>
          </w:tcPr>
          <w:p w14:paraId="2286A3A8" w14:textId="14A97DCC" w:rsidR="004C020A" w:rsidRPr="0087516C" w:rsidRDefault="004C020A" w:rsidP="00157FBB">
            <w:pPr>
              <w:rPr>
                <w:b w:val="0"/>
                <w:color w:val="FFFFFF" w:themeColor="background1"/>
                <w:sz w:val="18"/>
                <w:szCs w:val="18"/>
              </w:rPr>
            </w:pPr>
            <w:r w:rsidRPr="00626D8C">
              <w:rPr>
                <w:color w:val="FFFFFF" w:themeColor="background1"/>
                <w:sz w:val="18"/>
                <w:szCs w:val="18"/>
              </w:rPr>
              <w:lastRenderedPageBreak/>
              <w:t xml:space="preserve">Evaluation recommendation </w:t>
            </w:r>
            <w:r w:rsidR="0051570A" w:rsidRPr="00626D8C">
              <w:rPr>
                <w:color w:val="FFFFFF" w:themeColor="background1"/>
                <w:sz w:val="18"/>
                <w:szCs w:val="18"/>
              </w:rPr>
              <w:t>5</w:t>
            </w:r>
            <w:r w:rsidRPr="00626D8C">
              <w:rPr>
                <w:color w:val="FFFFFF" w:themeColor="background1"/>
                <w:sz w:val="18"/>
                <w:szCs w:val="18"/>
              </w:rPr>
              <w:t xml:space="preserve">: </w:t>
            </w:r>
            <w:r w:rsidR="00C12025">
              <w:rPr>
                <w:color w:val="FFFFFF" w:themeColor="background1"/>
                <w:sz w:val="18"/>
                <w:szCs w:val="18"/>
              </w:rPr>
              <w:t>The</w:t>
            </w:r>
            <w:r w:rsidR="00524063">
              <w:rPr>
                <w:color w:val="FFFFFF" w:themeColor="background1"/>
                <w:sz w:val="18"/>
                <w:szCs w:val="18"/>
              </w:rPr>
              <w:t xml:space="preserve"> s</w:t>
            </w:r>
            <w:r w:rsidR="0087516C" w:rsidRPr="001527B0">
              <w:rPr>
                <w:color w:val="FFFFFF" w:themeColor="background1"/>
                <w:sz w:val="18"/>
                <w:szCs w:val="18"/>
              </w:rPr>
              <w:t>trengthen</w:t>
            </w:r>
            <w:r w:rsidR="00C12025">
              <w:rPr>
                <w:color w:val="FFFFFF" w:themeColor="background1"/>
                <w:sz w:val="18"/>
                <w:szCs w:val="18"/>
              </w:rPr>
              <w:t>ing of</w:t>
            </w:r>
            <w:r w:rsidR="0087516C" w:rsidRPr="001527B0">
              <w:rPr>
                <w:color w:val="FFFFFF" w:themeColor="background1"/>
                <w:sz w:val="18"/>
                <w:szCs w:val="18"/>
              </w:rPr>
              <w:t xml:space="preserve"> the process for finalising and approving the project results framework </w:t>
            </w:r>
            <w:r w:rsidR="00C12025">
              <w:rPr>
                <w:color w:val="FFFFFF" w:themeColor="background1"/>
                <w:sz w:val="18"/>
                <w:szCs w:val="18"/>
              </w:rPr>
              <w:t>should be initiated</w:t>
            </w:r>
            <w:r w:rsidR="009975C4">
              <w:rPr>
                <w:color w:val="FFFFFF" w:themeColor="background1"/>
                <w:sz w:val="18"/>
                <w:szCs w:val="18"/>
              </w:rPr>
              <w:t xml:space="preserve">, </w:t>
            </w:r>
            <w:r w:rsidR="0087516C" w:rsidRPr="001527B0">
              <w:rPr>
                <w:color w:val="FFFFFF" w:themeColor="background1"/>
                <w:sz w:val="18"/>
                <w:szCs w:val="18"/>
              </w:rPr>
              <w:t>to ensure that appropriate results targets and performance measurement indicators are established to increase the usefulness of emergent results.</w:t>
            </w:r>
          </w:p>
        </w:tc>
      </w:tr>
      <w:tr w:rsidR="004C020A" w:rsidRPr="00AE7299" w14:paraId="1C366CCF" w14:textId="77777777" w:rsidTr="004C020A">
        <w:tc>
          <w:tcPr>
            <w:cnfStyle w:val="001000000000" w:firstRow="0" w:lastRow="0" w:firstColumn="1" w:lastColumn="0" w:oddVBand="0" w:evenVBand="0" w:oddHBand="0" w:evenHBand="0" w:firstRowFirstColumn="0" w:firstRowLastColumn="0" w:lastRowFirstColumn="0" w:lastRowLastColumn="0"/>
            <w:tcW w:w="9631" w:type="dxa"/>
            <w:gridSpan w:val="5"/>
          </w:tcPr>
          <w:p w14:paraId="36B6C1D2" w14:textId="77777777" w:rsidR="004C020A" w:rsidRPr="00626D8C" w:rsidRDefault="004C020A" w:rsidP="00157FBB">
            <w:pPr>
              <w:rPr>
                <w:b w:val="0"/>
                <w:bCs/>
                <w:sz w:val="18"/>
                <w:szCs w:val="18"/>
              </w:rPr>
            </w:pPr>
            <w:r w:rsidRPr="00626D8C">
              <w:rPr>
                <w:sz w:val="18"/>
                <w:szCs w:val="18"/>
              </w:rPr>
              <w:t xml:space="preserve">Management response: </w:t>
            </w:r>
            <w:r w:rsidRPr="00626D8C">
              <w:rPr>
                <w:b w:val="0"/>
                <w:bCs/>
                <w:sz w:val="18"/>
                <w:szCs w:val="18"/>
              </w:rPr>
              <w:t xml:space="preserve"> </w:t>
            </w:r>
          </w:p>
        </w:tc>
      </w:tr>
      <w:tr w:rsidR="004C020A" w:rsidRPr="00AE7299" w14:paraId="76F5CC3C"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val="restart"/>
          </w:tcPr>
          <w:p w14:paraId="6EF8FAAB" w14:textId="77777777" w:rsidR="004C020A" w:rsidRPr="00626D8C" w:rsidRDefault="004C020A" w:rsidP="00157FBB">
            <w:pPr>
              <w:rPr>
                <w:sz w:val="18"/>
                <w:szCs w:val="18"/>
              </w:rPr>
            </w:pPr>
            <w:r w:rsidRPr="00626D8C">
              <w:rPr>
                <w:sz w:val="18"/>
                <w:szCs w:val="18"/>
              </w:rPr>
              <w:t>Key actions to be taken</w:t>
            </w:r>
          </w:p>
        </w:tc>
        <w:tc>
          <w:tcPr>
            <w:tcW w:w="1701" w:type="dxa"/>
            <w:vMerge w:val="restart"/>
          </w:tcPr>
          <w:p w14:paraId="60B5582C"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Time Frame</w:t>
            </w:r>
          </w:p>
        </w:tc>
        <w:tc>
          <w:tcPr>
            <w:tcW w:w="1701" w:type="dxa"/>
            <w:vMerge w:val="restart"/>
          </w:tcPr>
          <w:p w14:paraId="2804791C"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Responsible Unit(s):</w:t>
            </w:r>
          </w:p>
        </w:tc>
        <w:tc>
          <w:tcPr>
            <w:tcW w:w="3685" w:type="dxa"/>
            <w:gridSpan w:val="2"/>
          </w:tcPr>
          <w:p w14:paraId="4EA6FAF1"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 update:</w:t>
            </w:r>
          </w:p>
        </w:tc>
      </w:tr>
      <w:tr w:rsidR="004C020A" w:rsidRPr="00AE7299" w14:paraId="137D78E2" w14:textId="77777777" w:rsidTr="004C020A">
        <w:tc>
          <w:tcPr>
            <w:cnfStyle w:val="001000000000" w:firstRow="0" w:lastRow="0" w:firstColumn="1" w:lastColumn="0" w:oddVBand="0" w:evenVBand="0" w:oddHBand="0" w:evenHBand="0" w:firstRowFirstColumn="0" w:firstRowLastColumn="0" w:lastRowFirstColumn="0" w:lastRowLastColumn="0"/>
            <w:tcW w:w="2544" w:type="dxa"/>
            <w:vMerge/>
          </w:tcPr>
          <w:p w14:paraId="4EA90E16" w14:textId="77777777" w:rsidR="004C020A" w:rsidRPr="00626D8C" w:rsidRDefault="004C020A" w:rsidP="00157FBB">
            <w:pPr>
              <w:rPr>
                <w:sz w:val="18"/>
                <w:szCs w:val="18"/>
              </w:rPr>
            </w:pPr>
          </w:p>
        </w:tc>
        <w:tc>
          <w:tcPr>
            <w:tcW w:w="1701" w:type="dxa"/>
            <w:vMerge/>
          </w:tcPr>
          <w:p w14:paraId="468E383C"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vMerge/>
          </w:tcPr>
          <w:p w14:paraId="59103242" w14:textId="77777777" w:rsidR="004C020A" w:rsidRPr="00626D8C" w:rsidRDefault="004C020A" w:rsidP="00157FBB">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5D64ED5C"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Status</w:t>
            </w:r>
          </w:p>
        </w:tc>
        <w:tc>
          <w:tcPr>
            <w:tcW w:w="1984" w:type="dxa"/>
          </w:tcPr>
          <w:p w14:paraId="03F2C508" w14:textId="77777777" w:rsidR="004C020A" w:rsidRPr="00626D8C" w:rsidRDefault="004C020A" w:rsidP="00157FBB">
            <w:pPr>
              <w:jc w:val="center"/>
              <w:cnfStyle w:val="000000000000" w:firstRow="0" w:lastRow="0" w:firstColumn="0" w:lastColumn="0" w:oddVBand="0" w:evenVBand="0" w:oddHBand="0" w:evenHBand="0" w:firstRowFirstColumn="0" w:firstRowLastColumn="0" w:lastRowFirstColumn="0" w:lastRowLastColumn="0"/>
              <w:rPr>
                <w:b/>
                <w:bCs/>
                <w:sz w:val="18"/>
                <w:szCs w:val="18"/>
              </w:rPr>
            </w:pPr>
            <w:r w:rsidRPr="00626D8C">
              <w:rPr>
                <w:b/>
                <w:bCs/>
                <w:sz w:val="18"/>
                <w:szCs w:val="18"/>
              </w:rPr>
              <w:t>Remarks</w:t>
            </w:r>
          </w:p>
        </w:tc>
      </w:tr>
      <w:tr w:rsidR="006814BF" w:rsidRPr="00AE7299" w14:paraId="3F9F33C7"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4F9339B0" w14:textId="3EF698E9" w:rsidR="006814BF" w:rsidRPr="00626D8C" w:rsidRDefault="006814BF" w:rsidP="006814BF">
            <w:pPr>
              <w:rPr>
                <w:b w:val="0"/>
                <w:bCs/>
                <w:sz w:val="18"/>
                <w:szCs w:val="18"/>
              </w:rPr>
            </w:pPr>
            <w:r w:rsidRPr="00626D8C">
              <w:rPr>
                <w:b w:val="0"/>
                <w:bCs/>
                <w:sz w:val="18"/>
                <w:szCs w:val="18"/>
              </w:rPr>
              <w:t xml:space="preserve">5.1 </w:t>
            </w:r>
            <w:r>
              <w:rPr>
                <w:b w:val="0"/>
                <w:bCs/>
                <w:sz w:val="18"/>
                <w:szCs w:val="18"/>
              </w:rPr>
              <w:t>Quality of assurance of results matrix with support of M&amp;E Officer</w:t>
            </w:r>
          </w:p>
        </w:tc>
        <w:tc>
          <w:tcPr>
            <w:tcW w:w="1701" w:type="dxa"/>
          </w:tcPr>
          <w:p w14:paraId="5E18E8A2" w14:textId="45F3A90A"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During project conception/ design</w:t>
            </w:r>
          </w:p>
        </w:tc>
        <w:tc>
          <w:tcPr>
            <w:tcW w:w="1701" w:type="dxa"/>
          </w:tcPr>
          <w:p w14:paraId="7CA16491" w14:textId="2FA8C4EB"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UNDESA-FSDO</w:t>
            </w:r>
          </w:p>
        </w:tc>
        <w:tc>
          <w:tcPr>
            <w:tcW w:w="1701" w:type="dxa"/>
          </w:tcPr>
          <w:p w14:paraId="569C0716"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3AC8ACF0"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r>
      <w:tr w:rsidR="006814BF" w:rsidRPr="00AE7299" w14:paraId="634960E1"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599222CC" w14:textId="61F6CC1F" w:rsidR="006814BF" w:rsidRPr="00626D8C" w:rsidRDefault="006814BF" w:rsidP="006814BF">
            <w:pPr>
              <w:rPr>
                <w:b w:val="0"/>
                <w:bCs/>
                <w:sz w:val="18"/>
                <w:szCs w:val="18"/>
              </w:rPr>
            </w:pPr>
            <w:r w:rsidRPr="00626D8C">
              <w:rPr>
                <w:b w:val="0"/>
                <w:bCs/>
                <w:sz w:val="18"/>
                <w:szCs w:val="18"/>
              </w:rPr>
              <w:t xml:space="preserve">5.2 </w:t>
            </w:r>
          </w:p>
        </w:tc>
        <w:tc>
          <w:tcPr>
            <w:tcW w:w="1701" w:type="dxa"/>
          </w:tcPr>
          <w:p w14:paraId="564DCD37"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01C6A069"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3C047F10"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138B5505"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r>
      <w:tr w:rsidR="006814BF" w:rsidRPr="00AE7299" w14:paraId="470E4D85" w14:textId="77777777" w:rsidTr="004C020A">
        <w:tc>
          <w:tcPr>
            <w:cnfStyle w:val="001000000000" w:firstRow="0" w:lastRow="0" w:firstColumn="1" w:lastColumn="0" w:oddVBand="0" w:evenVBand="0" w:oddHBand="0" w:evenHBand="0" w:firstRowFirstColumn="0" w:firstRowLastColumn="0" w:lastRowFirstColumn="0" w:lastRowLastColumn="0"/>
            <w:tcW w:w="2544" w:type="dxa"/>
          </w:tcPr>
          <w:p w14:paraId="11167D32" w14:textId="60CF9644" w:rsidR="006814BF" w:rsidRPr="00626D8C" w:rsidRDefault="006814BF" w:rsidP="006814BF">
            <w:pPr>
              <w:rPr>
                <w:b w:val="0"/>
                <w:bCs/>
                <w:sz w:val="18"/>
                <w:szCs w:val="18"/>
              </w:rPr>
            </w:pPr>
            <w:r w:rsidRPr="00626D8C">
              <w:rPr>
                <w:b w:val="0"/>
                <w:bCs/>
                <w:sz w:val="18"/>
                <w:szCs w:val="18"/>
              </w:rPr>
              <w:t xml:space="preserve">5.3 </w:t>
            </w:r>
          </w:p>
        </w:tc>
        <w:tc>
          <w:tcPr>
            <w:tcW w:w="1701" w:type="dxa"/>
          </w:tcPr>
          <w:p w14:paraId="26CD9865"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385C1B21"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701" w:type="dxa"/>
          </w:tcPr>
          <w:p w14:paraId="4089A2EB"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c>
          <w:tcPr>
            <w:tcW w:w="1984" w:type="dxa"/>
          </w:tcPr>
          <w:p w14:paraId="7B3BFAB8" w14:textId="77777777" w:rsidR="006814BF" w:rsidRPr="00626D8C" w:rsidRDefault="006814BF" w:rsidP="006814BF">
            <w:pPr>
              <w:cnfStyle w:val="000000000000" w:firstRow="0" w:lastRow="0" w:firstColumn="0" w:lastColumn="0" w:oddVBand="0" w:evenVBand="0" w:oddHBand="0" w:evenHBand="0" w:firstRowFirstColumn="0" w:firstRowLastColumn="0" w:lastRowFirstColumn="0" w:lastRowLastColumn="0"/>
              <w:rPr>
                <w:sz w:val="18"/>
                <w:szCs w:val="18"/>
              </w:rPr>
            </w:pPr>
          </w:p>
        </w:tc>
      </w:tr>
    </w:tbl>
    <w:p w14:paraId="756EF458" w14:textId="77777777" w:rsidR="007C549D" w:rsidRDefault="007C549D" w:rsidP="007C549D">
      <w:pPr>
        <w:pStyle w:val="ListNumber"/>
        <w:numPr>
          <w:ilvl w:val="0"/>
          <w:numId w:val="0"/>
        </w:numPr>
        <w:ind w:left="567" w:hanging="340"/>
        <w:jc w:val="left"/>
      </w:pPr>
    </w:p>
    <w:sectPr w:rsidR="007C549D" w:rsidSect="00F666A1">
      <w:type w:val="continuous"/>
      <w:pgSz w:w="12240" w:h="15840" w:code="1"/>
      <w:pgMar w:top="1276" w:right="1276" w:bottom="1588" w:left="1276"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s>
  <wne:toolbars>
    <wne:acdManifest>
      <wne:acdEntry wne:acdName="acd0"/>
    </wne:acdManifest>
  </wne:toolbars>
  <wne:acds>
    <wne:acd wne:argValue="AQAAACY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BFE97" w14:textId="77777777" w:rsidR="001E329C" w:rsidRDefault="001E329C" w:rsidP="002C7EB3">
      <w:r>
        <w:separator/>
      </w:r>
    </w:p>
    <w:p w14:paraId="6942B4EE" w14:textId="77777777" w:rsidR="001E329C" w:rsidRDefault="001E329C"/>
  </w:endnote>
  <w:endnote w:type="continuationSeparator" w:id="0">
    <w:p w14:paraId="612051CC" w14:textId="77777777" w:rsidR="001E329C" w:rsidRDefault="001E329C" w:rsidP="002C7EB3">
      <w:r>
        <w:continuationSeparator/>
      </w:r>
    </w:p>
    <w:p w14:paraId="2FEEDF3E" w14:textId="77777777" w:rsidR="001E329C" w:rsidRDefault="001E329C"/>
  </w:endnote>
  <w:endnote w:type="continuationNotice" w:id="1">
    <w:p w14:paraId="19F0097C" w14:textId="77777777" w:rsidR="001E329C" w:rsidRDefault="001E329C"/>
    <w:p w14:paraId="28A8A175" w14:textId="77777777" w:rsidR="001E329C" w:rsidRDefault="001E32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HaasGroteskDisp Pro">
    <w:altName w:val="Calibri"/>
    <w:panose1 w:val="00000000000000000000"/>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Rounded MT Bold">
    <w:panose1 w:val="020F0704030504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0771024"/>
      <w:docPartObj>
        <w:docPartGallery w:val="Page Numbers (Bottom of Page)"/>
        <w:docPartUnique/>
      </w:docPartObj>
    </w:sdtPr>
    <w:sdtEndPr>
      <w:rPr>
        <w:noProof/>
      </w:rPr>
    </w:sdtEndPr>
    <w:sdtContent>
      <w:p w14:paraId="3FAA688F" w14:textId="490EBB19" w:rsidR="00941F93" w:rsidRPr="00941F93" w:rsidRDefault="00941F93" w:rsidP="0003749E">
        <w:pPr>
          <w:pStyle w:val="FooterFrontMatter"/>
        </w:pPr>
        <w:r w:rsidRPr="00C97A7E">
          <w:fldChar w:fldCharType="begin"/>
        </w:r>
        <w:r w:rsidRPr="00C97A7E">
          <w:instrText xml:space="preserve"> PAGE   \* MERGEFORMAT </w:instrText>
        </w:r>
        <w:r w:rsidRPr="00C97A7E">
          <w:fldChar w:fldCharType="separate"/>
        </w:r>
        <w:r w:rsidRPr="003B666B">
          <w:rPr>
            <w:lang w:val="en-CA"/>
          </w:rPr>
          <w:t>2</w:t>
        </w:r>
        <w:r w:rsidRPr="00C97A7E">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585381549"/>
      <w:docPartObj>
        <w:docPartGallery w:val="Page Numbers (Bottom of Page)"/>
        <w:docPartUnique/>
      </w:docPartObj>
    </w:sdtPr>
    <w:sdtEndPr>
      <w:rPr>
        <w:noProof/>
      </w:rPr>
    </w:sdtEndPr>
    <w:sdtContent>
      <w:p w14:paraId="26536EA4" w14:textId="77777777" w:rsidR="00E70DAB" w:rsidRDefault="00E70DAB" w:rsidP="00E70DAB">
        <w:pPr>
          <w:pStyle w:val="FooterBorder"/>
        </w:pPr>
      </w:p>
      <w:p w14:paraId="2F834078" w14:textId="01F193A9" w:rsidR="0003749E" w:rsidRPr="00941F93" w:rsidRDefault="00000000" w:rsidP="00E70DAB">
        <w:pPr>
          <w:pStyle w:val="Footer"/>
        </w:pPr>
        <w:sdt>
          <w:sdtPr>
            <w:alias w:val="Title"/>
            <w:tag w:val=""/>
            <w:id w:val="-696390641"/>
            <w:placeholder>
              <w:docPart w:val="3EB2F2863333460CB2123267D815630D"/>
            </w:placeholder>
            <w:dataBinding w:prefixMappings="xmlns:ns0='http://purl.org/dc/elements/1.1/' xmlns:ns1='http://schemas.openxmlformats.org/package/2006/metadata/core-properties' " w:xpath="/ns1:coreProperties[1]/ns0:title[1]" w:storeItemID="{6C3C8BC8-F283-45AE-878A-BAB7291924A1}"/>
            <w:text/>
          </w:sdtPr>
          <w:sdtContent>
            <w:r w:rsidR="00782D38">
              <w:t>Evaluation of DA13 INFF Project 2124A</w:t>
            </w:r>
            <w:r w:rsidR="00E76193">
              <w:t xml:space="preserve"> “Towards Integrated National Financing Framework”</w:t>
            </w:r>
          </w:sdtContent>
        </w:sdt>
        <w:r w:rsidR="0003749E">
          <w:tab/>
        </w:r>
        <w:r w:rsidR="0003749E" w:rsidRPr="00C97A7E">
          <w:fldChar w:fldCharType="begin"/>
        </w:r>
        <w:r w:rsidR="0003749E" w:rsidRPr="00C97A7E">
          <w:instrText xml:space="preserve"> PAGE   \* MERGEFORMAT </w:instrText>
        </w:r>
        <w:r w:rsidR="0003749E" w:rsidRPr="00C97A7E">
          <w:fldChar w:fldCharType="separate"/>
        </w:r>
        <w:r w:rsidR="0003749E" w:rsidRPr="003B666B">
          <w:rPr>
            <w:lang w:val="en-CA"/>
          </w:rPr>
          <w:t>2</w:t>
        </w:r>
        <w:r w:rsidR="0003749E" w:rsidRPr="00C97A7E">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sz w:val="18"/>
      </w:rPr>
      <w:id w:val="769124148"/>
      <w:docPartObj>
        <w:docPartGallery w:val="Page Numbers (Bottom of Page)"/>
        <w:docPartUnique/>
      </w:docPartObj>
    </w:sdtPr>
    <w:sdtEndPr>
      <w:rPr>
        <w:noProof w:val="0"/>
      </w:rPr>
    </w:sdtEndPr>
    <w:sdtContent>
      <w:p w14:paraId="0529B23B" w14:textId="77777777" w:rsidR="009D7AFB" w:rsidRDefault="009D7AFB" w:rsidP="00E70DAB">
        <w:pPr>
          <w:pStyle w:val="FooterBorder"/>
        </w:pPr>
      </w:p>
      <w:p w14:paraId="2BA73A28" w14:textId="6A22C6D2" w:rsidR="009D7AFB" w:rsidRPr="00941F93" w:rsidRDefault="00000000" w:rsidP="009D7AFB">
        <w:pPr>
          <w:pStyle w:val="FooterLandscapes"/>
          <w:rPr>
            <w:noProof w:val="0"/>
          </w:rPr>
        </w:pPr>
        <w:sdt>
          <w:sdtPr>
            <w:rPr>
              <w:noProof w:val="0"/>
            </w:rPr>
            <w:alias w:val="Title"/>
            <w:tag w:val=""/>
            <w:id w:val="480355709"/>
            <w:placeholder>
              <w:docPart w:val="9586BFDAAECF4FD4B42E49EE9DEAEA27"/>
            </w:placeholder>
            <w:dataBinding w:prefixMappings="xmlns:ns0='http://purl.org/dc/elements/1.1/' xmlns:ns1='http://schemas.openxmlformats.org/package/2006/metadata/core-properties' " w:xpath="/ns1:coreProperties[1]/ns0:title[1]" w:storeItemID="{6C3C8BC8-F283-45AE-878A-BAB7291924A1}"/>
            <w:text/>
          </w:sdtPr>
          <w:sdtContent>
            <w:r w:rsidR="00E76193">
              <w:rPr>
                <w:noProof w:val="0"/>
              </w:rPr>
              <w:t>Evaluation of DA13 INFF Project 2124A “Towards Integrated National Financing Framework”</w:t>
            </w:r>
          </w:sdtContent>
        </w:sdt>
        <w:r w:rsidR="009D7AFB">
          <w:rPr>
            <w:noProof w:val="0"/>
          </w:rPr>
          <w:tab/>
        </w:r>
        <w:r w:rsidR="009D7AFB" w:rsidRPr="00C97A7E">
          <w:rPr>
            <w:noProof w:val="0"/>
          </w:rPr>
          <w:fldChar w:fldCharType="begin"/>
        </w:r>
        <w:r w:rsidR="009D7AFB" w:rsidRPr="00C97A7E">
          <w:rPr>
            <w:noProof w:val="0"/>
          </w:rPr>
          <w:instrText xml:space="preserve"> PAGE   \* MERGEFORMAT </w:instrText>
        </w:r>
        <w:r w:rsidR="009D7AFB" w:rsidRPr="00C97A7E">
          <w:rPr>
            <w:noProof w:val="0"/>
          </w:rPr>
          <w:fldChar w:fldCharType="separate"/>
        </w:r>
        <w:r w:rsidR="009D7AFB" w:rsidRPr="003B666B">
          <w:rPr>
            <w:noProof w:val="0"/>
            <w:lang w:val="en-CA"/>
          </w:rPr>
          <w:t>2</w:t>
        </w:r>
        <w:r w:rsidR="009D7AFB" w:rsidRPr="00C97A7E">
          <w:rPr>
            <w:noProof w:val="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950844915"/>
      <w:docPartObj>
        <w:docPartGallery w:val="Page Numbers (Bottom of Page)"/>
        <w:docPartUnique/>
      </w:docPartObj>
    </w:sdtPr>
    <w:sdtEndPr>
      <w:rPr>
        <w:noProof/>
      </w:rPr>
    </w:sdtEndPr>
    <w:sdtContent>
      <w:p w14:paraId="31B8228F" w14:textId="77777777" w:rsidR="009D7AFB" w:rsidRDefault="009D7AFB" w:rsidP="00E70DAB">
        <w:pPr>
          <w:pStyle w:val="FooterBorder"/>
        </w:pPr>
      </w:p>
      <w:p w14:paraId="00129953" w14:textId="4C833FDF" w:rsidR="009D7AFB" w:rsidRPr="00941F93" w:rsidRDefault="00000000" w:rsidP="00E70DAB">
        <w:pPr>
          <w:pStyle w:val="Footer"/>
        </w:pPr>
        <w:sdt>
          <w:sdtPr>
            <w:alias w:val="Title"/>
            <w:tag w:val=""/>
            <w:id w:val="-212653689"/>
            <w:placeholder>
              <w:docPart w:val="A615EAED4B0D4784897C83A1DE2898CA"/>
            </w:placeholder>
            <w:dataBinding w:prefixMappings="xmlns:ns0='http://purl.org/dc/elements/1.1/' xmlns:ns1='http://schemas.openxmlformats.org/package/2006/metadata/core-properties' " w:xpath="/ns1:coreProperties[1]/ns0:title[1]" w:storeItemID="{6C3C8BC8-F283-45AE-878A-BAB7291924A1}"/>
            <w:text/>
          </w:sdtPr>
          <w:sdtContent>
            <w:r w:rsidR="00E76193">
              <w:t>Evaluation of DA13 INFF Project 2124A “Towards Integrated National Financing Framework”</w:t>
            </w:r>
          </w:sdtContent>
        </w:sdt>
        <w:r w:rsidR="009D7AFB">
          <w:tab/>
        </w:r>
        <w:r w:rsidR="009D7AFB" w:rsidRPr="00C97A7E">
          <w:fldChar w:fldCharType="begin"/>
        </w:r>
        <w:r w:rsidR="009D7AFB" w:rsidRPr="00C97A7E">
          <w:instrText xml:space="preserve"> PAGE   \* MERGEFORMAT </w:instrText>
        </w:r>
        <w:r w:rsidR="009D7AFB" w:rsidRPr="00C97A7E">
          <w:fldChar w:fldCharType="separate"/>
        </w:r>
        <w:r w:rsidR="009D7AFB" w:rsidRPr="003B666B">
          <w:rPr>
            <w:lang w:val="en-CA"/>
          </w:rPr>
          <w:t>2</w:t>
        </w:r>
        <w:r w:rsidR="009D7AFB" w:rsidRPr="00C97A7E">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32F89" w14:textId="77777777" w:rsidR="001E329C" w:rsidRPr="000143F8" w:rsidRDefault="001E329C" w:rsidP="002C7EB3">
      <w:pPr>
        <w:rPr>
          <w:color w:val="7F7F7F" w:themeColor="text1" w:themeTint="80"/>
        </w:rPr>
      </w:pPr>
      <w:r w:rsidRPr="000143F8">
        <w:rPr>
          <w:color w:val="7F7F7F" w:themeColor="text1" w:themeTint="80"/>
        </w:rPr>
        <w:separator/>
      </w:r>
    </w:p>
  </w:footnote>
  <w:footnote w:type="continuationSeparator" w:id="0">
    <w:p w14:paraId="64F7860C" w14:textId="77777777" w:rsidR="001E329C" w:rsidRDefault="001E329C" w:rsidP="002C7EB3">
      <w:r>
        <w:continuationSeparator/>
      </w:r>
    </w:p>
    <w:p w14:paraId="06DE6596" w14:textId="77777777" w:rsidR="001E329C" w:rsidRDefault="001E329C"/>
  </w:footnote>
  <w:footnote w:type="continuationNotice" w:id="1">
    <w:p w14:paraId="1F6B468E" w14:textId="77777777" w:rsidR="001E329C" w:rsidRDefault="001E329C"/>
    <w:p w14:paraId="717E67A3" w14:textId="77777777" w:rsidR="001E329C" w:rsidRDefault="001E329C"/>
  </w:footnote>
  <w:footnote w:id="2">
    <w:p w14:paraId="041C33B8" w14:textId="77777777" w:rsidR="007562E2" w:rsidRPr="0047765D" w:rsidRDefault="007562E2" w:rsidP="007562E2">
      <w:pPr>
        <w:pStyle w:val="FootnoteText"/>
        <w:rPr>
          <w:sz w:val="16"/>
          <w:szCs w:val="16"/>
          <w:lang w:val="en-CA"/>
        </w:rPr>
      </w:pPr>
      <w:r w:rsidRPr="0047765D">
        <w:rPr>
          <w:rStyle w:val="FootnoteReference"/>
          <w:sz w:val="16"/>
          <w:szCs w:val="16"/>
        </w:rPr>
        <w:footnoteRef/>
      </w:r>
      <w:r w:rsidRPr="0047765D">
        <w:rPr>
          <w:sz w:val="16"/>
          <w:szCs w:val="16"/>
        </w:rPr>
        <w:t xml:space="preserve"> Evaluation terms of reference (</w:t>
      </w:r>
      <w:r w:rsidRPr="0047765D">
        <w:rPr>
          <w:sz w:val="16"/>
          <w:szCs w:val="16"/>
          <w:lang w:val="en-CA"/>
        </w:rPr>
        <w:t>ToR), p.3</w:t>
      </w:r>
    </w:p>
  </w:footnote>
  <w:footnote w:id="3">
    <w:p w14:paraId="13FF991C" w14:textId="7BC8FCA7" w:rsidR="002A226C" w:rsidRPr="0047765D" w:rsidRDefault="002A226C">
      <w:pPr>
        <w:pStyle w:val="FootnoteText"/>
        <w:rPr>
          <w:sz w:val="16"/>
          <w:szCs w:val="16"/>
          <w:lang w:val="en-CA"/>
        </w:rPr>
      </w:pPr>
      <w:r w:rsidRPr="0047765D">
        <w:rPr>
          <w:rStyle w:val="FootnoteReference"/>
          <w:sz w:val="16"/>
          <w:szCs w:val="16"/>
        </w:rPr>
        <w:footnoteRef/>
      </w:r>
      <w:r w:rsidRPr="0047765D">
        <w:rPr>
          <w:sz w:val="16"/>
          <w:szCs w:val="16"/>
        </w:rPr>
        <w:t xml:space="preserve"> </w:t>
      </w:r>
      <w:r w:rsidR="00F82A45" w:rsidRPr="0047765D">
        <w:rPr>
          <w:sz w:val="16"/>
          <w:szCs w:val="16"/>
          <w:lang w:val="en-CA"/>
        </w:rPr>
        <w:t>Key findings from the evaluation will be</w:t>
      </w:r>
      <w:r w:rsidR="00214F35" w:rsidRPr="0047765D">
        <w:rPr>
          <w:sz w:val="16"/>
          <w:szCs w:val="16"/>
          <w:lang w:val="en-CA"/>
        </w:rPr>
        <w:t xml:space="preserve"> included in a progress report to </w:t>
      </w:r>
      <w:r w:rsidR="00F82A45" w:rsidRPr="0047765D">
        <w:rPr>
          <w:sz w:val="16"/>
          <w:szCs w:val="16"/>
          <w:lang w:val="en-CA"/>
        </w:rPr>
        <w:t>the General Assembly</w:t>
      </w:r>
      <w:r w:rsidR="002C667C" w:rsidRPr="0047765D">
        <w:rPr>
          <w:sz w:val="16"/>
          <w:szCs w:val="16"/>
          <w:lang w:val="en-CA"/>
        </w:rPr>
        <w:t xml:space="preserve"> on </w:t>
      </w:r>
      <w:r w:rsidR="00A91ED3" w:rsidRPr="0047765D">
        <w:rPr>
          <w:sz w:val="16"/>
          <w:szCs w:val="16"/>
          <w:lang w:val="en-CA"/>
        </w:rPr>
        <w:t xml:space="preserve">the implementation of </w:t>
      </w:r>
      <w:r w:rsidR="002C667C" w:rsidRPr="0047765D">
        <w:rPr>
          <w:sz w:val="16"/>
          <w:szCs w:val="16"/>
          <w:lang w:val="en-CA"/>
        </w:rPr>
        <w:t>DA-funded projects.</w:t>
      </w:r>
    </w:p>
  </w:footnote>
  <w:footnote w:id="4">
    <w:p w14:paraId="7EF94159" w14:textId="473AAE8D" w:rsidR="005D183A" w:rsidRPr="0047765D" w:rsidRDefault="005D183A">
      <w:pPr>
        <w:pStyle w:val="FootnoteText"/>
        <w:rPr>
          <w:sz w:val="16"/>
          <w:szCs w:val="16"/>
          <w:lang w:val="en-CA"/>
        </w:rPr>
      </w:pPr>
      <w:r w:rsidRPr="0047765D">
        <w:rPr>
          <w:rStyle w:val="FootnoteReference"/>
          <w:sz w:val="16"/>
          <w:szCs w:val="16"/>
        </w:rPr>
        <w:footnoteRef/>
      </w:r>
      <w:r w:rsidRPr="0047765D">
        <w:rPr>
          <w:sz w:val="16"/>
          <w:szCs w:val="16"/>
        </w:rPr>
        <w:t xml:space="preserve"> </w:t>
      </w:r>
      <w:r w:rsidR="006E60DF" w:rsidRPr="0047765D">
        <w:rPr>
          <w:sz w:val="16"/>
          <w:szCs w:val="16"/>
          <w:lang w:val="en-CA"/>
        </w:rPr>
        <w:t>While the ToR indicate</w:t>
      </w:r>
      <w:r w:rsidR="00D41DD0" w:rsidRPr="0047765D">
        <w:rPr>
          <w:sz w:val="16"/>
          <w:szCs w:val="16"/>
          <w:lang w:val="en-CA"/>
        </w:rPr>
        <w:t>d that the evaluation w</w:t>
      </w:r>
      <w:r w:rsidR="00B60BE1">
        <w:rPr>
          <w:sz w:val="16"/>
          <w:szCs w:val="16"/>
          <w:lang w:val="en-CA"/>
        </w:rPr>
        <w:t>ould be</w:t>
      </w:r>
      <w:r w:rsidR="00D41DD0" w:rsidRPr="0047765D">
        <w:rPr>
          <w:sz w:val="16"/>
          <w:szCs w:val="16"/>
          <w:lang w:val="en-CA"/>
        </w:rPr>
        <w:t xml:space="preserve"> shared with </w:t>
      </w:r>
      <w:r w:rsidR="00B60BE1">
        <w:rPr>
          <w:sz w:val="16"/>
          <w:szCs w:val="16"/>
          <w:lang w:val="en-CA"/>
        </w:rPr>
        <w:t>participants</w:t>
      </w:r>
      <w:r w:rsidR="00D41DD0" w:rsidRPr="0047765D">
        <w:rPr>
          <w:sz w:val="16"/>
          <w:szCs w:val="16"/>
        </w:rPr>
        <w:t xml:space="preserve"> at the 4</w:t>
      </w:r>
      <w:r w:rsidR="00D41DD0" w:rsidRPr="0047765D">
        <w:rPr>
          <w:sz w:val="16"/>
          <w:szCs w:val="16"/>
          <w:vertAlign w:val="superscript"/>
        </w:rPr>
        <w:t>th</w:t>
      </w:r>
      <w:r w:rsidR="00D41DD0" w:rsidRPr="0047765D">
        <w:rPr>
          <w:sz w:val="16"/>
          <w:szCs w:val="16"/>
        </w:rPr>
        <w:t xml:space="preserve"> International Conference on Financing for Development (FFD4)</w:t>
      </w:r>
      <w:r w:rsidR="00EF39A8" w:rsidRPr="0047765D">
        <w:rPr>
          <w:sz w:val="16"/>
          <w:szCs w:val="16"/>
        </w:rPr>
        <w:t>, as a result of the timing of the exercise, the final report will be placed with</w:t>
      </w:r>
      <w:r w:rsidR="000901FE">
        <w:rPr>
          <w:sz w:val="16"/>
          <w:szCs w:val="16"/>
        </w:rPr>
        <w:t>in</w:t>
      </w:r>
      <w:r w:rsidR="00EF39A8" w:rsidRPr="0047765D">
        <w:rPr>
          <w:sz w:val="16"/>
          <w:szCs w:val="16"/>
        </w:rPr>
        <w:t xml:space="preserve"> the public domain</w:t>
      </w:r>
      <w:r w:rsidR="000901FE">
        <w:rPr>
          <w:sz w:val="16"/>
          <w:szCs w:val="16"/>
        </w:rPr>
        <w:t xml:space="preserve">, to be </w:t>
      </w:r>
      <w:r w:rsidR="00EF39A8" w:rsidRPr="0047765D">
        <w:rPr>
          <w:sz w:val="16"/>
          <w:szCs w:val="16"/>
        </w:rPr>
        <w:t>access</w:t>
      </w:r>
      <w:r w:rsidR="003F29B7">
        <w:rPr>
          <w:sz w:val="16"/>
          <w:szCs w:val="16"/>
        </w:rPr>
        <w:t>ed</w:t>
      </w:r>
      <w:r w:rsidR="00EF39A8" w:rsidRPr="0047765D">
        <w:rPr>
          <w:sz w:val="16"/>
          <w:szCs w:val="16"/>
        </w:rPr>
        <w:t xml:space="preserve"> by interested parties.</w:t>
      </w:r>
    </w:p>
  </w:footnote>
  <w:footnote w:id="5">
    <w:p w14:paraId="4C35E744" w14:textId="288A24BB" w:rsidR="00363398" w:rsidRPr="00F96C8E" w:rsidRDefault="00363398">
      <w:pPr>
        <w:pStyle w:val="FootnoteText"/>
        <w:rPr>
          <w:sz w:val="16"/>
          <w:szCs w:val="16"/>
          <w:lang w:val="en-CA"/>
        </w:rPr>
      </w:pPr>
      <w:r w:rsidRPr="00F96C8E">
        <w:rPr>
          <w:rStyle w:val="FootnoteReference"/>
          <w:sz w:val="16"/>
          <w:szCs w:val="16"/>
        </w:rPr>
        <w:footnoteRef/>
      </w:r>
      <w:hyperlink r:id="rId1" w:history="1">
        <w:r w:rsidR="00EF78FC" w:rsidRPr="00F96C8E">
          <w:rPr>
            <w:rStyle w:val="Hyperlink"/>
            <w:sz w:val="16"/>
            <w:szCs w:val="16"/>
          </w:rPr>
          <w:t>https://www.un.org/en/development/desa/population/migration/generalassembly/docs/globalcompact/A_RES_69_313.pdf</w:t>
        </w:r>
      </w:hyperlink>
      <w:r w:rsidRPr="00F96C8E">
        <w:rPr>
          <w:sz w:val="16"/>
          <w:szCs w:val="16"/>
        </w:rPr>
        <w:t xml:space="preserve"> </w:t>
      </w:r>
    </w:p>
  </w:footnote>
  <w:footnote w:id="6">
    <w:p w14:paraId="6992FD38" w14:textId="77777777" w:rsidR="00563CEB" w:rsidRPr="00F96C8E" w:rsidRDefault="00563CEB" w:rsidP="00563CEB">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2" w:history="1">
        <w:r w:rsidRPr="00F96C8E">
          <w:rPr>
            <w:rStyle w:val="Hyperlink"/>
            <w:sz w:val="16"/>
            <w:szCs w:val="16"/>
          </w:rPr>
          <w:t>https://www.un.org/en/desa/post-2015-development-agenda</w:t>
        </w:r>
      </w:hyperlink>
      <w:r w:rsidRPr="00F96C8E">
        <w:rPr>
          <w:sz w:val="16"/>
          <w:szCs w:val="16"/>
        </w:rPr>
        <w:t xml:space="preserve"> </w:t>
      </w:r>
    </w:p>
  </w:footnote>
  <w:footnote w:id="7">
    <w:p w14:paraId="343C360B" w14:textId="3796785B" w:rsidR="002B0DEC" w:rsidRPr="00F96C8E" w:rsidRDefault="002B0DEC">
      <w:pPr>
        <w:pStyle w:val="FootnoteText"/>
        <w:rPr>
          <w:sz w:val="16"/>
          <w:szCs w:val="16"/>
          <w:lang w:val="en-CA"/>
        </w:rPr>
      </w:pPr>
      <w:r w:rsidRPr="00F96C8E">
        <w:rPr>
          <w:rStyle w:val="FootnoteReference"/>
          <w:sz w:val="16"/>
          <w:szCs w:val="16"/>
        </w:rPr>
        <w:footnoteRef/>
      </w:r>
      <w:r w:rsidRPr="00F96C8E">
        <w:rPr>
          <w:sz w:val="16"/>
          <w:szCs w:val="16"/>
        </w:rPr>
        <w:t xml:space="preserve"> Addis Ababa Action Agenda of the Third International Conference on Financing For Development, p.</w:t>
      </w:r>
      <w:r w:rsidR="00EE2CB3" w:rsidRPr="00F96C8E">
        <w:rPr>
          <w:sz w:val="16"/>
          <w:szCs w:val="16"/>
        </w:rPr>
        <w:t>5</w:t>
      </w:r>
      <w:r w:rsidRPr="00F96C8E">
        <w:rPr>
          <w:sz w:val="16"/>
          <w:szCs w:val="16"/>
        </w:rPr>
        <w:t>, para.</w:t>
      </w:r>
      <w:r w:rsidR="00EE2CB3" w:rsidRPr="00F96C8E">
        <w:rPr>
          <w:sz w:val="16"/>
          <w:szCs w:val="16"/>
        </w:rPr>
        <w:t>9</w:t>
      </w:r>
    </w:p>
  </w:footnote>
  <w:footnote w:id="8">
    <w:p w14:paraId="68BCAB53" w14:textId="0F527B4F" w:rsidR="005A3AD8" w:rsidRPr="00F96C8E" w:rsidRDefault="005A3AD8">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3" w:history="1">
        <w:r w:rsidR="009C4585" w:rsidRPr="00F96C8E">
          <w:rPr>
            <w:rStyle w:val="Hyperlink"/>
            <w:sz w:val="16"/>
            <w:szCs w:val="16"/>
          </w:rPr>
          <w:t>https://desapublications.un.org/publications/financing-sustainable-development-report-2024?_gl=1*x1oftr*_ga*OTc2NDM1MTcyLjE3NDYyOTQyMjQ.*_ga_TK9BQL5X7Z*czE3NTE4MjQ0NDQkbzgkZzEkdDE3NTE4MjU4NzIkajYwJGwwJGgw</w:t>
        </w:r>
      </w:hyperlink>
      <w:r w:rsidR="009C4585" w:rsidRPr="00F96C8E">
        <w:rPr>
          <w:sz w:val="16"/>
          <w:szCs w:val="16"/>
        </w:rPr>
        <w:t xml:space="preserve"> </w:t>
      </w:r>
    </w:p>
  </w:footnote>
  <w:footnote w:id="9">
    <w:p w14:paraId="1561BDAD" w14:textId="54D98081" w:rsidR="00A7437D" w:rsidRPr="00F96C8E" w:rsidRDefault="00A7437D">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4" w:history="1">
        <w:r w:rsidRPr="00F96C8E">
          <w:rPr>
            <w:rStyle w:val="Hyperlink"/>
            <w:sz w:val="16"/>
            <w:szCs w:val="16"/>
          </w:rPr>
          <w:t>https://www.un.org/en/desa/leaving-no-one-behind</w:t>
        </w:r>
      </w:hyperlink>
      <w:r w:rsidRPr="00F96C8E">
        <w:rPr>
          <w:sz w:val="16"/>
          <w:szCs w:val="16"/>
        </w:rPr>
        <w:t xml:space="preserve"> </w:t>
      </w:r>
    </w:p>
  </w:footnote>
  <w:footnote w:id="10">
    <w:p w14:paraId="7D120C39" w14:textId="77777777" w:rsidR="00BC0181" w:rsidRPr="00F96C8E" w:rsidRDefault="00BC0181" w:rsidP="00BC0181">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5" w:history="1">
        <w:r w:rsidRPr="00F96C8E">
          <w:rPr>
            <w:rStyle w:val="Hyperlink"/>
            <w:sz w:val="16"/>
            <w:szCs w:val="16"/>
          </w:rPr>
          <w:t>https://financing.desa.un.org/sites/default/files/2022-02/Report_IATF-2017.pdf</w:t>
        </w:r>
      </w:hyperlink>
      <w:r w:rsidRPr="00F96C8E">
        <w:rPr>
          <w:sz w:val="16"/>
          <w:szCs w:val="16"/>
        </w:rPr>
        <w:t xml:space="preserve"> </w:t>
      </w:r>
    </w:p>
  </w:footnote>
  <w:footnote w:id="11">
    <w:p w14:paraId="13280802" w14:textId="5116F95F" w:rsidR="00772021" w:rsidRPr="00F96C8E" w:rsidRDefault="00772021">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6" w:history="1">
        <w:r w:rsidRPr="00F96C8E">
          <w:rPr>
            <w:rStyle w:val="Hyperlink"/>
            <w:sz w:val="16"/>
            <w:szCs w:val="16"/>
          </w:rPr>
          <w:t>https://sdgs.un.org/2030agenda</w:t>
        </w:r>
      </w:hyperlink>
      <w:r w:rsidRPr="00F96C8E">
        <w:rPr>
          <w:sz w:val="16"/>
          <w:szCs w:val="16"/>
        </w:rPr>
        <w:t xml:space="preserve"> </w:t>
      </w:r>
    </w:p>
  </w:footnote>
  <w:footnote w:id="12">
    <w:p w14:paraId="115BE772" w14:textId="163D5439" w:rsidR="00AE1E30" w:rsidRPr="00F96C8E" w:rsidRDefault="00AE1E30">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7" w:history="1">
        <w:r w:rsidRPr="00F96C8E">
          <w:rPr>
            <w:rStyle w:val="Hyperlink"/>
            <w:sz w:val="16"/>
            <w:szCs w:val="16"/>
          </w:rPr>
          <w:t>https://desapublications.un.org/publications/financing-sustainable-development-report-2024?_gl=1*x1oftr*_ga*OTc2NDM1MTcyLjE3NDYyOTQyMjQ.*_ga_TK9BQL5X7Z*czE3NTE4MjQ0NDQkbzgkZzEkdDE3NTE4MjU4NzIkajYwJGwwJGgw</w:t>
        </w:r>
      </w:hyperlink>
      <w:r w:rsidRPr="00F96C8E">
        <w:rPr>
          <w:sz w:val="16"/>
          <w:szCs w:val="16"/>
        </w:rPr>
        <w:t xml:space="preserve"> </w:t>
      </w:r>
    </w:p>
  </w:footnote>
  <w:footnote w:id="13">
    <w:p w14:paraId="5BF793B1" w14:textId="77777777" w:rsidR="00D6282E" w:rsidRPr="00F916A8" w:rsidRDefault="00D6282E" w:rsidP="00D6282E">
      <w:pPr>
        <w:pStyle w:val="FootnoteText"/>
        <w:rPr>
          <w:lang w:val="en-CA"/>
        </w:rPr>
      </w:pPr>
      <w:r>
        <w:rPr>
          <w:rStyle w:val="FootnoteReference"/>
        </w:rPr>
        <w:footnoteRef/>
      </w:r>
      <w:r>
        <w:t xml:space="preserve"> </w:t>
      </w:r>
      <w:r w:rsidRPr="00F96C8E">
        <w:rPr>
          <w:sz w:val="16"/>
          <w:szCs w:val="16"/>
        </w:rPr>
        <w:t xml:space="preserve">United Nations Conference on Trade and Development (2022). </w:t>
      </w:r>
      <w:r w:rsidRPr="00F96C8E">
        <w:rPr>
          <w:i/>
          <w:iCs/>
          <w:sz w:val="16"/>
          <w:szCs w:val="16"/>
        </w:rPr>
        <w:t>SDG Pulse 2021</w:t>
      </w:r>
      <w:r w:rsidRPr="00F96C8E">
        <w:rPr>
          <w:sz w:val="16"/>
          <w:szCs w:val="16"/>
        </w:rPr>
        <w:t>. Geneva: UNCTAD.</w:t>
      </w:r>
      <w:r>
        <w:t xml:space="preserve"> </w:t>
      </w:r>
    </w:p>
  </w:footnote>
  <w:footnote w:id="14">
    <w:p w14:paraId="5EC91DB3" w14:textId="0B73BFCD" w:rsidR="00A26605" w:rsidRPr="00F96C8E" w:rsidRDefault="00A26605">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8" w:history="1">
        <w:r w:rsidR="00EE23E7" w:rsidRPr="00F96C8E">
          <w:rPr>
            <w:rStyle w:val="Hyperlink"/>
            <w:sz w:val="16"/>
            <w:szCs w:val="16"/>
          </w:rPr>
          <w:t>https://inff.org/about/about-inffs</w:t>
        </w:r>
      </w:hyperlink>
      <w:r w:rsidR="00EE23E7" w:rsidRPr="00F96C8E">
        <w:rPr>
          <w:sz w:val="16"/>
          <w:szCs w:val="16"/>
        </w:rPr>
        <w:t xml:space="preserve"> </w:t>
      </w:r>
    </w:p>
  </w:footnote>
  <w:footnote w:id="15">
    <w:p w14:paraId="1014651F" w14:textId="77777777" w:rsidR="00564EBD" w:rsidRPr="00F96C8E" w:rsidRDefault="00564EBD" w:rsidP="00564EBD">
      <w:pPr>
        <w:pStyle w:val="FootnoteText"/>
        <w:rPr>
          <w:sz w:val="16"/>
          <w:szCs w:val="16"/>
          <w:lang w:val="en-CA"/>
        </w:rPr>
      </w:pPr>
      <w:r w:rsidRPr="00F96C8E">
        <w:rPr>
          <w:rStyle w:val="FootnoteReference"/>
          <w:sz w:val="16"/>
          <w:szCs w:val="16"/>
        </w:rPr>
        <w:footnoteRef/>
      </w:r>
      <w:r w:rsidRPr="00F96C8E">
        <w:rPr>
          <w:sz w:val="16"/>
          <w:szCs w:val="16"/>
        </w:rPr>
        <w:t xml:space="preserve"> </w:t>
      </w:r>
      <w:r w:rsidRPr="00F96C8E">
        <w:rPr>
          <w:sz w:val="16"/>
          <w:szCs w:val="16"/>
          <w:lang w:val="en-CA"/>
        </w:rPr>
        <w:t xml:space="preserve">ibid </w:t>
      </w:r>
    </w:p>
  </w:footnote>
  <w:footnote w:id="16">
    <w:p w14:paraId="797814D3" w14:textId="77777777" w:rsidR="00564EBD" w:rsidRPr="00F96C8E" w:rsidRDefault="00564EBD" w:rsidP="00564EBD">
      <w:pPr>
        <w:pStyle w:val="FootnoteText"/>
        <w:rPr>
          <w:sz w:val="16"/>
          <w:szCs w:val="16"/>
          <w:lang w:val="en-CA"/>
        </w:rPr>
      </w:pPr>
      <w:r w:rsidRPr="00F96C8E">
        <w:rPr>
          <w:rStyle w:val="FootnoteReference"/>
          <w:sz w:val="16"/>
          <w:szCs w:val="16"/>
        </w:rPr>
        <w:footnoteRef/>
      </w:r>
      <w:r w:rsidRPr="00F96C8E">
        <w:rPr>
          <w:sz w:val="16"/>
          <w:szCs w:val="16"/>
        </w:rPr>
        <w:t xml:space="preserve"> ibid </w:t>
      </w:r>
    </w:p>
  </w:footnote>
  <w:footnote w:id="17">
    <w:p w14:paraId="14714A8B" w14:textId="6BC62869" w:rsidR="00E86922" w:rsidRPr="00F96C8E" w:rsidRDefault="00E86922">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9" w:history="1">
        <w:r w:rsidR="008E68E0" w:rsidRPr="00F96C8E">
          <w:rPr>
            <w:rStyle w:val="Hyperlink"/>
            <w:sz w:val="16"/>
            <w:szCs w:val="16"/>
          </w:rPr>
          <w:t>https://www.un.org/esa/ffd/ffd3/conference/history.html</w:t>
        </w:r>
      </w:hyperlink>
      <w:r w:rsidR="008E68E0" w:rsidRPr="00F96C8E">
        <w:rPr>
          <w:sz w:val="16"/>
          <w:szCs w:val="16"/>
        </w:rPr>
        <w:t xml:space="preserve"> </w:t>
      </w:r>
    </w:p>
  </w:footnote>
  <w:footnote w:id="18">
    <w:p w14:paraId="040DFCAF" w14:textId="77777777" w:rsidR="008E68E0" w:rsidRPr="00F96C8E" w:rsidRDefault="008E68E0" w:rsidP="008E68E0">
      <w:pPr>
        <w:pStyle w:val="FootnoteText"/>
        <w:rPr>
          <w:sz w:val="16"/>
          <w:szCs w:val="16"/>
          <w:lang w:val="en-CA"/>
        </w:rPr>
      </w:pPr>
      <w:r w:rsidRPr="00F96C8E">
        <w:rPr>
          <w:rStyle w:val="FootnoteReference"/>
          <w:sz w:val="16"/>
          <w:szCs w:val="16"/>
        </w:rPr>
        <w:footnoteRef/>
      </w:r>
      <w:r w:rsidRPr="00F96C8E">
        <w:rPr>
          <w:sz w:val="16"/>
          <w:szCs w:val="16"/>
        </w:rPr>
        <w:t xml:space="preserve"> ibid </w:t>
      </w:r>
    </w:p>
  </w:footnote>
  <w:footnote w:id="19">
    <w:p w14:paraId="29AA2244" w14:textId="6482D017" w:rsidR="00544AE8" w:rsidRPr="00F96C8E" w:rsidRDefault="00544AE8">
      <w:pPr>
        <w:pStyle w:val="FootnoteText"/>
        <w:rPr>
          <w:sz w:val="16"/>
          <w:szCs w:val="16"/>
          <w:lang w:val="en-CA"/>
        </w:rPr>
      </w:pPr>
      <w:r w:rsidRPr="00F96C8E">
        <w:rPr>
          <w:rStyle w:val="FootnoteReference"/>
          <w:sz w:val="16"/>
          <w:szCs w:val="16"/>
        </w:rPr>
        <w:footnoteRef/>
      </w:r>
      <w:r w:rsidR="00864BDF" w:rsidRPr="00F96C8E">
        <w:rPr>
          <w:sz w:val="16"/>
          <w:szCs w:val="16"/>
        </w:rPr>
        <w:t xml:space="preserve"> ibid </w:t>
      </w:r>
    </w:p>
  </w:footnote>
  <w:footnote w:id="20">
    <w:p w14:paraId="4117C978" w14:textId="08DB6898" w:rsidR="00C96D83" w:rsidRPr="00F96C8E" w:rsidRDefault="00C96D83" w:rsidP="001F6E85">
      <w:pPr>
        <w:rPr>
          <w:sz w:val="16"/>
          <w:szCs w:val="16"/>
        </w:rPr>
      </w:pPr>
      <w:r w:rsidRPr="00F96C8E">
        <w:rPr>
          <w:rStyle w:val="FootnoteReference"/>
          <w:sz w:val="16"/>
          <w:szCs w:val="16"/>
        </w:rPr>
        <w:footnoteRef/>
      </w:r>
      <w:r w:rsidRPr="00F96C8E">
        <w:rPr>
          <w:sz w:val="16"/>
          <w:szCs w:val="16"/>
        </w:rPr>
        <w:t xml:space="preserve"> </w:t>
      </w:r>
      <w:hyperlink r:id="rId10" w:history="1">
        <w:r w:rsidRPr="00F96C8E">
          <w:rPr>
            <w:rStyle w:val="Hyperlink"/>
            <w:sz w:val="16"/>
            <w:szCs w:val="16"/>
          </w:rPr>
          <w:t>https://www.un.org/esa/ffd/uncategorized/about-the-inter-agency-task-force-on-financing-for-development.html</w:t>
        </w:r>
      </w:hyperlink>
    </w:p>
  </w:footnote>
  <w:footnote w:id="21">
    <w:p w14:paraId="186125C0" w14:textId="2283BED6" w:rsidR="000B51A4" w:rsidRPr="00F96C8E" w:rsidRDefault="000B51A4">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11" w:history="1">
        <w:r w:rsidRPr="00F96C8E">
          <w:rPr>
            <w:rStyle w:val="Hyperlink"/>
            <w:sz w:val="16"/>
            <w:szCs w:val="16"/>
          </w:rPr>
          <w:t>https://inff.org/about/inff-facility</w:t>
        </w:r>
      </w:hyperlink>
      <w:r w:rsidRPr="00F96C8E">
        <w:rPr>
          <w:sz w:val="16"/>
          <w:szCs w:val="16"/>
        </w:rPr>
        <w:t xml:space="preserve"> </w:t>
      </w:r>
    </w:p>
  </w:footnote>
  <w:footnote w:id="22">
    <w:p w14:paraId="0CF7FC61" w14:textId="0D99C430" w:rsidR="004C76D0" w:rsidRPr="00F96C8E" w:rsidRDefault="004C76D0">
      <w:pPr>
        <w:pStyle w:val="FootnoteText"/>
        <w:rPr>
          <w:sz w:val="16"/>
          <w:szCs w:val="16"/>
          <w:lang w:val="en-CA"/>
        </w:rPr>
      </w:pPr>
      <w:r w:rsidRPr="00F96C8E">
        <w:rPr>
          <w:rStyle w:val="FootnoteReference"/>
          <w:sz w:val="16"/>
          <w:szCs w:val="16"/>
        </w:rPr>
        <w:footnoteRef/>
      </w:r>
      <w:r w:rsidRPr="00F96C8E">
        <w:rPr>
          <w:sz w:val="16"/>
          <w:szCs w:val="16"/>
        </w:rPr>
        <w:t xml:space="preserve"> </w:t>
      </w:r>
      <w:hyperlink r:id="rId12" w:history="1">
        <w:r w:rsidR="0021559F" w:rsidRPr="00F96C8E">
          <w:rPr>
            <w:rStyle w:val="Hyperlink"/>
            <w:sz w:val="16"/>
            <w:szCs w:val="16"/>
          </w:rPr>
          <w:t>https://financing.desa.un.org/iatf/inter-agency-task-force-members</w:t>
        </w:r>
      </w:hyperlink>
      <w:r w:rsidR="0021559F" w:rsidRPr="00F96C8E">
        <w:rPr>
          <w:sz w:val="16"/>
          <w:szCs w:val="16"/>
        </w:rPr>
        <w:t xml:space="preserve"> </w:t>
      </w:r>
    </w:p>
  </w:footnote>
  <w:footnote w:id="23">
    <w:p w14:paraId="255B5680" w14:textId="45DB30D7" w:rsidR="00E17472" w:rsidRPr="00E17472" w:rsidRDefault="00E17472">
      <w:pPr>
        <w:pStyle w:val="FootnoteText"/>
        <w:rPr>
          <w:lang w:val="en-CA"/>
        </w:rPr>
      </w:pPr>
      <w:r w:rsidRPr="00F96C8E">
        <w:rPr>
          <w:rStyle w:val="FootnoteReference"/>
          <w:sz w:val="16"/>
          <w:szCs w:val="16"/>
        </w:rPr>
        <w:footnoteRef/>
      </w:r>
      <w:r w:rsidRPr="00F96C8E">
        <w:rPr>
          <w:sz w:val="16"/>
          <w:szCs w:val="16"/>
        </w:rPr>
        <w:t xml:space="preserve"> </w:t>
      </w:r>
      <w:hyperlink r:id="rId13" w:history="1">
        <w:r w:rsidRPr="00F96C8E">
          <w:rPr>
            <w:rStyle w:val="Hyperlink"/>
            <w:sz w:val="16"/>
            <w:szCs w:val="16"/>
          </w:rPr>
          <w:t>https://desapublications.un.org/policy-briefs/undesa-policy-brief-87-integrated-national-financing-frameworks-framework-build-back</w:t>
        </w:r>
      </w:hyperlink>
      <w:r>
        <w:t xml:space="preserve"> </w:t>
      </w:r>
    </w:p>
  </w:footnote>
  <w:footnote w:id="24">
    <w:p w14:paraId="200D5CF7" w14:textId="4AF8E100" w:rsidR="004D2864" w:rsidRPr="00F96C8E" w:rsidRDefault="004D2864">
      <w:pPr>
        <w:pStyle w:val="FootnoteText"/>
        <w:rPr>
          <w:sz w:val="16"/>
          <w:szCs w:val="16"/>
          <w:lang w:val="en-CA"/>
        </w:rPr>
      </w:pPr>
      <w:r w:rsidRPr="00F96C8E">
        <w:rPr>
          <w:rStyle w:val="FootnoteReference"/>
          <w:sz w:val="16"/>
          <w:szCs w:val="16"/>
        </w:rPr>
        <w:footnoteRef/>
      </w:r>
      <w:r w:rsidRPr="00F96C8E">
        <w:rPr>
          <w:sz w:val="16"/>
          <w:szCs w:val="16"/>
        </w:rPr>
        <w:t xml:space="preserve"> </w:t>
      </w:r>
      <w:r w:rsidR="00A121AB" w:rsidRPr="00F96C8E">
        <w:rPr>
          <w:sz w:val="16"/>
          <w:szCs w:val="16"/>
          <w:lang w:val="en-CA"/>
        </w:rPr>
        <w:t xml:space="preserve">Hereafter, </w:t>
      </w:r>
      <w:r w:rsidR="008410B6">
        <w:rPr>
          <w:sz w:val="16"/>
          <w:szCs w:val="16"/>
          <w:lang w:val="en-CA"/>
        </w:rPr>
        <w:t>Draft project document</w:t>
      </w:r>
    </w:p>
  </w:footnote>
  <w:footnote w:id="25">
    <w:p w14:paraId="74105323" w14:textId="0FB90043" w:rsidR="007548EF" w:rsidRPr="00F96C8E" w:rsidRDefault="007548EF">
      <w:pPr>
        <w:pStyle w:val="FootnoteText"/>
        <w:rPr>
          <w:sz w:val="16"/>
          <w:szCs w:val="16"/>
          <w:lang w:val="en-CA"/>
        </w:rPr>
      </w:pPr>
      <w:r w:rsidRPr="00F96C8E">
        <w:rPr>
          <w:rStyle w:val="FootnoteReference"/>
          <w:sz w:val="16"/>
          <w:szCs w:val="16"/>
        </w:rPr>
        <w:footnoteRef/>
      </w:r>
      <w:r w:rsidRPr="00F96C8E">
        <w:rPr>
          <w:sz w:val="16"/>
          <w:szCs w:val="16"/>
        </w:rPr>
        <w:t xml:space="preserve"> </w:t>
      </w:r>
      <w:r w:rsidRPr="00F96C8E">
        <w:rPr>
          <w:sz w:val="16"/>
          <w:szCs w:val="16"/>
          <w:lang w:val="en-CA"/>
        </w:rPr>
        <w:t>SROSA – Sub-regional Office for Southern Africa</w:t>
      </w:r>
    </w:p>
  </w:footnote>
  <w:footnote w:id="26">
    <w:p w14:paraId="505FB0BB" w14:textId="5206829A" w:rsidR="00B50064" w:rsidRPr="008B1F3A" w:rsidRDefault="00B50064">
      <w:pPr>
        <w:pStyle w:val="FootnoteText"/>
        <w:rPr>
          <w:sz w:val="16"/>
          <w:szCs w:val="16"/>
          <w:lang w:val="en-CA"/>
        </w:rPr>
      </w:pPr>
      <w:r w:rsidRPr="008B1F3A">
        <w:rPr>
          <w:rStyle w:val="FootnoteReference"/>
          <w:sz w:val="16"/>
          <w:szCs w:val="16"/>
        </w:rPr>
        <w:footnoteRef/>
      </w:r>
      <w:r w:rsidRPr="008B1F3A">
        <w:rPr>
          <w:sz w:val="16"/>
          <w:szCs w:val="16"/>
        </w:rPr>
        <w:t xml:space="preserve"> </w:t>
      </w:r>
      <w:r w:rsidR="008410B6">
        <w:rPr>
          <w:i/>
          <w:iCs/>
          <w:sz w:val="16"/>
          <w:szCs w:val="16"/>
          <w:lang w:val="fr-CH"/>
        </w:rPr>
        <w:t>Draft project document</w:t>
      </w:r>
      <w:r w:rsidRPr="008B1F3A">
        <w:rPr>
          <w:i/>
          <w:iCs/>
          <w:sz w:val="16"/>
          <w:szCs w:val="16"/>
          <w:lang w:val="fr-CH"/>
        </w:rPr>
        <w:t xml:space="preserve">; </w:t>
      </w:r>
      <w:hyperlink r:id="rId14" w:history="1">
        <w:r w:rsidR="008D49A0" w:rsidRPr="008B1F3A">
          <w:rPr>
            <w:rStyle w:val="Hyperlink"/>
            <w:i/>
            <w:iCs/>
            <w:sz w:val="16"/>
            <w:szCs w:val="16"/>
            <w:lang w:val="fr-CH"/>
          </w:rPr>
          <w:t>https://www.jointsdgfund.org/sdg-financing</w:t>
        </w:r>
      </w:hyperlink>
      <w:r w:rsidRPr="008B1F3A">
        <w:rPr>
          <w:i/>
          <w:iCs/>
          <w:sz w:val="16"/>
          <w:szCs w:val="16"/>
          <w:lang w:val="fr-CH"/>
        </w:rPr>
        <w:t>;</w:t>
      </w:r>
      <w:r w:rsidR="001216C7">
        <w:rPr>
          <w:i/>
          <w:iCs/>
          <w:sz w:val="16"/>
          <w:szCs w:val="16"/>
          <w:lang w:val="fr-CH"/>
        </w:rPr>
        <w:t xml:space="preserve"> </w:t>
      </w:r>
      <w:r w:rsidRPr="008B1F3A">
        <w:rPr>
          <w:i/>
          <w:iCs/>
          <w:sz w:val="16"/>
          <w:szCs w:val="16"/>
          <w:lang w:val="fr-CH"/>
        </w:rPr>
        <w:t xml:space="preserve"> </w:t>
      </w:r>
      <w:hyperlink r:id="rId15" w:history="1">
        <w:r w:rsidRPr="008B1F3A">
          <w:rPr>
            <w:rStyle w:val="Hyperlink"/>
            <w:sz w:val="16"/>
            <w:szCs w:val="16"/>
          </w:rPr>
          <w:t>https://www.sprep.org/unjp-sess</w:t>
        </w:r>
      </w:hyperlink>
      <w:r w:rsidR="00282DFB" w:rsidRPr="008B1F3A">
        <w:rPr>
          <w:sz w:val="16"/>
          <w:szCs w:val="16"/>
        </w:rPr>
        <w:t xml:space="preserve">; </w:t>
      </w:r>
      <w:hyperlink r:id="rId16" w:history="1">
        <w:r w:rsidR="00837D73" w:rsidRPr="008B1F3A">
          <w:rPr>
            <w:rStyle w:val="Hyperlink"/>
            <w:sz w:val="16"/>
            <w:szCs w:val="16"/>
          </w:rPr>
          <w:t>DFA Burkina Faso 2022</w:t>
        </w:r>
      </w:hyperlink>
      <w:r w:rsidR="00837D73" w:rsidRPr="008B1F3A">
        <w:rPr>
          <w:sz w:val="16"/>
          <w:szCs w:val="16"/>
        </w:rPr>
        <w:t xml:space="preserve">; </w:t>
      </w:r>
      <w:r w:rsidRPr="008B1F3A">
        <w:rPr>
          <w:sz w:val="16"/>
          <w:szCs w:val="16"/>
        </w:rPr>
        <w:t xml:space="preserve"> </w:t>
      </w:r>
    </w:p>
  </w:footnote>
  <w:footnote w:id="27">
    <w:p w14:paraId="2DFA13D4" w14:textId="4E419D47" w:rsidR="00CA56D2" w:rsidRPr="008B1F3A" w:rsidRDefault="00CA56D2" w:rsidP="00CA56D2">
      <w:pPr>
        <w:pStyle w:val="FootnoteText"/>
        <w:rPr>
          <w:sz w:val="16"/>
          <w:szCs w:val="16"/>
          <w:lang w:val="en-CA"/>
        </w:rPr>
      </w:pPr>
      <w:r w:rsidRPr="008B1F3A">
        <w:rPr>
          <w:rStyle w:val="FootnoteReference"/>
          <w:sz w:val="16"/>
          <w:szCs w:val="16"/>
        </w:rPr>
        <w:footnoteRef/>
      </w:r>
      <w:r w:rsidRPr="008B1F3A">
        <w:rPr>
          <w:sz w:val="16"/>
          <w:szCs w:val="16"/>
        </w:rPr>
        <w:t xml:space="preserve"> </w:t>
      </w:r>
      <w:r w:rsidR="005A5030" w:rsidRPr="008B1F3A">
        <w:rPr>
          <w:sz w:val="16"/>
          <w:szCs w:val="16"/>
        </w:rPr>
        <w:t>See A</w:t>
      </w:r>
      <w:r w:rsidR="0049778B" w:rsidRPr="008B1F3A">
        <w:rPr>
          <w:sz w:val="16"/>
          <w:szCs w:val="16"/>
        </w:rPr>
        <w:t xml:space="preserve">nnex 2: </w:t>
      </w:r>
      <w:r w:rsidRPr="008B1F3A">
        <w:rPr>
          <w:sz w:val="16"/>
          <w:szCs w:val="16"/>
          <w:lang w:val="en-CA"/>
        </w:rPr>
        <w:t>Project</w:t>
      </w:r>
      <w:r w:rsidR="0049778B" w:rsidRPr="008B1F3A">
        <w:rPr>
          <w:sz w:val="16"/>
          <w:szCs w:val="16"/>
          <w:lang w:val="en-CA"/>
        </w:rPr>
        <w:t xml:space="preserve"> theory of change/ Results framework</w:t>
      </w:r>
    </w:p>
  </w:footnote>
  <w:footnote w:id="28">
    <w:p w14:paraId="067B4E3E" w14:textId="12C1378E" w:rsidR="00977A28" w:rsidRPr="008B1F3A" w:rsidRDefault="00977A28" w:rsidP="00977A28">
      <w:pPr>
        <w:pStyle w:val="FootnoteText"/>
        <w:rPr>
          <w:sz w:val="16"/>
          <w:szCs w:val="16"/>
          <w:lang w:val="en-CA"/>
        </w:rPr>
      </w:pPr>
      <w:r w:rsidRPr="008B1F3A">
        <w:rPr>
          <w:rStyle w:val="FootnoteReference"/>
          <w:sz w:val="16"/>
          <w:szCs w:val="16"/>
        </w:rPr>
        <w:footnoteRef/>
      </w:r>
      <w:r w:rsidRPr="008B1F3A">
        <w:rPr>
          <w:sz w:val="16"/>
          <w:szCs w:val="16"/>
        </w:rPr>
        <w:t xml:space="preserve"> </w:t>
      </w:r>
      <w:r w:rsidR="008410B6">
        <w:rPr>
          <w:sz w:val="16"/>
          <w:szCs w:val="16"/>
          <w:lang w:val="en-CA"/>
        </w:rPr>
        <w:t>Draft project document</w:t>
      </w:r>
      <w:r w:rsidR="001713B0" w:rsidRPr="008B1F3A">
        <w:rPr>
          <w:sz w:val="16"/>
          <w:szCs w:val="16"/>
          <w:lang w:val="en-CA"/>
        </w:rPr>
        <w:t>,</w:t>
      </w:r>
      <w:r w:rsidR="00724636" w:rsidRPr="008B1F3A">
        <w:rPr>
          <w:sz w:val="16"/>
          <w:szCs w:val="16"/>
          <w:lang w:val="en-CA"/>
        </w:rPr>
        <w:t xml:space="preserve"> Section 4.1, p.19</w:t>
      </w:r>
      <w:r w:rsidRPr="008B1F3A">
        <w:rPr>
          <w:sz w:val="16"/>
          <w:szCs w:val="16"/>
          <w:lang w:val="en-CA"/>
        </w:rPr>
        <w:t xml:space="preserve"> </w:t>
      </w:r>
    </w:p>
  </w:footnote>
  <w:footnote w:id="29">
    <w:p w14:paraId="35637C76" w14:textId="77777777" w:rsidR="00326F09" w:rsidRPr="008B1F3A" w:rsidRDefault="00326F09" w:rsidP="00326F09">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ibid </w:t>
      </w:r>
    </w:p>
  </w:footnote>
  <w:footnote w:id="30">
    <w:p w14:paraId="2A5F7C6F" w14:textId="77777777" w:rsidR="003246D2" w:rsidRPr="008B1F3A" w:rsidRDefault="003246D2" w:rsidP="003246D2">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ibid </w:t>
      </w:r>
    </w:p>
  </w:footnote>
  <w:footnote w:id="31">
    <w:p w14:paraId="6B1B1050" w14:textId="77777777" w:rsidR="001661CB" w:rsidRPr="00682FE7" w:rsidRDefault="001661CB" w:rsidP="001661CB">
      <w:pPr>
        <w:pStyle w:val="FootnoteText"/>
        <w:rPr>
          <w:lang w:val="en-CA"/>
        </w:rPr>
      </w:pPr>
      <w:r w:rsidRPr="008B1F3A">
        <w:rPr>
          <w:rStyle w:val="FootnoteReference"/>
          <w:sz w:val="16"/>
          <w:szCs w:val="16"/>
        </w:rPr>
        <w:footnoteRef/>
      </w:r>
      <w:r w:rsidRPr="008B1F3A">
        <w:rPr>
          <w:sz w:val="16"/>
          <w:szCs w:val="16"/>
        </w:rPr>
        <w:t xml:space="preserve"> See Annex 2: </w:t>
      </w:r>
      <w:r w:rsidRPr="008B1F3A">
        <w:rPr>
          <w:sz w:val="16"/>
          <w:szCs w:val="16"/>
          <w:lang w:val="en-CA"/>
        </w:rPr>
        <w:t>Project theory of change/ Results framework</w:t>
      </w:r>
    </w:p>
  </w:footnote>
  <w:footnote w:id="32">
    <w:p w14:paraId="4538785B" w14:textId="37B0D61C" w:rsidR="00805EF6" w:rsidRPr="008B1F3A" w:rsidRDefault="00805EF6">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This </w:t>
      </w:r>
      <w:r w:rsidR="00E42BB9" w:rsidRPr="008B1F3A">
        <w:rPr>
          <w:sz w:val="16"/>
          <w:szCs w:val="16"/>
          <w:lang w:val="en-CA"/>
        </w:rPr>
        <w:t xml:space="preserve">section </w:t>
      </w:r>
      <w:r w:rsidR="00D002F1" w:rsidRPr="008B1F3A">
        <w:rPr>
          <w:sz w:val="16"/>
          <w:szCs w:val="16"/>
          <w:lang w:val="en-CA"/>
        </w:rPr>
        <w:t xml:space="preserve">presents the underlying project strategy </w:t>
      </w:r>
      <w:r w:rsidR="0081302F" w:rsidRPr="008B1F3A">
        <w:rPr>
          <w:sz w:val="16"/>
          <w:szCs w:val="16"/>
          <w:lang w:val="en-CA"/>
        </w:rPr>
        <w:t>and activities that were used to inform activity implementation</w:t>
      </w:r>
      <w:r w:rsidR="00762918" w:rsidRPr="008B1F3A">
        <w:rPr>
          <w:sz w:val="16"/>
          <w:szCs w:val="16"/>
          <w:lang w:val="en-CA"/>
        </w:rPr>
        <w:t xml:space="preserve">, as established by the project design and outlined in the project </w:t>
      </w:r>
      <w:r w:rsidR="00420E8B" w:rsidRPr="008B1F3A">
        <w:rPr>
          <w:sz w:val="16"/>
          <w:szCs w:val="16"/>
          <w:lang w:val="en-CA"/>
        </w:rPr>
        <w:t>document</w:t>
      </w:r>
      <w:r w:rsidR="00762918" w:rsidRPr="008B1F3A">
        <w:rPr>
          <w:sz w:val="16"/>
          <w:szCs w:val="16"/>
          <w:lang w:val="en-CA"/>
        </w:rPr>
        <w:t>.</w:t>
      </w:r>
    </w:p>
  </w:footnote>
  <w:footnote w:id="33">
    <w:p w14:paraId="13545B04" w14:textId="6F531FE8" w:rsidR="00793EFE" w:rsidRPr="008B1F3A" w:rsidRDefault="00793EFE">
      <w:pPr>
        <w:pStyle w:val="FootnoteText"/>
        <w:rPr>
          <w:sz w:val="16"/>
          <w:szCs w:val="16"/>
          <w:lang w:val="en-CA"/>
        </w:rPr>
      </w:pPr>
      <w:r w:rsidRPr="008B1F3A">
        <w:rPr>
          <w:rStyle w:val="FootnoteReference"/>
          <w:sz w:val="16"/>
          <w:szCs w:val="16"/>
        </w:rPr>
        <w:footnoteRef/>
      </w:r>
      <w:r w:rsidRPr="008B1F3A">
        <w:rPr>
          <w:sz w:val="16"/>
          <w:szCs w:val="16"/>
        </w:rPr>
        <w:t xml:space="preserve"> </w:t>
      </w:r>
      <w:hyperlink r:id="rId17" w:history="1">
        <w:r w:rsidRPr="008B1F3A">
          <w:rPr>
            <w:rStyle w:val="Hyperlink"/>
            <w:sz w:val="16"/>
            <w:szCs w:val="16"/>
          </w:rPr>
          <w:t>https://financing.desa.un.org/iatf/about-iatf</w:t>
        </w:r>
      </w:hyperlink>
    </w:p>
  </w:footnote>
  <w:footnote w:id="34">
    <w:p w14:paraId="4F1D7688" w14:textId="43C35ACA" w:rsidR="005455A8" w:rsidRPr="008B1F3A" w:rsidRDefault="005455A8">
      <w:pPr>
        <w:pStyle w:val="FootnoteText"/>
        <w:rPr>
          <w:sz w:val="16"/>
          <w:szCs w:val="16"/>
          <w:lang w:val="en-CA"/>
        </w:rPr>
      </w:pPr>
      <w:r w:rsidRPr="008B1F3A">
        <w:rPr>
          <w:rStyle w:val="FootnoteReference"/>
          <w:sz w:val="16"/>
          <w:szCs w:val="16"/>
        </w:rPr>
        <w:footnoteRef/>
      </w:r>
      <w:r w:rsidRPr="008B1F3A">
        <w:rPr>
          <w:sz w:val="16"/>
          <w:szCs w:val="16"/>
        </w:rPr>
        <w:t xml:space="preserve"> </w:t>
      </w:r>
      <w:hyperlink r:id="rId18" w:history="1">
        <w:r w:rsidR="007B4149" w:rsidRPr="008B1F3A">
          <w:rPr>
            <w:rStyle w:val="Hyperlink"/>
            <w:sz w:val="16"/>
            <w:szCs w:val="16"/>
          </w:rPr>
          <w:t>https://financing.desa.un.org/iatf/workstreams</w:t>
        </w:r>
      </w:hyperlink>
      <w:r w:rsidR="007B4149" w:rsidRPr="008B1F3A">
        <w:rPr>
          <w:sz w:val="16"/>
          <w:szCs w:val="16"/>
        </w:rPr>
        <w:t xml:space="preserve"> </w:t>
      </w:r>
    </w:p>
  </w:footnote>
  <w:footnote w:id="35">
    <w:p w14:paraId="5369C0E9" w14:textId="77777777" w:rsidR="001E7830" w:rsidRPr="008B1F3A" w:rsidRDefault="001E7830" w:rsidP="001E7830">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The full titles of the emergent themes are: Mobilizing financing for productive investments and infrastructure development and related services in the SDGs; and Aligning public financing policies and mechanisms with the SDGs</w:t>
      </w:r>
    </w:p>
  </w:footnote>
  <w:footnote w:id="36">
    <w:p w14:paraId="40816797" w14:textId="77777777" w:rsidR="00511814" w:rsidRPr="006A28AD" w:rsidRDefault="00511814" w:rsidP="00511814">
      <w:pPr>
        <w:pStyle w:val="FootnoteText"/>
        <w:rPr>
          <w:lang w:val="en-CA"/>
        </w:rPr>
      </w:pPr>
      <w:r w:rsidRPr="008B1F3A">
        <w:rPr>
          <w:rStyle w:val="FootnoteReference"/>
          <w:sz w:val="16"/>
          <w:szCs w:val="16"/>
        </w:rPr>
        <w:footnoteRef/>
      </w:r>
      <w:r w:rsidRPr="008B1F3A">
        <w:rPr>
          <w:sz w:val="16"/>
          <w:szCs w:val="16"/>
        </w:rPr>
        <w:t xml:space="preserve"> </w:t>
      </w:r>
      <w:r w:rsidRPr="008B1F3A">
        <w:rPr>
          <w:sz w:val="16"/>
          <w:szCs w:val="16"/>
          <w:lang w:val="en-CA"/>
        </w:rPr>
        <w:t>The expected project outcomes have been identified in sub-Section 2.2.2.</w:t>
      </w:r>
    </w:p>
  </w:footnote>
  <w:footnote w:id="37">
    <w:p w14:paraId="7476CA9B" w14:textId="6DBE6A07" w:rsidR="009A0665" w:rsidRPr="008B1F3A" w:rsidRDefault="009A0665" w:rsidP="009A0665">
      <w:pPr>
        <w:pStyle w:val="FootnoteText"/>
        <w:rPr>
          <w:sz w:val="16"/>
          <w:szCs w:val="16"/>
          <w:lang w:val="en-CA"/>
        </w:rPr>
      </w:pPr>
      <w:r w:rsidRPr="008B1F3A">
        <w:rPr>
          <w:rStyle w:val="FootnoteReference"/>
          <w:sz w:val="16"/>
          <w:szCs w:val="16"/>
        </w:rPr>
        <w:footnoteRef/>
      </w:r>
      <w:r w:rsidRPr="008B1F3A">
        <w:rPr>
          <w:sz w:val="16"/>
          <w:szCs w:val="16"/>
        </w:rPr>
        <w:t xml:space="preserve"> </w:t>
      </w:r>
      <w:r w:rsidR="008410B6">
        <w:rPr>
          <w:sz w:val="16"/>
          <w:szCs w:val="16"/>
          <w:lang w:val="en-CA"/>
        </w:rPr>
        <w:t>Draft project document</w:t>
      </w:r>
      <w:r w:rsidRPr="008B1F3A">
        <w:rPr>
          <w:sz w:val="16"/>
          <w:szCs w:val="16"/>
          <w:lang w:val="en-CA"/>
        </w:rPr>
        <w:t>, sub-Section 2.3, p.9</w:t>
      </w:r>
    </w:p>
  </w:footnote>
  <w:footnote w:id="38">
    <w:p w14:paraId="3F6BB90D" w14:textId="3088668E" w:rsidR="006F50E8" w:rsidRPr="006F50E8" w:rsidRDefault="006F50E8">
      <w:pPr>
        <w:pStyle w:val="FootnoteText"/>
        <w:rPr>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The initial selection of target countries included Indonesia (Asia and the Pacific region) and </w:t>
      </w:r>
      <w:r w:rsidR="00AB5942" w:rsidRPr="008B1F3A">
        <w:rPr>
          <w:sz w:val="16"/>
          <w:szCs w:val="16"/>
          <w:lang w:val="en-CA"/>
        </w:rPr>
        <w:t>Colombia (Latin America and the Caribbean)</w:t>
      </w:r>
      <w:r w:rsidR="00FF6FB1" w:rsidRPr="008B1F3A">
        <w:rPr>
          <w:sz w:val="16"/>
          <w:szCs w:val="16"/>
          <w:lang w:val="en-CA"/>
        </w:rPr>
        <w:t xml:space="preserve">. </w:t>
      </w:r>
      <w:r w:rsidR="00B33DFC" w:rsidRPr="008B1F3A">
        <w:rPr>
          <w:sz w:val="16"/>
          <w:szCs w:val="16"/>
          <w:lang w:val="en-CA"/>
        </w:rPr>
        <w:t>A</w:t>
      </w:r>
      <w:r w:rsidR="00777293" w:rsidRPr="008B1F3A">
        <w:rPr>
          <w:sz w:val="16"/>
          <w:szCs w:val="16"/>
          <w:lang w:val="en-CA"/>
        </w:rPr>
        <w:t xml:space="preserve"> </w:t>
      </w:r>
      <w:r w:rsidR="001E3C69" w:rsidRPr="008B1F3A">
        <w:rPr>
          <w:sz w:val="16"/>
          <w:szCs w:val="16"/>
          <w:lang w:val="en-CA"/>
        </w:rPr>
        <w:t>change of government</w:t>
      </w:r>
      <w:r w:rsidR="00DF1D2D" w:rsidRPr="008B1F3A">
        <w:rPr>
          <w:sz w:val="16"/>
          <w:szCs w:val="16"/>
          <w:lang w:val="en-CA"/>
        </w:rPr>
        <w:t xml:space="preserve"> in Colomb</w:t>
      </w:r>
      <w:r w:rsidR="001D1338" w:rsidRPr="008B1F3A">
        <w:rPr>
          <w:sz w:val="16"/>
          <w:szCs w:val="16"/>
          <w:lang w:val="en-CA"/>
        </w:rPr>
        <w:t>ia</w:t>
      </w:r>
      <w:r w:rsidR="00DF1D2D" w:rsidRPr="008B1F3A">
        <w:rPr>
          <w:sz w:val="16"/>
          <w:szCs w:val="16"/>
          <w:lang w:val="en-CA"/>
        </w:rPr>
        <w:t xml:space="preserve">, followed by delayed project engagement by the new administration </w:t>
      </w:r>
      <w:r w:rsidR="001D1338" w:rsidRPr="008B1F3A">
        <w:rPr>
          <w:sz w:val="16"/>
          <w:szCs w:val="16"/>
          <w:lang w:val="en-CA"/>
        </w:rPr>
        <w:t xml:space="preserve">led to the replacement of Colombia </w:t>
      </w:r>
      <w:r w:rsidR="00533469">
        <w:rPr>
          <w:sz w:val="16"/>
          <w:szCs w:val="16"/>
          <w:lang w:val="en-CA"/>
        </w:rPr>
        <w:t>with</w:t>
      </w:r>
      <w:r w:rsidR="001D1338" w:rsidRPr="008B1F3A">
        <w:rPr>
          <w:sz w:val="16"/>
          <w:szCs w:val="16"/>
          <w:lang w:val="en-CA"/>
        </w:rPr>
        <w:t xml:space="preserve"> the Dominican </w:t>
      </w:r>
      <w:r w:rsidR="00D35EA6" w:rsidRPr="008B1F3A">
        <w:rPr>
          <w:sz w:val="16"/>
          <w:szCs w:val="16"/>
          <w:lang w:val="en-CA"/>
        </w:rPr>
        <w:t xml:space="preserve">Republic, which had expressed interest in the INFF project. </w:t>
      </w:r>
      <w:r w:rsidR="002C4A10" w:rsidRPr="008B1F3A">
        <w:rPr>
          <w:sz w:val="16"/>
          <w:szCs w:val="16"/>
          <w:lang w:val="en-CA"/>
        </w:rPr>
        <w:t>As a result of limited collaboration among UN country teams (UNCTs) in</w:t>
      </w:r>
      <w:r w:rsidR="00BD1E31" w:rsidRPr="008B1F3A">
        <w:rPr>
          <w:sz w:val="16"/>
          <w:szCs w:val="16"/>
          <w:lang w:val="en-CA"/>
        </w:rPr>
        <w:t xml:space="preserve"> Indonesia</w:t>
      </w:r>
      <w:r w:rsidR="00E20B3B" w:rsidRPr="008B1F3A">
        <w:rPr>
          <w:sz w:val="16"/>
          <w:szCs w:val="16"/>
          <w:lang w:val="en-CA"/>
        </w:rPr>
        <w:t xml:space="preserve">, there was a delay in project start-up. This led to the replacement of Indonesia </w:t>
      </w:r>
      <w:r w:rsidR="00C84C96">
        <w:rPr>
          <w:sz w:val="16"/>
          <w:szCs w:val="16"/>
          <w:lang w:val="en-CA"/>
        </w:rPr>
        <w:t>with</w:t>
      </w:r>
      <w:r w:rsidR="00E20B3B" w:rsidRPr="008B1F3A">
        <w:rPr>
          <w:sz w:val="16"/>
          <w:szCs w:val="16"/>
          <w:lang w:val="en-CA"/>
        </w:rPr>
        <w:t xml:space="preserve"> </w:t>
      </w:r>
      <w:r w:rsidR="00BD1E31" w:rsidRPr="008B1F3A">
        <w:rPr>
          <w:sz w:val="16"/>
          <w:szCs w:val="16"/>
          <w:lang w:val="en-CA"/>
        </w:rPr>
        <w:t>Samoa</w:t>
      </w:r>
      <w:r w:rsidR="003A3399" w:rsidRPr="008B1F3A">
        <w:rPr>
          <w:sz w:val="16"/>
          <w:szCs w:val="16"/>
          <w:lang w:val="en-CA"/>
        </w:rPr>
        <w:t>.</w:t>
      </w:r>
      <w:r w:rsidR="002F72E1" w:rsidRPr="008B1F3A">
        <w:rPr>
          <w:sz w:val="16"/>
          <w:szCs w:val="16"/>
          <w:lang w:val="en-CA"/>
        </w:rPr>
        <w:t xml:space="preserve"> Both </w:t>
      </w:r>
      <w:r w:rsidR="00A815E2" w:rsidRPr="008B1F3A">
        <w:rPr>
          <w:sz w:val="16"/>
          <w:szCs w:val="16"/>
          <w:lang w:val="en-CA"/>
        </w:rPr>
        <w:t xml:space="preserve">replacement </w:t>
      </w:r>
      <w:r w:rsidR="002F72E1" w:rsidRPr="008B1F3A">
        <w:rPr>
          <w:sz w:val="16"/>
          <w:szCs w:val="16"/>
          <w:lang w:val="en-CA"/>
        </w:rPr>
        <w:t>countrie</w:t>
      </w:r>
      <w:r w:rsidR="00E06856" w:rsidRPr="008B1F3A">
        <w:rPr>
          <w:sz w:val="16"/>
          <w:szCs w:val="16"/>
          <w:lang w:val="en-CA"/>
        </w:rPr>
        <w:t xml:space="preserve">s </w:t>
      </w:r>
      <w:r w:rsidR="00BA57C0" w:rsidRPr="008B1F3A">
        <w:rPr>
          <w:sz w:val="16"/>
          <w:szCs w:val="16"/>
          <w:lang w:val="en-CA"/>
        </w:rPr>
        <w:t xml:space="preserve">met the selection criteria and </w:t>
      </w:r>
      <w:r w:rsidR="002F72E1" w:rsidRPr="008B1F3A">
        <w:rPr>
          <w:sz w:val="16"/>
          <w:szCs w:val="16"/>
          <w:lang w:val="en-CA"/>
        </w:rPr>
        <w:t xml:space="preserve">were engaged </w:t>
      </w:r>
      <w:r w:rsidR="00E06856" w:rsidRPr="008B1F3A">
        <w:rPr>
          <w:sz w:val="16"/>
          <w:szCs w:val="16"/>
          <w:lang w:val="en-CA"/>
        </w:rPr>
        <w:t xml:space="preserve">by the project </w:t>
      </w:r>
      <w:r w:rsidR="002F72E1" w:rsidRPr="008B1F3A">
        <w:rPr>
          <w:sz w:val="16"/>
          <w:szCs w:val="16"/>
          <w:lang w:val="en-CA"/>
        </w:rPr>
        <w:t>in 2022.</w:t>
      </w:r>
    </w:p>
  </w:footnote>
  <w:footnote w:id="39">
    <w:p w14:paraId="7559C39C" w14:textId="73E3A1A2" w:rsidR="001951E5" w:rsidRPr="008B1F3A" w:rsidRDefault="001951E5">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See </w:t>
      </w:r>
      <w:r w:rsidR="00082CAF" w:rsidRPr="008B1F3A">
        <w:rPr>
          <w:sz w:val="16"/>
          <w:szCs w:val="16"/>
          <w:lang w:val="en-CA"/>
        </w:rPr>
        <w:t xml:space="preserve">Section 1 for the list of cooperating entities. The specific </w:t>
      </w:r>
      <w:r w:rsidR="00F20CD1" w:rsidRPr="008B1F3A">
        <w:rPr>
          <w:sz w:val="16"/>
          <w:szCs w:val="16"/>
          <w:lang w:val="en-CA"/>
        </w:rPr>
        <w:t xml:space="preserve">contribution of each cooperating entity will be explored in Section </w:t>
      </w:r>
      <w:r w:rsidR="00386151" w:rsidRPr="008B1F3A">
        <w:rPr>
          <w:sz w:val="16"/>
          <w:szCs w:val="16"/>
          <w:lang w:val="en-CA"/>
        </w:rPr>
        <w:t>5: Findin</w:t>
      </w:r>
      <w:r w:rsidR="00145BEF" w:rsidRPr="008B1F3A">
        <w:rPr>
          <w:sz w:val="16"/>
          <w:szCs w:val="16"/>
          <w:lang w:val="en-CA"/>
        </w:rPr>
        <w:t xml:space="preserve">gs, as applicable. </w:t>
      </w:r>
    </w:p>
  </w:footnote>
  <w:footnote w:id="40">
    <w:p w14:paraId="4C610535" w14:textId="161FB8A7" w:rsidR="00CD6BB5" w:rsidRPr="00CD6BB5" w:rsidRDefault="00CD6BB5">
      <w:pPr>
        <w:pStyle w:val="FootnoteText"/>
        <w:rPr>
          <w:lang w:val="en-CA"/>
        </w:rPr>
      </w:pPr>
      <w:r w:rsidRPr="008B1F3A">
        <w:rPr>
          <w:rStyle w:val="FootnoteReference"/>
          <w:sz w:val="16"/>
          <w:szCs w:val="16"/>
        </w:rPr>
        <w:footnoteRef/>
      </w:r>
      <w:r w:rsidRPr="008B1F3A">
        <w:rPr>
          <w:sz w:val="16"/>
          <w:szCs w:val="16"/>
        </w:rPr>
        <w:t xml:space="preserve"> </w:t>
      </w:r>
      <w:r w:rsidR="009562A2" w:rsidRPr="008B1F3A">
        <w:rPr>
          <w:sz w:val="16"/>
          <w:szCs w:val="16"/>
          <w:lang w:val="en-CA"/>
        </w:rPr>
        <w:t>See Section 1 for the list of other collaborating entities</w:t>
      </w:r>
    </w:p>
  </w:footnote>
  <w:footnote w:id="41">
    <w:p w14:paraId="710EE0AE" w14:textId="14F239BE" w:rsidR="00867A20" w:rsidRPr="008B1F3A" w:rsidRDefault="00867A20">
      <w:pPr>
        <w:pStyle w:val="FootnoteText"/>
        <w:rPr>
          <w:sz w:val="16"/>
          <w:szCs w:val="16"/>
          <w:lang w:val="en-CA"/>
        </w:rPr>
      </w:pPr>
      <w:r w:rsidRPr="008B1F3A">
        <w:rPr>
          <w:rStyle w:val="FootnoteReference"/>
          <w:sz w:val="16"/>
          <w:szCs w:val="16"/>
        </w:rPr>
        <w:footnoteRef/>
      </w:r>
      <w:r w:rsidRPr="008B1F3A">
        <w:rPr>
          <w:sz w:val="16"/>
          <w:szCs w:val="16"/>
        </w:rPr>
        <w:t xml:space="preserve"> </w:t>
      </w:r>
      <w:r w:rsidRPr="008B1F3A">
        <w:rPr>
          <w:sz w:val="16"/>
          <w:szCs w:val="16"/>
          <w:lang w:val="en-CA"/>
        </w:rPr>
        <w:t xml:space="preserve">Contractual services are distinct from the </w:t>
      </w:r>
      <w:r w:rsidR="001F75D5" w:rsidRPr="008B1F3A">
        <w:rPr>
          <w:sz w:val="16"/>
          <w:szCs w:val="16"/>
          <w:lang w:val="en-CA"/>
        </w:rPr>
        <w:t>technical services of consu</w:t>
      </w:r>
      <w:r w:rsidR="00210A23" w:rsidRPr="008B1F3A">
        <w:rPr>
          <w:sz w:val="16"/>
          <w:szCs w:val="16"/>
          <w:lang w:val="en-CA"/>
        </w:rPr>
        <w:t>ltants and experts</w:t>
      </w:r>
      <w:r w:rsidR="00B13408">
        <w:rPr>
          <w:sz w:val="16"/>
          <w:szCs w:val="16"/>
          <w:lang w:val="en-CA"/>
        </w:rPr>
        <w:t>,</w:t>
      </w:r>
      <w:r w:rsidR="00210A23" w:rsidRPr="008B1F3A">
        <w:rPr>
          <w:sz w:val="16"/>
          <w:szCs w:val="16"/>
          <w:lang w:val="en-CA"/>
        </w:rPr>
        <w:t xml:space="preserve"> as they </w:t>
      </w:r>
      <w:r w:rsidR="00655466" w:rsidRPr="008B1F3A">
        <w:rPr>
          <w:sz w:val="16"/>
          <w:szCs w:val="16"/>
          <w:lang w:val="en-CA"/>
        </w:rPr>
        <w:t>refer to operational support services (e.g. report editing; translation services; etc.)</w:t>
      </w:r>
      <w:r w:rsidR="00826A16" w:rsidRPr="008B1F3A">
        <w:rPr>
          <w:sz w:val="16"/>
          <w:szCs w:val="16"/>
          <w:lang w:val="en-CA"/>
        </w:rPr>
        <w:t>.</w:t>
      </w:r>
    </w:p>
  </w:footnote>
  <w:footnote w:id="42">
    <w:p w14:paraId="50688D39" w14:textId="77777777" w:rsidR="0088662F" w:rsidRPr="00544394" w:rsidRDefault="0088662F" w:rsidP="0088662F">
      <w:pPr>
        <w:pStyle w:val="FootnoteText"/>
        <w:rPr>
          <w:sz w:val="16"/>
          <w:szCs w:val="16"/>
          <w:lang w:val="en-CA"/>
        </w:rPr>
      </w:pPr>
      <w:r w:rsidRPr="00544394">
        <w:rPr>
          <w:rStyle w:val="FootnoteReference"/>
          <w:sz w:val="16"/>
          <w:szCs w:val="16"/>
        </w:rPr>
        <w:footnoteRef/>
      </w:r>
      <w:r w:rsidRPr="00544394">
        <w:rPr>
          <w:sz w:val="16"/>
          <w:szCs w:val="16"/>
        </w:rPr>
        <w:t xml:space="preserve"> As the Dominican Republic was a replacement country, there was a delay to project start-up in that country. This, and other delays to project implementation in the target countries, will be addressed in Section 5: Findings, as applicable.</w:t>
      </w:r>
    </w:p>
  </w:footnote>
  <w:footnote w:id="43">
    <w:p w14:paraId="1DDE644B" w14:textId="2738C407" w:rsidR="00491362" w:rsidRPr="00491362" w:rsidRDefault="00491362">
      <w:pPr>
        <w:pStyle w:val="FootnoteText"/>
        <w:rPr>
          <w:lang w:val="en-CA"/>
        </w:rPr>
      </w:pPr>
      <w:r w:rsidRPr="00544394">
        <w:rPr>
          <w:rStyle w:val="FootnoteReference"/>
          <w:sz w:val="16"/>
          <w:szCs w:val="16"/>
        </w:rPr>
        <w:footnoteRef/>
      </w:r>
      <w:r w:rsidRPr="00544394">
        <w:rPr>
          <w:sz w:val="16"/>
          <w:szCs w:val="16"/>
        </w:rPr>
        <w:t xml:space="preserve"> </w:t>
      </w:r>
      <w:r w:rsidRPr="00544394">
        <w:rPr>
          <w:sz w:val="16"/>
          <w:szCs w:val="16"/>
          <w:lang w:val="en-CA"/>
        </w:rPr>
        <w:t>See sub-Section 2.1</w:t>
      </w:r>
    </w:p>
  </w:footnote>
  <w:footnote w:id="44">
    <w:p w14:paraId="32F4E420" w14:textId="77777777" w:rsidR="00EA668C" w:rsidRPr="00544394" w:rsidRDefault="00EA668C" w:rsidP="00EA668C">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ToR, Section B, p.3</w:t>
      </w:r>
    </w:p>
  </w:footnote>
  <w:footnote w:id="45">
    <w:p w14:paraId="78532AE7" w14:textId="3BEF4F2F" w:rsidR="00EA668C" w:rsidRPr="00544394" w:rsidRDefault="00EA668C" w:rsidP="00EA668C">
      <w:pPr>
        <w:pStyle w:val="FootnoteText"/>
        <w:rPr>
          <w:sz w:val="16"/>
          <w:szCs w:val="16"/>
          <w:lang w:val="en-CA"/>
        </w:rPr>
      </w:pPr>
      <w:r w:rsidRPr="00544394">
        <w:rPr>
          <w:rStyle w:val="FootnoteReference"/>
          <w:sz w:val="16"/>
          <w:szCs w:val="16"/>
        </w:rPr>
        <w:footnoteRef/>
      </w:r>
      <w:r w:rsidRPr="00544394">
        <w:rPr>
          <w:sz w:val="16"/>
          <w:szCs w:val="16"/>
        </w:rPr>
        <w:t xml:space="preserve"> </w:t>
      </w:r>
      <w:r w:rsidR="00083811" w:rsidRPr="00544394">
        <w:rPr>
          <w:sz w:val="16"/>
          <w:szCs w:val="16"/>
        </w:rPr>
        <w:t xml:space="preserve">Adapted from </w:t>
      </w:r>
      <w:r w:rsidRPr="00544394">
        <w:rPr>
          <w:sz w:val="16"/>
          <w:szCs w:val="16"/>
          <w:lang w:val="en-CA"/>
        </w:rPr>
        <w:t>ToR, Section B, p.3</w:t>
      </w:r>
    </w:p>
  </w:footnote>
  <w:footnote w:id="46">
    <w:p w14:paraId="550F6360" w14:textId="77777777" w:rsidR="00922D4E" w:rsidRPr="00544394" w:rsidRDefault="00922D4E" w:rsidP="00922D4E">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Organisation for Economic Co-operation and Development – Development Assistance Committee</w:t>
      </w:r>
    </w:p>
  </w:footnote>
  <w:footnote w:id="47">
    <w:p w14:paraId="7BCE8176" w14:textId="5846C0D9" w:rsidR="00EA526C" w:rsidRPr="00544394" w:rsidRDefault="00EA526C">
      <w:pPr>
        <w:pStyle w:val="FootnoteText"/>
        <w:rPr>
          <w:sz w:val="16"/>
          <w:szCs w:val="16"/>
          <w:lang w:val="en-CA"/>
        </w:rPr>
      </w:pPr>
      <w:r w:rsidRPr="00544394">
        <w:rPr>
          <w:rStyle w:val="FootnoteReference"/>
          <w:sz w:val="16"/>
          <w:szCs w:val="16"/>
        </w:rPr>
        <w:footnoteRef/>
      </w:r>
      <w:r w:rsidRPr="00544394">
        <w:rPr>
          <w:sz w:val="16"/>
          <w:szCs w:val="16"/>
        </w:rPr>
        <w:t xml:space="preserve"> </w:t>
      </w:r>
      <w:r w:rsidR="001B63F8" w:rsidRPr="00544394">
        <w:rPr>
          <w:sz w:val="16"/>
          <w:szCs w:val="16"/>
          <w:lang w:val="en-CA"/>
        </w:rPr>
        <w:t>See Annex 3</w:t>
      </w:r>
    </w:p>
  </w:footnote>
  <w:footnote w:id="48">
    <w:p w14:paraId="568150BC" w14:textId="2E525EAB" w:rsidR="0065039E" w:rsidRPr="0065039E" w:rsidRDefault="0065039E">
      <w:pPr>
        <w:pStyle w:val="FootnoteText"/>
        <w:rPr>
          <w:lang w:val="en-CA"/>
        </w:rPr>
      </w:pPr>
      <w:r w:rsidRPr="00544394">
        <w:rPr>
          <w:rStyle w:val="FootnoteReference"/>
          <w:sz w:val="16"/>
          <w:szCs w:val="16"/>
        </w:rPr>
        <w:footnoteRef/>
      </w:r>
      <w:r w:rsidRPr="00544394">
        <w:rPr>
          <w:sz w:val="16"/>
          <w:szCs w:val="16"/>
        </w:rPr>
        <w:t xml:space="preserve"> </w:t>
      </w:r>
      <w:r w:rsidRPr="00544394">
        <w:rPr>
          <w:sz w:val="16"/>
          <w:szCs w:val="16"/>
          <w:lang w:val="en-CA"/>
        </w:rPr>
        <w:t>The parallel study was co</w:t>
      </w:r>
      <w:r w:rsidR="008E312C" w:rsidRPr="00544394">
        <w:rPr>
          <w:sz w:val="16"/>
          <w:szCs w:val="16"/>
          <w:lang w:val="en-CA"/>
        </w:rPr>
        <w:t xml:space="preserve">mmissioned </w:t>
      </w:r>
      <w:r w:rsidR="00D67500" w:rsidRPr="00544394">
        <w:rPr>
          <w:sz w:val="16"/>
          <w:szCs w:val="16"/>
          <w:lang w:val="en-CA"/>
        </w:rPr>
        <w:t xml:space="preserve">separately by UNDESA-FSDO </w:t>
      </w:r>
      <w:r w:rsidR="008E312C" w:rsidRPr="00544394">
        <w:rPr>
          <w:sz w:val="16"/>
          <w:szCs w:val="16"/>
          <w:lang w:val="en-CA"/>
        </w:rPr>
        <w:t>to a</w:t>
      </w:r>
      <w:r w:rsidR="00D67500" w:rsidRPr="00544394">
        <w:rPr>
          <w:sz w:val="16"/>
          <w:szCs w:val="16"/>
          <w:lang w:val="en-CA"/>
        </w:rPr>
        <w:t>n independent</w:t>
      </w:r>
      <w:r w:rsidR="008E312C" w:rsidRPr="00544394">
        <w:rPr>
          <w:sz w:val="16"/>
          <w:szCs w:val="16"/>
          <w:lang w:val="en-CA"/>
        </w:rPr>
        <w:t xml:space="preserve"> FfD expert</w:t>
      </w:r>
      <w:r w:rsidR="00D67500" w:rsidRPr="00544394">
        <w:rPr>
          <w:sz w:val="16"/>
          <w:szCs w:val="16"/>
          <w:lang w:val="en-CA"/>
        </w:rPr>
        <w:t>.</w:t>
      </w:r>
    </w:p>
  </w:footnote>
  <w:footnote w:id="49">
    <w:p w14:paraId="09EB2AED" w14:textId="245CA071" w:rsidR="00B46190" w:rsidRPr="00544394" w:rsidRDefault="00B46190">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ToR, Section B, p.</w:t>
      </w:r>
      <w:r w:rsidR="0006123F" w:rsidRPr="00544394">
        <w:rPr>
          <w:sz w:val="16"/>
          <w:szCs w:val="16"/>
          <w:lang w:val="en-CA"/>
        </w:rPr>
        <w:t>3</w:t>
      </w:r>
    </w:p>
  </w:footnote>
  <w:footnote w:id="50">
    <w:p w14:paraId="6E6624BC" w14:textId="77777777" w:rsidR="009F6FEF" w:rsidRPr="00544394" w:rsidRDefault="009F6FEF" w:rsidP="009F6FEF">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See Annex 6</w:t>
      </w:r>
    </w:p>
  </w:footnote>
  <w:footnote w:id="51">
    <w:p w14:paraId="4622E91C" w14:textId="77777777" w:rsidR="00CF5C21" w:rsidRPr="00544394" w:rsidRDefault="00CF5C21" w:rsidP="00CF5C21">
      <w:pPr>
        <w:pStyle w:val="FootnoteText"/>
        <w:rPr>
          <w:sz w:val="16"/>
          <w:szCs w:val="16"/>
        </w:rPr>
      </w:pPr>
      <w:r w:rsidRPr="00544394">
        <w:rPr>
          <w:rStyle w:val="FootnoteReference"/>
          <w:sz w:val="16"/>
          <w:szCs w:val="16"/>
        </w:rPr>
        <w:footnoteRef/>
      </w:r>
      <w:r w:rsidRPr="00544394">
        <w:rPr>
          <w:sz w:val="16"/>
          <w:szCs w:val="16"/>
        </w:rPr>
        <w:t xml:space="preserve"> Guijit, I, 2014. </w:t>
      </w:r>
      <w:r w:rsidRPr="00544394">
        <w:rPr>
          <w:i/>
          <w:sz w:val="16"/>
          <w:szCs w:val="16"/>
        </w:rPr>
        <w:t>Participatory Approaches</w:t>
      </w:r>
      <w:r w:rsidRPr="00544394">
        <w:rPr>
          <w:sz w:val="16"/>
          <w:szCs w:val="16"/>
        </w:rPr>
        <w:t xml:space="preserve">. Florence: UNICEF. </w:t>
      </w:r>
    </w:p>
  </w:footnote>
  <w:footnote w:id="52">
    <w:p w14:paraId="4143B55A" w14:textId="3730B909" w:rsidR="00C7542E" w:rsidRPr="00544394" w:rsidRDefault="00C7542E">
      <w:pPr>
        <w:pStyle w:val="FootnoteText"/>
        <w:rPr>
          <w:sz w:val="16"/>
          <w:szCs w:val="16"/>
          <w:lang w:val="en-CA"/>
        </w:rPr>
      </w:pPr>
      <w:r w:rsidRPr="00544394">
        <w:rPr>
          <w:rStyle w:val="FootnoteReference"/>
          <w:sz w:val="16"/>
          <w:szCs w:val="16"/>
        </w:rPr>
        <w:footnoteRef/>
      </w:r>
      <w:r w:rsidRPr="00544394">
        <w:rPr>
          <w:sz w:val="16"/>
          <w:szCs w:val="16"/>
        </w:rPr>
        <w:t xml:space="preserve"> </w:t>
      </w:r>
      <w:r w:rsidR="00214B1B" w:rsidRPr="00544394">
        <w:rPr>
          <w:sz w:val="16"/>
          <w:szCs w:val="16"/>
        </w:rPr>
        <w:t xml:space="preserve">The primary and secondary </w:t>
      </w:r>
      <w:r w:rsidR="00994FA9" w:rsidRPr="00544394">
        <w:rPr>
          <w:sz w:val="16"/>
          <w:szCs w:val="16"/>
        </w:rPr>
        <w:t xml:space="preserve">users of the evaluation have been identified in </w:t>
      </w:r>
      <w:r w:rsidR="00214B1B" w:rsidRPr="00544394">
        <w:rPr>
          <w:sz w:val="16"/>
          <w:szCs w:val="16"/>
          <w:lang w:val="en-CA"/>
        </w:rPr>
        <w:t>Section 1</w:t>
      </w:r>
    </w:p>
  </w:footnote>
  <w:footnote w:id="53">
    <w:p w14:paraId="3EE2FFD2" w14:textId="77777777" w:rsidR="00EA610D" w:rsidRPr="00544394" w:rsidRDefault="00EA610D" w:rsidP="00EA610D">
      <w:pPr>
        <w:pStyle w:val="FootnoteText"/>
        <w:rPr>
          <w:sz w:val="16"/>
          <w:szCs w:val="16"/>
          <w:lang w:val="en-CA"/>
        </w:rPr>
      </w:pPr>
      <w:r w:rsidRPr="00544394">
        <w:rPr>
          <w:rStyle w:val="FootnoteReference"/>
          <w:sz w:val="16"/>
          <w:szCs w:val="16"/>
        </w:rPr>
        <w:footnoteRef/>
      </w:r>
      <w:r w:rsidRPr="00544394">
        <w:rPr>
          <w:sz w:val="16"/>
          <w:szCs w:val="16"/>
        </w:rPr>
        <w:t xml:space="preserve"> </w:t>
      </w:r>
      <w:r w:rsidRPr="00544394">
        <w:rPr>
          <w:sz w:val="16"/>
          <w:szCs w:val="16"/>
          <w:lang w:val="en-CA"/>
        </w:rPr>
        <w:t>ToR, Section B, p.3</w:t>
      </w:r>
    </w:p>
  </w:footnote>
  <w:footnote w:id="54">
    <w:p w14:paraId="4EABBCD7" w14:textId="7627DF9D" w:rsidR="009628F8" w:rsidRPr="00544394" w:rsidRDefault="009628F8" w:rsidP="009628F8">
      <w:pPr>
        <w:pStyle w:val="FootnoteText"/>
        <w:rPr>
          <w:sz w:val="16"/>
          <w:szCs w:val="16"/>
          <w:lang w:val="en-CA"/>
        </w:rPr>
      </w:pPr>
      <w:r w:rsidRPr="00544394">
        <w:rPr>
          <w:rStyle w:val="FootnoteReference"/>
          <w:sz w:val="16"/>
          <w:szCs w:val="16"/>
        </w:rPr>
        <w:footnoteRef/>
      </w:r>
      <w:r w:rsidRPr="00544394">
        <w:rPr>
          <w:sz w:val="16"/>
          <w:szCs w:val="16"/>
        </w:rPr>
        <w:t xml:space="preserve"> See Annex </w:t>
      </w:r>
      <w:r w:rsidR="00FD772D" w:rsidRPr="00544394">
        <w:rPr>
          <w:sz w:val="16"/>
          <w:szCs w:val="16"/>
        </w:rPr>
        <w:t>9</w:t>
      </w:r>
      <w:r w:rsidRPr="00544394">
        <w:rPr>
          <w:sz w:val="16"/>
          <w:szCs w:val="16"/>
          <w:lang w:val="en-CA"/>
        </w:rPr>
        <w:t>.</w:t>
      </w:r>
    </w:p>
  </w:footnote>
  <w:footnote w:id="55">
    <w:p w14:paraId="1AF6925A" w14:textId="70EE9479" w:rsidR="005716BE" w:rsidRPr="004A0D32" w:rsidRDefault="005716BE">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See</w:t>
      </w:r>
      <w:r w:rsidR="007364C5" w:rsidRPr="004A0D32">
        <w:rPr>
          <w:sz w:val="16"/>
          <w:szCs w:val="16"/>
          <w:lang w:val="en-CA"/>
        </w:rPr>
        <w:t xml:space="preserve"> Appendix 9 for a list of all the documents that were reviewed.</w:t>
      </w:r>
    </w:p>
  </w:footnote>
  <w:footnote w:id="56">
    <w:p w14:paraId="3EE7913D" w14:textId="026E72B4" w:rsidR="0014205C" w:rsidRPr="004A0D32" w:rsidRDefault="0014205C" w:rsidP="0014205C">
      <w:pPr>
        <w:pStyle w:val="FootnoteText"/>
        <w:rPr>
          <w:sz w:val="16"/>
          <w:szCs w:val="16"/>
          <w:lang w:val="en-CA"/>
        </w:rPr>
      </w:pPr>
      <w:r w:rsidRPr="004A0D32">
        <w:rPr>
          <w:rStyle w:val="FootnoteReference"/>
          <w:sz w:val="16"/>
          <w:szCs w:val="16"/>
        </w:rPr>
        <w:footnoteRef/>
      </w:r>
      <w:r w:rsidRPr="004A0D32">
        <w:rPr>
          <w:sz w:val="16"/>
          <w:szCs w:val="16"/>
        </w:rPr>
        <w:t xml:space="preserve"> </w:t>
      </w:r>
      <w:r w:rsidR="00844A0B">
        <w:rPr>
          <w:sz w:val="16"/>
          <w:szCs w:val="16"/>
        </w:rPr>
        <w:t xml:space="preserve">Stakeholder names and designations are provided in </w:t>
      </w:r>
      <w:r w:rsidR="00336709">
        <w:rPr>
          <w:sz w:val="16"/>
          <w:szCs w:val="16"/>
        </w:rPr>
        <w:t>Appendix 7</w:t>
      </w:r>
      <w:r w:rsidR="00FE5522">
        <w:rPr>
          <w:sz w:val="16"/>
          <w:szCs w:val="16"/>
        </w:rPr>
        <w:t xml:space="preserve">. </w:t>
      </w:r>
      <w:r w:rsidRPr="004A0D32">
        <w:rPr>
          <w:sz w:val="16"/>
          <w:szCs w:val="16"/>
          <w:lang w:val="en-CA"/>
        </w:rPr>
        <w:t>All consultations were conducted remotely through the Zoom or MS Teams platforms.</w:t>
      </w:r>
      <w:r w:rsidR="00F77879">
        <w:rPr>
          <w:sz w:val="16"/>
          <w:szCs w:val="16"/>
          <w:lang w:val="en-CA"/>
        </w:rPr>
        <w:t xml:space="preserve"> As required, consultations included email exchanges, which were used </w:t>
      </w:r>
      <w:r w:rsidR="00133C08">
        <w:rPr>
          <w:sz w:val="16"/>
          <w:szCs w:val="16"/>
          <w:lang w:val="en-CA"/>
        </w:rPr>
        <w:t xml:space="preserve">for </w:t>
      </w:r>
      <w:r w:rsidR="005307FE">
        <w:rPr>
          <w:sz w:val="16"/>
          <w:szCs w:val="16"/>
          <w:lang w:val="en-CA"/>
        </w:rPr>
        <w:t>to clarify issues of relevance to the evaluation.</w:t>
      </w:r>
    </w:p>
  </w:footnote>
  <w:footnote w:id="57">
    <w:p w14:paraId="24A5513F" w14:textId="40AF0310" w:rsidR="00205BCB" w:rsidRPr="00544394" w:rsidRDefault="00205BCB" w:rsidP="00205BCB">
      <w:pPr>
        <w:pStyle w:val="FootnoteText"/>
        <w:rPr>
          <w:sz w:val="16"/>
          <w:szCs w:val="16"/>
          <w:lang w:val="en-CA"/>
        </w:rPr>
      </w:pPr>
      <w:r w:rsidRPr="004A0D32">
        <w:rPr>
          <w:rStyle w:val="FootnoteReference"/>
          <w:sz w:val="16"/>
          <w:szCs w:val="16"/>
        </w:rPr>
        <w:footnoteRef/>
      </w:r>
      <w:r w:rsidR="005169A7" w:rsidRPr="004A0D32">
        <w:rPr>
          <w:sz w:val="16"/>
          <w:szCs w:val="16"/>
          <w:lang w:val="en-CA"/>
        </w:rPr>
        <w:t xml:space="preserve"> </w:t>
      </w:r>
      <w:r w:rsidR="00322F6A" w:rsidRPr="004A0D32">
        <w:rPr>
          <w:sz w:val="16"/>
          <w:szCs w:val="16"/>
          <w:lang w:val="en-CA"/>
        </w:rPr>
        <w:t xml:space="preserve">The five RECs were asked to provide the </w:t>
      </w:r>
      <w:r w:rsidR="008D1AA3" w:rsidRPr="004A0D32">
        <w:rPr>
          <w:sz w:val="16"/>
          <w:szCs w:val="16"/>
          <w:lang w:val="en-CA"/>
        </w:rPr>
        <w:t xml:space="preserve">details of the </w:t>
      </w:r>
      <w:r w:rsidR="00D83C2C" w:rsidRPr="004A0D32">
        <w:rPr>
          <w:sz w:val="16"/>
          <w:szCs w:val="16"/>
          <w:lang w:val="en-CA"/>
        </w:rPr>
        <w:t xml:space="preserve">main </w:t>
      </w:r>
      <w:r w:rsidR="008D1AA3" w:rsidRPr="004A0D32">
        <w:rPr>
          <w:sz w:val="16"/>
          <w:szCs w:val="16"/>
          <w:lang w:val="en-CA"/>
        </w:rPr>
        <w:t xml:space="preserve">stakeholders </w:t>
      </w:r>
      <w:r w:rsidR="00D83C2C" w:rsidRPr="004A0D32">
        <w:rPr>
          <w:sz w:val="16"/>
          <w:szCs w:val="16"/>
          <w:lang w:val="en-CA"/>
        </w:rPr>
        <w:t xml:space="preserve">who participated in </w:t>
      </w:r>
      <w:r w:rsidR="008D1AA3" w:rsidRPr="004A0D32">
        <w:rPr>
          <w:sz w:val="16"/>
          <w:szCs w:val="16"/>
          <w:lang w:val="en-CA"/>
        </w:rPr>
        <w:t>the project</w:t>
      </w:r>
      <w:r w:rsidR="000D3308" w:rsidRPr="004A0D32">
        <w:rPr>
          <w:sz w:val="16"/>
          <w:szCs w:val="16"/>
          <w:lang w:val="en-CA"/>
        </w:rPr>
        <w:t xml:space="preserve"> in th</w:t>
      </w:r>
      <w:r w:rsidR="000A0ECD" w:rsidRPr="004A0D32">
        <w:rPr>
          <w:sz w:val="16"/>
          <w:szCs w:val="16"/>
          <w:lang w:val="en-CA"/>
        </w:rPr>
        <w:t>e</w:t>
      </w:r>
      <w:r w:rsidR="000D3308" w:rsidRPr="004A0D32">
        <w:rPr>
          <w:sz w:val="16"/>
          <w:szCs w:val="16"/>
          <w:lang w:val="en-CA"/>
        </w:rPr>
        <w:t xml:space="preserve"> target</w:t>
      </w:r>
      <w:r w:rsidR="008D1AA3" w:rsidRPr="004A0D32">
        <w:rPr>
          <w:sz w:val="16"/>
          <w:szCs w:val="16"/>
          <w:lang w:val="en-CA"/>
        </w:rPr>
        <w:t xml:space="preserve"> countries that were under their ambit. </w:t>
      </w:r>
      <w:r w:rsidR="00C233A7" w:rsidRPr="004A0D32">
        <w:rPr>
          <w:sz w:val="16"/>
          <w:szCs w:val="16"/>
          <w:lang w:val="en-CA"/>
        </w:rPr>
        <w:t xml:space="preserve">UNCTAD was asked to provide the contact details of the </w:t>
      </w:r>
      <w:r w:rsidR="001C3A27" w:rsidRPr="004A0D32">
        <w:rPr>
          <w:sz w:val="16"/>
          <w:szCs w:val="16"/>
          <w:lang w:val="en-CA"/>
        </w:rPr>
        <w:t>stakeholders who participated in the activities that were facilitated by the</w:t>
      </w:r>
      <w:r w:rsidR="005C64B4" w:rsidRPr="004A0D32">
        <w:rPr>
          <w:sz w:val="16"/>
          <w:szCs w:val="16"/>
          <w:lang w:val="en-CA"/>
        </w:rPr>
        <w:t xml:space="preserve"> </w:t>
      </w:r>
      <w:r w:rsidR="001C3A27" w:rsidRPr="004A0D32">
        <w:rPr>
          <w:sz w:val="16"/>
          <w:szCs w:val="16"/>
          <w:lang w:val="en-CA"/>
        </w:rPr>
        <w:t>entit</w:t>
      </w:r>
      <w:r w:rsidR="000654C1" w:rsidRPr="004A0D32">
        <w:rPr>
          <w:sz w:val="16"/>
          <w:szCs w:val="16"/>
          <w:lang w:val="en-CA"/>
        </w:rPr>
        <w:t>y</w:t>
      </w:r>
      <w:r w:rsidR="00AC0D41" w:rsidRPr="004A0D32">
        <w:rPr>
          <w:sz w:val="16"/>
          <w:szCs w:val="16"/>
          <w:lang w:val="en-CA"/>
        </w:rPr>
        <w:t>,</w:t>
      </w:r>
      <w:r w:rsidR="000654C1" w:rsidRPr="004A0D32">
        <w:rPr>
          <w:sz w:val="16"/>
          <w:szCs w:val="16"/>
          <w:lang w:val="en-CA"/>
        </w:rPr>
        <w:t xml:space="preserve"> as the UNCTAD portfolio was not restricted to one identifiable region or country</w:t>
      </w:r>
      <w:r w:rsidR="002978E7" w:rsidRPr="004A0D32">
        <w:rPr>
          <w:sz w:val="16"/>
          <w:szCs w:val="16"/>
          <w:lang w:val="en-CA"/>
        </w:rPr>
        <w:t>. I</w:t>
      </w:r>
      <w:r w:rsidR="000A0ECD" w:rsidRPr="004A0D32">
        <w:rPr>
          <w:sz w:val="16"/>
          <w:szCs w:val="16"/>
          <w:lang w:val="en-CA"/>
        </w:rPr>
        <w:t xml:space="preserve">n response to </w:t>
      </w:r>
      <w:r w:rsidR="00455847" w:rsidRPr="004A0D32">
        <w:rPr>
          <w:sz w:val="16"/>
          <w:szCs w:val="16"/>
          <w:lang w:val="en-CA"/>
        </w:rPr>
        <w:t>this request UNCTAD provided a</w:t>
      </w:r>
      <w:r w:rsidR="00133C29" w:rsidRPr="004A0D32">
        <w:rPr>
          <w:sz w:val="16"/>
          <w:szCs w:val="16"/>
          <w:lang w:val="en-CA"/>
        </w:rPr>
        <w:t>n extended</w:t>
      </w:r>
      <w:r w:rsidR="00575799" w:rsidRPr="004A0D32">
        <w:rPr>
          <w:sz w:val="16"/>
          <w:szCs w:val="16"/>
          <w:lang w:val="en-CA"/>
        </w:rPr>
        <w:t xml:space="preserve"> </w:t>
      </w:r>
      <w:r w:rsidRPr="004A0D32">
        <w:rPr>
          <w:sz w:val="16"/>
          <w:szCs w:val="16"/>
          <w:lang w:val="en-CA"/>
        </w:rPr>
        <w:t>list of workshop participants</w:t>
      </w:r>
      <w:r w:rsidR="00455847" w:rsidRPr="004A0D32">
        <w:rPr>
          <w:sz w:val="16"/>
          <w:szCs w:val="16"/>
          <w:lang w:val="en-CA"/>
        </w:rPr>
        <w:t xml:space="preserve"> in </w:t>
      </w:r>
      <w:r w:rsidR="00B05CDA" w:rsidRPr="004A0D32">
        <w:rPr>
          <w:sz w:val="16"/>
          <w:szCs w:val="16"/>
          <w:lang w:val="en-CA"/>
        </w:rPr>
        <w:t>three countries</w:t>
      </w:r>
      <w:r w:rsidR="009A7510" w:rsidRPr="004A0D32">
        <w:rPr>
          <w:sz w:val="16"/>
          <w:szCs w:val="16"/>
          <w:lang w:val="en-CA"/>
        </w:rPr>
        <w:t xml:space="preserve">, </w:t>
      </w:r>
      <w:r w:rsidR="00B05CDA" w:rsidRPr="004A0D32">
        <w:rPr>
          <w:sz w:val="16"/>
          <w:szCs w:val="16"/>
          <w:lang w:val="en-CA"/>
        </w:rPr>
        <w:t>Belarus; Kyrgyzstan and Zambia</w:t>
      </w:r>
      <w:r w:rsidR="009A7510" w:rsidRPr="004A0D32">
        <w:rPr>
          <w:sz w:val="16"/>
          <w:szCs w:val="16"/>
          <w:lang w:val="en-CA"/>
        </w:rPr>
        <w:t xml:space="preserve"> (i.e. the target countries that </w:t>
      </w:r>
      <w:r w:rsidR="00E71042">
        <w:rPr>
          <w:sz w:val="16"/>
          <w:szCs w:val="16"/>
          <w:lang w:val="en-CA"/>
        </w:rPr>
        <w:t xml:space="preserve">were engaged by </w:t>
      </w:r>
      <w:r w:rsidR="009A7510" w:rsidRPr="004A0D32">
        <w:rPr>
          <w:sz w:val="16"/>
          <w:szCs w:val="16"/>
          <w:lang w:val="en-CA"/>
        </w:rPr>
        <w:t>the entity during the project</w:t>
      </w:r>
      <w:r w:rsidR="00B05CDA" w:rsidRPr="004A0D32">
        <w:rPr>
          <w:sz w:val="16"/>
          <w:szCs w:val="16"/>
          <w:lang w:val="en-CA"/>
        </w:rPr>
        <w:t>)</w:t>
      </w:r>
      <w:r w:rsidRPr="004A0D32">
        <w:rPr>
          <w:sz w:val="16"/>
          <w:szCs w:val="16"/>
          <w:lang w:val="en-CA"/>
        </w:rPr>
        <w:t xml:space="preserve">. </w:t>
      </w:r>
      <w:r w:rsidR="0055553A" w:rsidRPr="004A0D32">
        <w:rPr>
          <w:sz w:val="16"/>
          <w:szCs w:val="16"/>
          <w:lang w:val="en-CA"/>
        </w:rPr>
        <w:t>An electronic survey was used to extend the reach of the evaluation to these stakeholders.</w:t>
      </w:r>
      <w:r w:rsidR="00930B71">
        <w:rPr>
          <w:sz w:val="16"/>
          <w:szCs w:val="16"/>
          <w:lang w:val="en-CA"/>
        </w:rPr>
        <w:t xml:space="preserve"> The stakeholder</w:t>
      </w:r>
      <w:r w:rsidR="007532FD">
        <w:rPr>
          <w:sz w:val="16"/>
          <w:szCs w:val="16"/>
          <w:lang w:val="en-CA"/>
        </w:rPr>
        <w:t xml:space="preserve">s who were identified by the RECs were engaged by key informant </w:t>
      </w:r>
      <w:r w:rsidR="00E51B34">
        <w:rPr>
          <w:sz w:val="16"/>
          <w:szCs w:val="16"/>
          <w:lang w:val="en-CA"/>
        </w:rPr>
        <w:t>interviews.</w:t>
      </w:r>
    </w:p>
  </w:footnote>
  <w:footnote w:id="58">
    <w:p w14:paraId="53A80850" w14:textId="77777777" w:rsidR="00CB3C92" w:rsidRDefault="00CB3C92" w:rsidP="00CB3C92">
      <w:pPr>
        <w:pStyle w:val="FootnoteText"/>
      </w:pPr>
      <w:r w:rsidRPr="00544394">
        <w:rPr>
          <w:rStyle w:val="FootnoteReference"/>
          <w:sz w:val="16"/>
          <w:szCs w:val="16"/>
        </w:rPr>
        <w:footnoteRef/>
      </w:r>
      <w:r w:rsidRPr="00544394">
        <w:rPr>
          <w:sz w:val="16"/>
          <w:szCs w:val="16"/>
        </w:rPr>
        <w:t xml:space="preserve"> Patton, M. 2001. Qualitative Research and Evaluation Methods. California: Sage Publications.</w:t>
      </w:r>
      <w:r>
        <w:t xml:space="preserve"> </w:t>
      </w:r>
    </w:p>
  </w:footnote>
  <w:footnote w:id="59">
    <w:p w14:paraId="6AB8C6B1" w14:textId="77777777" w:rsidR="00A12B8A" w:rsidRPr="004A0D32" w:rsidRDefault="00A12B8A" w:rsidP="00A12B8A">
      <w:pPr>
        <w:pStyle w:val="FootnoteText"/>
        <w:rPr>
          <w:sz w:val="16"/>
          <w:szCs w:val="16"/>
          <w:lang w:val="en-CA"/>
        </w:rPr>
      </w:pPr>
      <w:r w:rsidRPr="004A0D32">
        <w:rPr>
          <w:rStyle w:val="FootnoteReference"/>
          <w:sz w:val="16"/>
          <w:szCs w:val="16"/>
        </w:rPr>
        <w:footnoteRef/>
      </w:r>
      <w:r w:rsidRPr="004A0D32">
        <w:rPr>
          <w:sz w:val="16"/>
          <w:szCs w:val="16"/>
        </w:rPr>
        <w:t xml:space="preserve"> </w:t>
      </w:r>
      <w:hyperlink r:id="rId19" w:history="1">
        <w:r w:rsidRPr="004A0D32">
          <w:rPr>
            <w:rStyle w:val="Hyperlink"/>
            <w:sz w:val="16"/>
            <w:szCs w:val="16"/>
          </w:rPr>
          <w:t>https://www.unevaluation.org/document/detail/2866</w:t>
        </w:r>
      </w:hyperlink>
      <w:r w:rsidRPr="004A0D32">
        <w:rPr>
          <w:sz w:val="16"/>
          <w:szCs w:val="16"/>
        </w:rPr>
        <w:t xml:space="preserve"> </w:t>
      </w:r>
    </w:p>
  </w:footnote>
  <w:footnote w:id="60">
    <w:p w14:paraId="4DAB61FF" w14:textId="77777777" w:rsidR="00A12B8A" w:rsidRPr="004A0D32" w:rsidRDefault="00A12B8A" w:rsidP="00A12B8A">
      <w:pPr>
        <w:pStyle w:val="FootnoteText"/>
        <w:rPr>
          <w:sz w:val="16"/>
          <w:szCs w:val="16"/>
          <w:lang w:val="en-CA"/>
        </w:rPr>
      </w:pPr>
      <w:r w:rsidRPr="004A0D32">
        <w:rPr>
          <w:rStyle w:val="FootnoteReference"/>
          <w:sz w:val="16"/>
          <w:szCs w:val="16"/>
        </w:rPr>
        <w:footnoteRef/>
      </w:r>
      <w:r w:rsidRPr="004A0D32">
        <w:rPr>
          <w:sz w:val="16"/>
          <w:szCs w:val="16"/>
        </w:rPr>
        <w:t xml:space="preserve"> </w:t>
      </w:r>
      <w:hyperlink r:id="rId20" w:history="1">
        <w:r w:rsidRPr="004A0D32">
          <w:rPr>
            <w:rStyle w:val="Hyperlink"/>
            <w:sz w:val="16"/>
            <w:szCs w:val="16"/>
          </w:rPr>
          <w:t>https://procurement-notices.undp.org/view_file.cfm?doc_id=245190</w:t>
        </w:r>
      </w:hyperlink>
      <w:r w:rsidRPr="004A0D32">
        <w:rPr>
          <w:sz w:val="16"/>
          <w:szCs w:val="16"/>
        </w:rPr>
        <w:t xml:space="preserve"> </w:t>
      </w:r>
    </w:p>
  </w:footnote>
  <w:footnote w:id="61">
    <w:p w14:paraId="41A80D00" w14:textId="454DC513" w:rsidR="002C62E8" w:rsidRPr="002C62E8" w:rsidRDefault="002C62E8">
      <w:pPr>
        <w:pStyle w:val="FootnoteText"/>
        <w:rPr>
          <w:lang w:val="en-CA"/>
        </w:rPr>
      </w:pPr>
      <w:r w:rsidRPr="004A0D32">
        <w:rPr>
          <w:rStyle w:val="FootnoteReference"/>
          <w:sz w:val="16"/>
          <w:szCs w:val="16"/>
        </w:rPr>
        <w:footnoteRef/>
      </w:r>
      <w:r w:rsidRPr="004A0D32">
        <w:rPr>
          <w:sz w:val="16"/>
          <w:szCs w:val="16"/>
        </w:rPr>
        <w:t xml:space="preserve"> </w:t>
      </w:r>
      <w:r w:rsidR="00FC3AF0" w:rsidRPr="004A0D32">
        <w:rPr>
          <w:sz w:val="16"/>
          <w:szCs w:val="16"/>
          <w:lang w:val="en-CA"/>
        </w:rPr>
        <w:t xml:space="preserve">A significant element of stakeholder non-response </w:t>
      </w:r>
      <w:r w:rsidR="006F14AD" w:rsidRPr="004A0D32">
        <w:rPr>
          <w:sz w:val="16"/>
          <w:szCs w:val="16"/>
          <w:lang w:val="en-CA"/>
        </w:rPr>
        <w:t xml:space="preserve">was the </w:t>
      </w:r>
      <w:r w:rsidR="001451E2" w:rsidRPr="004A0D32">
        <w:rPr>
          <w:sz w:val="16"/>
          <w:szCs w:val="16"/>
          <w:lang w:val="en-CA"/>
        </w:rPr>
        <w:t>lack of response by the original project manager and the focal point in Jordan</w:t>
      </w:r>
      <w:r w:rsidR="00466705" w:rsidRPr="004A0D32">
        <w:rPr>
          <w:sz w:val="16"/>
          <w:szCs w:val="16"/>
          <w:lang w:val="en-CA"/>
        </w:rPr>
        <w:t xml:space="preserve"> to requests for consultation.</w:t>
      </w:r>
    </w:p>
  </w:footnote>
  <w:footnote w:id="62">
    <w:p w14:paraId="2B816E67" w14:textId="1A8AD911" w:rsidR="00E87FDD" w:rsidRPr="004A0D32" w:rsidRDefault="00E87FDD">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The definitions of the evaluation criteria and cross-cutting themes are presented in Annex 4.</w:t>
      </w:r>
    </w:p>
  </w:footnote>
  <w:footnote w:id="63">
    <w:p w14:paraId="64DAA5D2" w14:textId="77777777" w:rsidR="009C1EFA" w:rsidRPr="004A0D32" w:rsidRDefault="009C1EFA" w:rsidP="009C1EFA">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The eights countries were: Belarus; Burkina Faso; Costa Rica; Egypt; Jordan; Kyrgyzstan; Pakistan; and Zambia.</w:t>
      </w:r>
    </w:p>
  </w:footnote>
  <w:footnote w:id="64">
    <w:p w14:paraId="4BB1621B" w14:textId="697E83A9" w:rsidR="00F26379" w:rsidRPr="004A0D32" w:rsidRDefault="00F26379">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 xml:space="preserve">These countries were: Dominican Republic and Samoa, as replacements for </w:t>
      </w:r>
      <w:r w:rsidR="00DF747B" w:rsidRPr="004A0D32">
        <w:rPr>
          <w:sz w:val="16"/>
          <w:szCs w:val="16"/>
          <w:lang w:val="en-CA"/>
        </w:rPr>
        <w:t>Colombia and Indonesia.</w:t>
      </w:r>
      <w:r w:rsidR="00137491" w:rsidRPr="004A0D32">
        <w:rPr>
          <w:sz w:val="16"/>
          <w:szCs w:val="16"/>
          <w:lang w:val="en-CA"/>
        </w:rPr>
        <w:t xml:space="preserve"> The replacement process will be discussed further in sub-Section </w:t>
      </w:r>
      <w:r w:rsidR="009756E1" w:rsidRPr="004A0D32">
        <w:rPr>
          <w:sz w:val="16"/>
          <w:szCs w:val="16"/>
          <w:lang w:val="en-CA"/>
        </w:rPr>
        <w:t>5.4: Efficiency.</w:t>
      </w:r>
    </w:p>
  </w:footnote>
  <w:footnote w:id="65">
    <w:p w14:paraId="5BE9D228" w14:textId="2551713C" w:rsidR="00DB7DEB" w:rsidRPr="00DB7DEB" w:rsidRDefault="00DB7DEB">
      <w:pPr>
        <w:pStyle w:val="FootnoteText"/>
        <w:rPr>
          <w:lang w:val="en-CA"/>
        </w:rPr>
      </w:pPr>
      <w:r w:rsidRPr="004A0D32">
        <w:rPr>
          <w:rStyle w:val="FootnoteReference"/>
          <w:sz w:val="16"/>
          <w:szCs w:val="16"/>
        </w:rPr>
        <w:footnoteRef/>
      </w:r>
      <w:r w:rsidRPr="004A0D32">
        <w:rPr>
          <w:sz w:val="16"/>
          <w:szCs w:val="16"/>
        </w:rPr>
        <w:t xml:space="preserve"> </w:t>
      </w:r>
      <w:r w:rsidRPr="004A0D32">
        <w:rPr>
          <w:sz w:val="16"/>
          <w:szCs w:val="16"/>
          <w:lang w:val="en-CA"/>
        </w:rPr>
        <w:t>See sub-Section 2.4.1</w:t>
      </w:r>
    </w:p>
  </w:footnote>
  <w:footnote w:id="66">
    <w:p w14:paraId="4919EF86" w14:textId="7A628A1A" w:rsidR="0077215F" w:rsidRPr="004A0D32" w:rsidRDefault="0077215F">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These constra</w:t>
      </w:r>
      <w:r w:rsidR="004A7813" w:rsidRPr="004A0D32">
        <w:rPr>
          <w:sz w:val="16"/>
          <w:szCs w:val="16"/>
          <w:lang w:val="en-CA"/>
        </w:rPr>
        <w:t>ints include</w:t>
      </w:r>
      <w:r w:rsidR="00C60C94" w:rsidRPr="004A0D32">
        <w:rPr>
          <w:sz w:val="16"/>
          <w:szCs w:val="16"/>
          <w:lang w:val="en-CA"/>
        </w:rPr>
        <w:t>, inter alia</w:t>
      </w:r>
      <w:r w:rsidR="004A7813" w:rsidRPr="004A0D32">
        <w:rPr>
          <w:sz w:val="16"/>
          <w:szCs w:val="16"/>
          <w:lang w:val="en-CA"/>
        </w:rPr>
        <w:t xml:space="preserve">: </w:t>
      </w:r>
      <w:r w:rsidR="00FE175F" w:rsidRPr="004A0D32">
        <w:rPr>
          <w:sz w:val="16"/>
          <w:szCs w:val="16"/>
          <w:lang w:val="en-CA"/>
        </w:rPr>
        <w:t>limited fiscal space; declining public</w:t>
      </w:r>
      <w:r w:rsidR="000C3AEC" w:rsidRPr="004A0D32">
        <w:rPr>
          <w:sz w:val="16"/>
          <w:szCs w:val="16"/>
          <w:lang w:val="en-CA"/>
        </w:rPr>
        <w:t xml:space="preserve"> and private</w:t>
      </w:r>
      <w:r w:rsidR="00FE175F" w:rsidRPr="004A0D32">
        <w:rPr>
          <w:sz w:val="16"/>
          <w:szCs w:val="16"/>
          <w:lang w:val="en-CA"/>
        </w:rPr>
        <w:t xml:space="preserve"> investment; a</w:t>
      </w:r>
      <w:r w:rsidR="00C60C94" w:rsidRPr="004A0D32">
        <w:rPr>
          <w:sz w:val="16"/>
          <w:szCs w:val="16"/>
          <w:lang w:val="en-CA"/>
        </w:rPr>
        <w:t>nd a</w:t>
      </w:r>
      <w:r w:rsidR="00FE175F" w:rsidRPr="004A0D32">
        <w:rPr>
          <w:sz w:val="16"/>
          <w:szCs w:val="16"/>
          <w:lang w:val="en-CA"/>
        </w:rPr>
        <w:t xml:space="preserve"> low ta</w:t>
      </w:r>
      <w:r w:rsidR="000C3AEC" w:rsidRPr="004A0D32">
        <w:rPr>
          <w:sz w:val="16"/>
          <w:szCs w:val="16"/>
          <w:lang w:val="en-CA"/>
        </w:rPr>
        <w:t>x-to-GDP ratio</w:t>
      </w:r>
      <w:r w:rsidR="00C60C94" w:rsidRPr="004A0D32">
        <w:rPr>
          <w:sz w:val="16"/>
          <w:szCs w:val="16"/>
          <w:lang w:val="en-CA"/>
        </w:rPr>
        <w:t>.</w:t>
      </w:r>
      <w:r w:rsidR="000C3AEC" w:rsidRPr="004A0D32">
        <w:rPr>
          <w:sz w:val="16"/>
          <w:szCs w:val="16"/>
          <w:lang w:val="en-CA"/>
        </w:rPr>
        <w:t xml:space="preserve"> </w:t>
      </w:r>
    </w:p>
  </w:footnote>
  <w:footnote w:id="67">
    <w:p w14:paraId="22B8BC96" w14:textId="683BC2E9" w:rsidR="00EE62B6" w:rsidRPr="007204D8" w:rsidRDefault="00EE62B6" w:rsidP="00E22194">
      <w:pPr>
        <w:pStyle w:val="FootnoteText"/>
        <w:rPr>
          <w:lang w:val="en-CA"/>
        </w:rPr>
      </w:pPr>
      <w:r w:rsidRPr="004A0D32">
        <w:rPr>
          <w:rStyle w:val="FootnoteReference"/>
          <w:sz w:val="16"/>
          <w:szCs w:val="16"/>
        </w:rPr>
        <w:footnoteRef/>
      </w:r>
      <w:r w:rsidRPr="004A0D32">
        <w:rPr>
          <w:sz w:val="16"/>
          <w:szCs w:val="16"/>
        </w:rPr>
        <w:t xml:space="preserve">The relevant national plans were: the National Development Strategy of the Kyrgyz Republic for 2018-2040; the Development Programme of the Kyrgyz Republic for the period 2018 – 2022; and the </w:t>
      </w:r>
      <w:r w:rsidRPr="004A0D32">
        <w:rPr>
          <w:sz w:val="16"/>
          <w:szCs w:val="16"/>
          <w:lang w:val="en-CA"/>
        </w:rPr>
        <w:t>National Development Plan of the Kyrgyz Republic to 2026.</w:t>
      </w:r>
    </w:p>
  </w:footnote>
  <w:footnote w:id="68">
    <w:p w14:paraId="2D0DF90A" w14:textId="5933CE1E" w:rsidR="00FB2D0E" w:rsidRPr="004A0D32" w:rsidRDefault="00FB2D0E">
      <w:pPr>
        <w:pStyle w:val="FootnoteText"/>
        <w:rPr>
          <w:sz w:val="16"/>
          <w:szCs w:val="16"/>
          <w:lang w:val="en-CA"/>
        </w:rPr>
      </w:pPr>
      <w:r w:rsidRPr="004A0D32">
        <w:rPr>
          <w:rStyle w:val="FootnoteReference"/>
          <w:sz w:val="16"/>
          <w:szCs w:val="16"/>
        </w:rPr>
        <w:footnoteRef/>
      </w:r>
      <w:r w:rsidRPr="004A0D32">
        <w:rPr>
          <w:sz w:val="16"/>
          <w:szCs w:val="16"/>
        </w:rPr>
        <w:t xml:space="preserve"> </w:t>
      </w:r>
      <w:r w:rsidR="008410B6">
        <w:rPr>
          <w:sz w:val="16"/>
          <w:szCs w:val="16"/>
          <w:lang w:val="en-CA"/>
        </w:rPr>
        <w:t>Draft project document</w:t>
      </w:r>
      <w:r w:rsidR="00D6154D" w:rsidRPr="004A0D32">
        <w:rPr>
          <w:sz w:val="16"/>
          <w:szCs w:val="16"/>
          <w:lang w:val="en-CA"/>
        </w:rPr>
        <w:t>, sub-Section 3.1, p.11</w:t>
      </w:r>
    </w:p>
  </w:footnote>
  <w:footnote w:id="69">
    <w:p w14:paraId="49FA9B1E" w14:textId="0C15BDEC" w:rsidR="0031683E" w:rsidRPr="004A0D32" w:rsidRDefault="0031683E">
      <w:pPr>
        <w:pStyle w:val="FootnoteText"/>
        <w:rPr>
          <w:sz w:val="16"/>
          <w:szCs w:val="16"/>
          <w:lang w:val="en-CA"/>
        </w:rPr>
      </w:pPr>
      <w:r w:rsidRPr="004A0D32">
        <w:rPr>
          <w:rStyle w:val="FootnoteReference"/>
          <w:sz w:val="16"/>
          <w:szCs w:val="16"/>
        </w:rPr>
        <w:footnoteRef/>
      </w:r>
      <w:hyperlink r:id="rId21" w:history="1">
        <w:r w:rsidRPr="004A0D32">
          <w:rPr>
            <w:rStyle w:val="Hyperlink"/>
            <w:sz w:val="16"/>
            <w:szCs w:val="16"/>
          </w:rPr>
          <w:t>https://openknowledge.worldbank.org/server/api/core/bitstreams/e1e22749-80c3-50ea-b7e1-8bc332d0c2ff/content</w:t>
        </w:r>
      </w:hyperlink>
      <w:r w:rsidRPr="004A0D32">
        <w:rPr>
          <w:sz w:val="16"/>
          <w:szCs w:val="16"/>
        </w:rPr>
        <w:t xml:space="preserve"> </w:t>
      </w:r>
    </w:p>
  </w:footnote>
  <w:footnote w:id="70">
    <w:p w14:paraId="458CB2A1" w14:textId="77777777" w:rsidR="00BC3635" w:rsidRPr="004A0D32" w:rsidRDefault="00BC3635" w:rsidP="00BC3635">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The term commitments is used to denote national sustainable development goals and priorities, including the linkage to the global development agenda.</w:t>
      </w:r>
    </w:p>
  </w:footnote>
  <w:footnote w:id="71">
    <w:p w14:paraId="26A5F8D0" w14:textId="06A5E3C4" w:rsidR="0068404A" w:rsidRPr="004A0D32" w:rsidRDefault="0068404A">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See sub-Section 2.2.1</w:t>
      </w:r>
    </w:p>
  </w:footnote>
  <w:footnote w:id="72">
    <w:p w14:paraId="2DCC9D34" w14:textId="3C066835" w:rsidR="00A168CB" w:rsidRPr="004A0D32" w:rsidRDefault="00A168CB">
      <w:pPr>
        <w:pStyle w:val="FootnoteText"/>
        <w:rPr>
          <w:sz w:val="16"/>
          <w:szCs w:val="16"/>
          <w:lang w:val="en-CA"/>
        </w:rPr>
      </w:pPr>
      <w:r w:rsidRPr="004A0D32">
        <w:rPr>
          <w:rStyle w:val="FootnoteReference"/>
          <w:sz w:val="16"/>
          <w:szCs w:val="16"/>
        </w:rPr>
        <w:footnoteRef/>
      </w:r>
      <w:r w:rsidRPr="004A0D32">
        <w:rPr>
          <w:sz w:val="16"/>
          <w:szCs w:val="16"/>
        </w:rPr>
        <w:t xml:space="preserve"> </w:t>
      </w:r>
      <w:r w:rsidR="008A1445" w:rsidRPr="004A0D32">
        <w:rPr>
          <w:sz w:val="16"/>
          <w:szCs w:val="16"/>
          <w:lang w:val="en-CA"/>
        </w:rPr>
        <w:t>Source</w:t>
      </w:r>
      <w:r w:rsidR="008079EE" w:rsidRPr="004A0D32">
        <w:rPr>
          <w:sz w:val="16"/>
          <w:szCs w:val="16"/>
          <w:lang w:val="en-CA"/>
        </w:rPr>
        <w:t>: R</w:t>
      </w:r>
      <w:r w:rsidR="008A1445" w:rsidRPr="004A0D32">
        <w:rPr>
          <w:sz w:val="16"/>
          <w:szCs w:val="16"/>
          <w:lang w:val="en-CA"/>
        </w:rPr>
        <w:t xml:space="preserve">eview of project documents; </w:t>
      </w:r>
      <w:r w:rsidR="00A44527" w:rsidRPr="004A0D32">
        <w:rPr>
          <w:sz w:val="16"/>
          <w:szCs w:val="16"/>
          <w:lang w:val="en-CA"/>
        </w:rPr>
        <w:t>K</w:t>
      </w:r>
      <w:r w:rsidR="008A1445" w:rsidRPr="004A0D32">
        <w:rPr>
          <w:sz w:val="16"/>
          <w:szCs w:val="16"/>
          <w:lang w:val="en-CA"/>
        </w:rPr>
        <w:t>ey informant consultations</w:t>
      </w:r>
      <w:r w:rsidR="00135871" w:rsidRPr="004A0D32">
        <w:rPr>
          <w:sz w:val="16"/>
          <w:szCs w:val="16"/>
          <w:lang w:val="en-CA"/>
        </w:rPr>
        <w:t xml:space="preserve"> January – </w:t>
      </w:r>
      <w:r w:rsidR="00660EEE" w:rsidRPr="004A0D32">
        <w:rPr>
          <w:sz w:val="16"/>
          <w:szCs w:val="16"/>
          <w:lang w:val="en-CA"/>
        </w:rPr>
        <w:t xml:space="preserve">September </w:t>
      </w:r>
      <w:r w:rsidR="00135871" w:rsidRPr="004A0D32">
        <w:rPr>
          <w:sz w:val="16"/>
          <w:szCs w:val="16"/>
          <w:lang w:val="en-CA"/>
        </w:rPr>
        <w:t>2025</w:t>
      </w:r>
    </w:p>
  </w:footnote>
  <w:footnote w:id="73">
    <w:p w14:paraId="30052514" w14:textId="086E193D" w:rsidR="00FC64EF" w:rsidRPr="004A0D32" w:rsidRDefault="00FC64EF">
      <w:pPr>
        <w:pStyle w:val="FootnoteText"/>
        <w:rPr>
          <w:sz w:val="16"/>
          <w:szCs w:val="16"/>
          <w:lang w:val="en-CA"/>
        </w:rPr>
      </w:pPr>
      <w:r w:rsidRPr="004A0D32">
        <w:rPr>
          <w:rStyle w:val="FootnoteReference"/>
          <w:sz w:val="16"/>
          <w:szCs w:val="16"/>
        </w:rPr>
        <w:footnoteRef/>
      </w:r>
      <w:r w:rsidRPr="004A0D32">
        <w:rPr>
          <w:sz w:val="16"/>
          <w:szCs w:val="16"/>
        </w:rPr>
        <w:t xml:space="preserve"> </w:t>
      </w:r>
      <w:r w:rsidR="006370C4" w:rsidRPr="004A0D32">
        <w:rPr>
          <w:sz w:val="16"/>
          <w:szCs w:val="16"/>
          <w:lang w:val="en-CA"/>
        </w:rPr>
        <w:t>See sub-Section 2.4.1</w:t>
      </w:r>
    </w:p>
  </w:footnote>
  <w:footnote w:id="74">
    <w:p w14:paraId="019A2A89" w14:textId="024009D5" w:rsidR="00FF781D" w:rsidRPr="004A0D32" w:rsidRDefault="00FF781D">
      <w:pPr>
        <w:pStyle w:val="FootnoteText"/>
        <w:rPr>
          <w:sz w:val="16"/>
          <w:szCs w:val="16"/>
          <w:lang w:val="en-CA"/>
        </w:rPr>
      </w:pPr>
      <w:r w:rsidRPr="004A0D32">
        <w:rPr>
          <w:rStyle w:val="FootnoteReference"/>
          <w:sz w:val="16"/>
          <w:szCs w:val="16"/>
        </w:rPr>
        <w:footnoteRef/>
      </w:r>
      <w:r w:rsidR="00AA6A99" w:rsidRPr="004A0D32">
        <w:rPr>
          <w:sz w:val="16"/>
          <w:szCs w:val="16"/>
        </w:rPr>
        <w:t xml:space="preserve"> </w:t>
      </w:r>
      <w:r w:rsidR="00BD4E31" w:rsidRPr="004A0D32">
        <w:rPr>
          <w:sz w:val="16"/>
          <w:szCs w:val="16"/>
        </w:rPr>
        <w:t>UNESCAP collaborated with UNDESA-FSDO to address the need to replace</w:t>
      </w:r>
      <w:r w:rsidR="00D71854" w:rsidRPr="004A0D32">
        <w:rPr>
          <w:sz w:val="16"/>
          <w:szCs w:val="16"/>
        </w:rPr>
        <w:t xml:space="preserve"> Indonesia </w:t>
      </w:r>
      <w:r w:rsidR="00AA6A99" w:rsidRPr="004A0D32">
        <w:rPr>
          <w:sz w:val="16"/>
          <w:szCs w:val="16"/>
        </w:rPr>
        <w:t>with another target country (Final project report, March 2025</w:t>
      </w:r>
      <w:r w:rsidR="00C70A67" w:rsidRPr="004A0D32">
        <w:rPr>
          <w:sz w:val="16"/>
          <w:szCs w:val="16"/>
        </w:rPr>
        <w:t>, sub-Section 5.2</w:t>
      </w:r>
      <w:r w:rsidR="00AA6A99" w:rsidRPr="004A0D32">
        <w:rPr>
          <w:sz w:val="16"/>
          <w:szCs w:val="16"/>
        </w:rPr>
        <w:t>)</w:t>
      </w:r>
    </w:p>
  </w:footnote>
  <w:footnote w:id="75">
    <w:p w14:paraId="296E39BC" w14:textId="640F9FB3" w:rsidR="00E377F6" w:rsidRPr="004A0D32" w:rsidRDefault="00E377F6">
      <w:pPr>
        <w:pStyle w:val="FootnoteText"/>
        <w:rPr>
          <w:sz w:val="16"/>
          <w:szCs w:val="16"/>
          <w:lang w:val="en-CA"/>
        </w:rPr>
      </w:pPr>
      <w:r w:rsidRPr="004A0D32">
        <w:rPr>
          <w:rStyle w:val="FootnoteReference"/>
          <w:sz w:val="16"/>
          <w:szCs w:val="16"/>
        </w:rPr>
        <w:footnoteRef/>
      </w:r>
      <w:r w:rsidRPr="004A0D32">
        <w:rPr>
          <w:sz w:val="16"/>
          <w:szCs w:val="16"/>
        </w:rPr>
        <w:t xml:space="preserve"> </w:t>
      </w:r>
      <w:r w:rsidRPr="004A0D32">
        <w:rPr>
          <w:sz w:val="16"/>
          <w:szCs w:val="16"/>
          <w:lang w:val="en-CA"/>
        </w:rPr>
        <w:t xml:space="preserve">See Section 1 for a list of all </w:t>
      </w:r>
      <w:r w:rsidR="00C432CF">
        <w:rPr>
          <w:sz w:val="16"/>
          <w:szCs w:val="16"/>
          <w:lang w:val="en-CA"/>
        </w:rPr>
        <w:t xml:space="preserve">executing </w:t>
      </w:r>
      <w:r w:rsidRPr="004A0D32">
        <w:rPr>
          <w:sz w:val="16"/>
          <w:szCs w:val="16"/>
          <w:lang w:val="en-CA"/>
        </w:rPr>
        <w:t>entities</w:t>
      </w:r>
    </w:p>
  </w:footnote>
  <w:footnote w:id="76">
    <w:p w14:paraId="3962E375" w14:textId="4183F66A" w:rsidR="001858C5" w:rsidRPr="004A0D32" w:rsidRDefault="001858C5">
      <w:pPr>
        <w:pStyle w:val="FootnoteText"/>
        <w:rPr>
          <w:sz w:val="16"/>
          <w:szCs w:val="16"/>
          <w:lang w:val="en-CA"/>
        </w:rPr>
      </w:pPr>
      <w:r w:rsidRPr="004A0D32">
        <w:rPr>
          <w:rStyle w:val="FootnoteReference"/>
          <w:sz w:val="16"/>
          <w:szCs w:val="16"/>
        </w:rPr>
        <w:footnoteRef/>
      </w:r>
      <w:r w:rsidRPr="004A0D32">
        <w:rPr>
          <w:sz w:val="16"/>
          <w:szCs w:val="16"/>
        </w:rPr>
        <w:t xml:space="preserve"> </w:t>
      </w:r>
      <w:r w:rsidR="00726C6E" w:rsidRPr="004A0D32">
        <w:rPr>
          <w:sz w:val="16"/>
          <w:szCs w:val="16"/>
          <w:lang w:val="en-CA"/>
        </w:rPr>
        <w:t>See sub-Section 2.2.1</w:t>
      </w:r>
    </w:p>
  </w:footnote>
  <w:footnote w:id="77">
    <w:p w14:paraId="64E6DADB" w14:textId="5042D9AA" w:rsidR="00795725" w:rsidRPr="00795725" w:rsidRDefault="00795725">
      <w:pPr>
        <w:pStyle w:val="FootnoteText"/>
        <w:rPr>
          <w:lang w:val="en-CA"/>
        </w:rPr>
      </w:pPr>
      <w:r w:rsidRPr="004A0D32">
        <w:rPr>
          <w:rStyle w:val="FootnoteReference"/>
          <w:sz w:val="16"/>
          <w:szCs w:val="16"/>
        </w:rPr>
        <w:footnoteRef/>
      </w:r>
      <w:r w:rsidRPr="004A0D32">
        <w:rPr>
          <w:sz w:val="16"/>
          <w:szCs w:val="16"/>
        </w:rPr>
        <w:t xml:space="preserve"> </w:t>
      </w:r>
      <w:hyperlink r:id="rId22" w:history="1">
        <w:r w:rsidR="00BC0C52" w:rsidRPr="004A0D32">
          <w:rPr>
            <w:rStyle w:val="Hyperlink"/>
            <w:sz w:val="16"/>
            <w:szCs w:val="16"/>
          </w:rPr>
          <w:t>https://www.un.org/en/desa/what-we-do/capacity-building</w:t>
        </w:r>
      </w:hyperlink>
      <w:r w:rsidR="00BC0C52">
        <w:t xml:space="preserve"> </w:t>
      </w:r>
    </w:p>
  </w:footnote>
  <w:footnote w:id="78">
    <w:p w14:paraId="39D464B4" w14:textId="4C1298BA" w:rsidR="00936C60" w:rsidRPr="00D86200" w:rsidRDefault="00936C60">
      <w:pPr>
        <w:pStyle w:val="FootnoteText"/>
        <w:rPr>
          <w:sz w:val="16"/>
          <w:szCs w:val="16"/>
          <w:lang w:val="en-CA"/>
        </w:rPr>
      </w:pPr>
      <w:r w:rsidRPr="00D86200">
        <w:rPr>
          <w:rStyle w:val="FootnoteReference"/>
          <w:sz w:val="16"/>
          <w:szCs w:val="16"/>
        </w:rPr>
        <w:footnoteRef/>
      </w:r>
      <w:r w:rsidRPr="00D86200">
        <w:rPr>
          <w:sz w:val="16"/>
          <w:szCs w:val="16"/>
        </w:rPr>
        <w:t xml:space="preserve"> </w:t>
      </w:r>
      <w:r w:rsidRPr="00D86200">
        <w:rPr>
          <w:sz w:val="16"/>
          <w:szCs w:val="16"/>
          <w:lang w:val="en-CA"/>
        </w:rPr>
        <w:t>See sub-Section 2.2.1</w:t>
      </w:r>
    </w:p>
  </w:footnote>
  <w:footnote w:id="79">
    <w:p w14:paraId="18085C59" w14:textId="6D8786CF" w:rsidR="00AB5A02" w:rsidRPr="00AB5A02" w:rsidRDefault="00AB5A02">
      <w:pPr>
        <w:pStyle w:val="FootnoteText"/>
        <w:rPr>
          <w:lang w:val="en-CA"/>
        </w:rPr>
      </w:pPr>
      <w:r w:rsidRPr="00D86200">
        <w:rPr>
          <w:rStyle w:val="FootnoteReference"/>
          <w:sz w:val="16"/>
          <w:szCs w:val="16"/>
        </w:rPr>
        <w:footnoteRef/>
      </w:r>
      <w:r w:rsidRPr="00D86200">
        <w:rPr>
          <w:sz w:val="16"/>
          <w:szCs w:val="16"/>
        </w:rPr>
        <w:t xml:space="preserve"> </w:t>
      </w:r>
      <w:r w:rsidRPr="00D86200">
        <w:rPr>
          <w:sz w:val="16"/>
          <w:szCs w:val="16"/>
          <w:lang w:val="en-CA"/>
        </w:rPr>
        <w:t xml:space="preserve">The specific contributions of the </w:t>
      </w:r>
      <w:r w:rsidR="00280C62" w:rsidRPr="00D86200">
        <w:rPr>
          <w:sz w:val="16"/>
          <w:szCs w:val="16"/>
          <w:lang w:val="en-CA"/>
        </w:rPr>
        <w:t>execu</w:t>
      </w:r>
      <w:r w:rsidR="00780A01" w:rsidRPr="00D86200">
        <w:rPr>
          <w:sz w:val="16"/>
          <w:szCs w:val="16"/>
          <w:lang w:val="en-CA"/>
        </w:rPr>
        <w:t>t</w:t>
      </w:r>
      <w:r w:rsidR="00280C62" w:rsidRPr="00D86200">
        <w:rPr>
          <w:sz w:val="16"/>
          <w:szCs w:val="16"/>
          <w:lang w:val="en-CA"/>
        </w:rPr>
        <w:t>ing entities,</w:t>
      </w:r>
      <w:r w:rsidR="00780A01" w:rsidRPr="00D86200">
        <w:rPr>
          <w:sz w:val="16"/>
          <w:szCs w:val="16"/>
          <w:lang w:val="en-CA"/>
        </w:rPr>
        <w:t xml:space="preserve"> </w:t>
      </w:r>
      <w:r w:rsidR="00280C62" w:rsidRPr="00D86200">
        <w:rPr>
          <w:sz w:val="16"/>
          <w:szCs w:val="16"/>
          <w:lang w:val="en-CA"/>
        </w:rPr>
        <w:t>wi</w:t>
      </w:r>
      <w:r w:rsidR="00780A01" w:rsidRPr="00D86200">
        <w:rPr>
          <w:sz w:val="16"/>
          <w:szCs w:val="16"/>
          <w:lang w:val="en-CA"/>
        </w:rPr>
        <w:t>t</w:t>
      </w:r>
      <w:r w:rsidR="00280C62" w:rsidRPr="00D86200">
        <w:rPr>
          <w:sz w:val="16"/>
          <w:szCs w:val="16"/>
          <w:lang w:val="en-CA"/>
        </w:rPr>
        <w:t>h emphasis on implemen</w:t>
      </w:r>
      <w:r w:rsidR="005D3F09" w:rsidRPr="00D86200">
        <w:rPr>
          <w:sz w:val="16"/>
          <w:szCs w:val="16"/>
          <w:lang w:val="en-CA"/>
        </w:rPr>
        <w:t>ted activitie</w:t>
      </w:r>
      <w:r w:rsidR="00780A01" w:rsidRPr="00D86200">
        <w:rPr>
          <w:sz w:val="16"/>
          <w:szCs w:val="16"/>
          <w:lang w:val="en-CA"/>
        </w:rPr>
        <w:t>s, will be addressed in sub-Section 5.3: Effectiveness</w:t>
      </w:r>
      <w:r w:rsidR="006E65DC" w:rsidRPr="00D86200">
        <w:rPr>
          <w:sz w:val="16"/>
          <w:szCs w:val="16"/>
          <w:lang w:val="en-CA"/>
        </w:rPr>
        <w:t>.</w:t>
      </w:r>
    </w:p>
  </w:footnote>
  <w:footnote w:id="80">
    <w:p w14:paraId="7A2980AB" w14:textId="0B626E28" w:rsidR="00EE7110" w:rsidRPr="00D86200" w:rsidRDefault="00EE7110">
      <w:pPr>
        <w:pStyle w:val="FootnoteText"/>
        <w:rPr>
          <w:sz w:val="16"/>
          <w:szCs w:val="16"/>
        </w:rPr>
      </w:pPr>
      <w:r w:rsidRPr="00D86200">
        <w:rPr>
          <w:rStyle w:val="FootnoteReference"/>
          <w:sz w:val="16"/>
          <w:szCs w:val="16"/>
        </w:rPr>
        <w:footnoteRef/>
      </w:r>
      <w:r w:rsidRPr="00D86200">
        <w:rPr>
          <w:sz w:val="16"/>
          <w:szCs w:val="16"/>
        </w:rPr>
        <w:t xml:space="preserve"> </w:t>
      </w:r>
      <w:hyperlink r:id="rId23" w:history="1">
        <w:r w:rsidR="00013041" w:rsidRPr="00D86200">
          <w:rPr>
            <w:rStyle w:val="Hyperlink"/>
            <w:sz w:val="16"/>
            <w:szCs w:val="16"/>
          </w:rPr>
          <w:t>https://www.uneca.org/our-work</w:t>
        </w:r>
      </w:hyperlink>
    </w:p>
    <w:p w14:paraId="0AF52669" w14:textId="2FB9AD91" w:rsidR="00013041" w:rsidRPr="00D86200" w:rsidRDefault="00AC525E">
      <w:pPr>
        <w:pStyle w:val="FootnoteText"/>
        <w:rPr>
          <w:sz w:val="16"/>
          <w:szCs w:val="16"/>
        </w:rPr>
      </w:pPr>
      <w:hyperlink r:id="rId24" w:history="1">
        <w:r w:rsidRPr="00D86200">
          <w:rPr>
            <w:rStyle w:val="Hyperlink"/>
            <w:sz w:val="16"/>
            <w:szCs w:val="16"/>
          </w:rPr>
          <w:t>https://unece.org/ppp</w:t>
        </w:r>
      </w:hyperlink>
    </w:p>
    <w:p w14:paraId="772384F0" w14:textId="77777777" w:rsidR="0091726C" w:rsidRPr="00D86200" w:rsidRDefault="0091726C" w:rsidP="0091726C">
      <w:pPr>
        <w:rPr>
          <w:sz w:val="16"/>
          <w:szCs w:val="16"/>
        </w:rPr>
      </w:pPr>
      <w:hyperlink r:id="rId25" w:history="1">
        <w:r w:rsidRPr="00D86200">
          <w:rPr>
            <w:rStyle w:val="Hyperlink"/>
            <w:sz w:val="16"/>
            <w:szCs w:val="16"/>
          </w:rPr>
          <w:t>https://repositorio.cepal.org/bitstream/handle/11362/47448/1/S2100576_en.pdf</w:t>
        </w:r>
      </w:hyperlink>
      <w:r w:rsidRPr="00D86200">
        <w:rPr>
          <w:sz w:val="16"/>
          <w:szCs w:val="16"/>
        </w:rPr>
        <w:t xml:space="preserve"> </w:t>
      </w:r>
    </w:p>
    <w:p w14:paraId="54F418AA" w14:textId="77777777" w:rsidR="00903B15" w:rsidRPr="00D86200" w:rsidRDefault="00903B15" w:rsidP="00903B15">
      <w:pPr>
        <w:rPr>
          <w:sz w:val="16"/>
          <w:szCs w:val="16"/>
        </w:rPr>
      </w:pPr>
      <w:hyperlink r:id="rId26" w:history="1">
        <w:r w:rsidRPr="00D86200">
          <w:rPr>
            <w:rStyle w:val="Hyperlink"/>
            <w:sz w:val="16"/>
            <w:szCs w:val="16"/>
          </w:rPr>
          <w:t>https://www.unescap.org/our-work/macroeconomic-policy-financing-development</w:t>
        </w:r>
      </w:hyperlink>
      <w:r w:rsidRPr="00D86200">
        <w:rPr>
          <w:sz w:val="16"/>
          <w:szCs w:val="16"/>
        </w:rPr>
        <w:t xml:space="preserve"> </w:t>
      </w:r>
    </w:p>
    <w:p w14:paraId="7891386E" w14:textId="77777777" w:rsidR="00E86911" w:rsidRPr="00D86200" w:rsidRDefault="00E86911" w:rsidP="00E86911">
      <w:pPr>
        <w:rPr>
          <w:sz w:val="16"/>
          <w:szCs w:val="16"/>
        </w:rPr>
      </w:pPr>
      <w:hyperlink r:id="rId27" w:history="1">
        <w:r w:rsidRPr="00D86200">
          <w:rPr>
            <w:rStyle w:val="Hyperlink"/>
            <w:sz w:val="16"/>
            <w:szCs w:val="16"/>
          </w:rPr>
          <w:t>https://www.unescwa.org/clusters/3</w:t>
        </w:r>
      </w:hyperlink>
      <w:r w:rsidRPr="00D86200">
        <w:rPr>
          <w:sz w:val="16"/>
          <w:szCs w:val="16"/>
        </w:rPr>
        <w:t xml:space="preserve"> </w:t>
      </w:r>
    </w:p>
    <w:p w14:paraId="14C60B78" w14:textId="41DC7D41" w:rsidR="00AC525E" w:rsidRPr="00EE7110" w:rsidRDefault="00265218" w:rsidP="00E83AE1">
      <w:pPr>
        <w:rPr>
          <w:lang w:val="en-CA"/>
        </w:rPr>
      </w:pPr>
      <w:hyperlink r:id="rId28" w:history="1">
        <w:r w:rsidRPr="00D86200">
          <w:rPr>
            <w:rStyle w:val="Hyperlink"/>
            <w:sz w:val="16"/>
            <w:szCs w:val="16"/>
          </w:rPr>
          <w:t>https://unctad.org/system/files/official-document/wp79inf1_en.pdf</w:t>
        </w:r>
      </w:hyperlink>
      <w:r w:rsidRPr="00265218">
        <w:rPr>
          <w:sz w:val="18"/>
          <w:szCs w:val="18"/>
        </w:rPr>
        <w:t xml:space="preserve"> </w:t>
      </w:r>
    </w:p>
  </w:footnote>
  <w:footnote w:id="81">
    <w:p w14:paraId="518FC808" w14:textId="5C8613C1" w:rsidR="00961505" w:rsidRPr="00D86200" w:rsidRDefault="00961505">
      <w:pPr>
        <w:pStyle w:val="FootnoteText"/>
        <w:rPr>
          <w:sz w:val="16"/>
          <w:szCs w:val="16"/>
          <w:lang w:val="en-CA"/>
        </w:rPr>
      </w:pPr>
      <w:r w:rsidRPr="00D86200">
        <w:rPr>
          <w:rStyle w:val="FootnoteReference"/>
          <w:sz w:val="16"/>
          <w:szCs w:val="16"/>
        </w:rPr>
        <w:footnoteRef/>
      </w:r>
      <w:r w:rsidRPr="00D86200">
        <w:rPr>
          <w:sz w:val="16"/>
          <w:szCs w:val="16"/>
        </w:rPr>
        <w:t xml:space="preserve"> </w:t>
      </w:r>
      <w:r w:rsidRPr="00D86200">
        <w:rPr>
          <w:sz w:val="16"/>
          <w:szCs w:val="16"/>
          <w:lang w:val="en-CA"/>
        </w:rPr>
        <w:t>These six areas are: Poverty and inequality; governance; resilience</w:t>
      </w:r>
      <w:r w:rsidR="00E762C7" w:rsidRPr="00D86200">
        <w:rPr>
          <w:sz w:val="16"/>
          <w:szCs w:val="16"/>
          <w:lang w:val="en-CA"/>
        </w:rPr>
        <w:t>; environment; energy; and gender equality.</w:t>
      </w:r>
    </w:p>
  </w:footnote>
  <w:footnote w:id="82">
    <w:p w14:paraId="63BFE04F" w14:textId="515EE8BC" w:rsidR="00B13FC3" w:rsidRPr="00D86200" w:rsidRDefault="00B13FC3">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29" w:history="1">
        <w:r w:rsidR="00E47BC1" w:rsidRPr="00D86200">
          <w:rPr>
            <w:rStyle w:val="Hyperlink"/>
            <w:sz w:val="16"/>
            <w:szCs w:val="16"/>
          </w:rPr>
          <w:t>https://www.undp.org/about-us</w:t>
        </w:r>
      </w:hyperlink>
      <w:r w:rsidR="00E47BC1" w:rsidRPr="00D86200">
        <w:rPr>
          <w:sz w:val="16"/>
          <w:szCs w:val="16"/>
        </w:rPr>
        <w:t xml:space="preserve"> </w:t>
      </w:r>
    </w:p>
  </w:footnote>
  <w:footnote w:id="83">
    <w:p w14:paraId="4316D01F" w14:textId="5A854D54" w:rsidR="00BB00FD" w:rsidRPr="00D86200" w:rsidRDefault="00BB00FD">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0" w:history="1">
        <w:r w:rsidRPr="00D86200">
          <w:rPr>
            <w:rStyle w:val="Hyperlink"/>
            <w:sz w:val="16"/>
            <w:szCs w:val="16"/>
          </w:rPr>
          <w:t>https://www.undp.org/expertise</w:t>
        </w:r>
      </w:hyperlink>
      <w:r w:rsidRPr="00D86200">
        <w:rPr>
          <w:sz w:val="16"/>
          <w:szCs w:val="16"/>
        </w:rPr>
        <w:t xml:space="preserve"> </w:t>
      </w:r>
    </w:p>
  </w:footnote>
  <w:footnote w:id="84">
    <w:p w14:paraId="76C53890" w14:textId="1DB1CB33" w:rsidR="006F5CC8" w:rsidRPr="00D86200" w:rsidRDefault="006F5CC8">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1" w:history="1">
        <w:r w:rsidRPr="00D86200">
          <w:rPr>
            <w:rStyle w:val="Hyperlink"/>
            <w:sz w:val="16"/>
            <w:szCs w:val="16"/>
          </w:rPr>
          <w:t>https://www.jointsdgfund.org/sites/default/files/2025-04/Joint%20SDG%20Fund%20Strategy.pdf</w:t>
        </w:r>
      </w:hyperlink>
      <w:r w:rsidRPr="00D86200">
        <w:rPr>
          <w:sz w:val="16"/>
          <w:szCs w:val="16"/>
        </w:rPr>
        <w:t xml:space="preserve"> </w:t>
      </w:r>
    </w:p>
  </w:footnote>
  <w:footnote w:id="85">
    <w:p w14:paraId="1FFA74B5" w14:textId="56F36554" w:rsidR="009954EC" w:rsidRPr="00D86200" w:rsidRDefault="009954EC">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2" w:history="1">
        <w:r w:rsidR="00231DE3" w:rsidRPr="00D86200">
          <w:rPr>
            <w:rStyle w:val="Hyperlink"/>
            <w:sz w:val="16"/>
            <w:szCs w:val="16"/>
          </w:rPr>
          <w:t>https://www.jointsdgfund.org/sites/default/files/2025-04/Joint%20SDG%20Fund%20Strategy.pdf</w:t>
        </w:r>
      </w:hyperlink>
    </w:p>
  </w:footnote>
  <w:footnote w:id="86">
    <w:p w14:paraId="16D16BDE" w14:textId="4744C605" w:rsidR="004512DC" w:rsidRPr="00D86200" w:rsidRDefault="004512DC">
      <w:pPr>
        <w:pStyle w:val="FootnoteText"/>
        <w:rPr>
          <w:sz w:val="16"/>
          <w:szCs w:val="16"/>
          <w:lang w:val="en-CA"/>
        </w:rPr>
      </w:pPr>
      <w:r w:rsidRPr="00D86200">
        <w:rPr>
          <w:rStyle w:val="FootnoteReference"/>
          <w:sz w:val="16"/>
          <w:szCs w:val="16"/>
        </w:rPr>
        <w:footnoteRef/>
      </w:r>
      <w:r w:rsidRPr="00D86200">
        <w:rPr>
          <w:sz w:val="16"/>
          <w:szCs w:val="16"/>
        </w:rPr>
        <w:t xml:space="preserve"> </w:t>
      </w:r>
      <w:r w:rsidR="00231DE3" w:rsidRPr="00D86200">
        <w:rPr>
          <w:sz w:val="16"/>
          <w:szCs w:val="16"/>
        </w:rPr>
        <w:t xml:space="preserve">ibid </w:t>
      </w:r>
    </w:p>
  </w:footnote>
  <w:footnote w:id="87">
    <w:p w14:paraId="3FCFE499" w14:textId="462CAF64" w:rsidR="004E0C57" w:rsidRPr="00D86200" w:rsidRDefault="004E0C57">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3" w:history="1">
        <w:r w:rsidR="00DF289F" w:rsidRPr="00D86200">
          <w:rPr>
            <w:rStyle w:val="Hyperlink"/>
            <w:sz w:val="16"/>
            <w:szCs w:val="16"/>
          </w:rPr>
          <w:t>https://sdgfinance.undp.org/our-services/INFF</w:t>
        </w:r>
      </w:hyperlink>
      <w:r w:rsidR="00DF289F" w:rsidRPr="00D86200">
        <w:rPr>
          <w:sz w:val="16"/>
          <w:szCs w:val="16"/>
        </w:rPr>
        <w:t xml:space="preserve"> </w:t>
      </w:r>
    </w:p>
  </w:footnote>
  <w:footnote w:id="88">
    <w:p w14:paraId="2C56C542" w14:textId="77777777" w:rsidR="00594E3F" w:rsidRPr="00B73A6C" w:rsidRDefault="00594E3F" w:rsidP="00594E3F">
      <w:pPr>
        <w:pStyle w:val="FootnoteText"/>
        <w:rPr>
          <w:lang w:val="en-CA"/>
        </w:rPr>
      </w:pPr>
      <w:r>
        <w:rPr>
          <w:rStyle w:val="FootnoteReference"/>
        </w:rPr>
        <w:footnoteRef/>
      </w:r>
      <w:r>
        <w:t xml:space="preserve"> </w:t>
      </w:r>
      <w:hyperlink r:id="rId34" w:history="1">
        <w:r w:rsidRPr="00D86200">
          <w:rPr>
            <w:rStyle w:val="Hyperlink"/>
            <w:sz w:val="16"/>
            <w:szCs w:val="16"/>
          </w:rPr>
          <w:t>https://sdg.iisd.org/news/high-level-dialogue-on-ffd-identifies-actions-to-fill-sdg-funding-gaps/</w:t>
        </w:r>
      </w:hyperlink>
      <w:r>
        <w:t xml:space="preserve"> </w:t>
      </w:r>
    </w:p>
  </w:footnote>
  <w:footnote w:id="89">
    <w:p w14:paraId="736D5A21" w14:textId="4E803CE7" w:rsidR="00106233" w:rsidRPr="00D86200" w:rsidRDefault="00106233">
      <w:pPr>
        <w:pStyle w:val="FootnoteText"/>
        <w:rPr>
          <w:sz w:val="16"/>
          <w:szCs w:val="16"/>
          <w:lang w:val="en-CA"/>
        </w:rPr>
      </w:pPr>
      <w:r w:rsidRPr="00D86200">
        <w:rPr>
          <w:rStyle w:val="FootnoteReference"/>
          <w:sz w:val="16"/>
          <w:szCs w:val="16"/>
        </w:rPr>
        <w:footnoteRef/>
      </w:r>
      <w:r w:rsidRPr="00D86200">
        <w:rPr>
          <w:sz w:val="16"/>
          <w:szCs w:val="16"/>
        </w:rPr>
        <w:t xml:space="preserve"> </w:t>
      </w:r>
      <w:r w:rsidR="002C0031" w:rsidRPr="00D86200">
        <w:rPr>
          <w:sz w:val="16"/>
          <w:szCs w:val="16"/>
          <w:lang w:val="en-CA"/>
        </w:rPr>
        <w:t xml:space="preserve">The </w:t>
      </w:r>
      <w:r w:rsidR="00014865" w:rsidRPr="00D86200">
        <w:rPr>
          <w:sz w:val="16"/>
          <w:szCs w:val="16"/>
          <w:lang w:val="en-CA"/>
        </w:rPr>
        <w:t xml:space="preserve">executing entities for the </w:t>
      </w:r>
      <w:r w:rsidR="002C0031" w:rsidRPr="00D86200">
        <w:rPr>
          <w:sz w:val="16"/>
          <w:szCs w:val="16"/>
          <w:lang w:val="en-CA"/>
        </w:rPr>
        <w:t xml:space="preserve">project </w:t>
      </w:r>
      <w:r w:rsidR="00014865" w:rsidRPr="00D86200">
        <w:rPr>
          <w:sz w:val="16"/>
          <w:szCs w:val="16"/>
          <w:lang w:val="en-CA"/>
        </w:rPr>
        <w:t>are</w:t>
      </w:r>
      <w:r w:rsidR="00335C47" w:rsidRPr="00D86200">
        <w:rPr>
          <w:sz w:val="16"/>
          <w:szCs w:val="16"/>
          <w:lang w:val="en-CA"/>
        </w:rPr>
        <w:t xml:space="preserve">: </w:t>
      </w:r>
      <w:r w:rsidR="002C0031" w:rsidRPr="00D86200">
        <w:rPr>
          <w:sz w:val="16"/>
          <w:szCs w:val="16"/>
          <w:lang w:val="en-CA"/>
        </w:rPr>
        <w:t>UNDESA-FSDO; the SIDS Unit</w:t>
      </w:r>
      <w:r w:rsidR="00165C7D" w:rsidRPr="00D86200">
        <w:rPr>
          <w:sz w:val="16"/>
          <w:szCs w:val="16"/>
          <w:lang w:val="en-CA"/>
        </w:rPr>
        <w:t xml:space="preserve"> and</w:t>
      </w:r>
      <w:r w:rsidR="00104ACB" w:rsidRPr="00D86200">
        <w:rPr>
          <w:sz w:val="16"/>
          <w:szCs w:val="16"/>
          <w:lang w:val="en-CA"/>
        </w:rPr>
        <w:t xml:space="preserve"> the </w:t>
      </w:r>
      <w:r w:rsidR="004A15C2" w:rsidRPr="00D86200">
        <w:rPr>
          <w:sz w:val="16"/>
          <w:szCs w:val="16"/>
          <w:lang w:val="en-CA"/>
        </w:rPr>
        <w:t>UNDESA</w:t>
      </w:r>
      <w:r w:rsidR="00335C47" w:rsidRPr="00D86200">
        <w:rPr>
          <w:sz w:val="16"/>
          <w:szCs w:val="16"/>
          <w:lang w:val="en-CA"/>
        </w:rPr>
        <w:t xml:space="preserve"> </w:t>
      </w:r>
      <w:r w:rsidR="004A15C2" w:rsidRPr="00D86200">
        <w:rPr>
          <w:sz w:val="16"/>
          <w:szCs w:val="16"/>
          <w:lang w:val="en-CA"/>
        </w:rPr>
        <w:t>D</w:t>
      </w:r>
      <w:r w:rsidR="00335C47" w:rsidRPr="00D86200">
        <w:rPr>
          <w:sz w:val="16"/>
          <w:szCs w:val="16"/>
          <w:lang w:val="en-CA"/>
        </w:rPr>
        <w:t xml:space="preserve">ivision for </w:t>
      </w:r>
      <w:r w:rsidR="004A15C2" w:rsidRPr="00D86200">
        <w:rPr>
          <w:sz w:val="16"/>
          <w:szCs w:val="16"/>
          <w:lang w:val="en-CA"/>
        </w:rPr>
        <w:t>SDG</w:t>
      </w:r>
      <w:r w:rsidR="00335C47" w:rsidRPr="00D86200">
        <w:rPr>
          <w:sz w:val="16"/>
          <w:szCs w:val="16"/>
          <w:lang w:val="en-CA"/>
        </w:rPr>
        <w:t>s.</w:t>
      </w:r>
    </w:p>
  </w:footnote>
  <w:footnote w:id="90">
    <w:p w14:paraId="3CB2E047" w14:textId="1F4A0D34" w:rsidR="00BD40FC" w:rsidRPr="00D86200" w:rsidRDefault="00BD40FC">
      <w:pPr>
        <w:pStyle w:val="FootnoteText"/>
        <w:rPr>
          <w:sz w:val="16"/>
          <w:szCs w:val="16"/>
          <w:lang w:val="en-CA"/>
        </w:rPr>
      </w:pPr>
      <w:r w:rsidRPr="00D86200">
        <w:rPr>
          <w:rStyle w:val="FootnoteReference"/>
          <w:sz w:val="16"/>
          <w:szCs w:val="16"/>
        </w:rPr>
        <w:footnoteRef/>
      </w:r>
      <w:r w:rsidRPr="00D86200">
        <w:rPr>
          <w:sz w:val="16"/>
          <w:szCs w:val="16"/>
        </w:rPr>
        <w:t xml:space="preserve"> </w:t>
      </w:r>
      <w:r w:rsidR="00DA5D14" w:rsidRPr="00D86200">
        <w:rPr>
          <w:sz w:val="16"/>
          <w:szCs w:val="16"/>
        </w:rPr>
        <w:t xml:space="preserve">The FINS project </w:t>
      </w:r>
      <w:r w:rsidR="003F338A" w:rsidRPr="00D86200">
        <w:rPr>
          <w:sz w:val="16"/>
          <w:szCs w:val="16"/>
        </w:rPr>
        <w:t xml:space="preserve">has </w:t>
      </w:r>
      <w:r w:rsidR="0031165B">
        <w:rPr>
          <w:sz w:val="16"/>
          <w:szCs w:val="16"/>
        </w:rPr>
        <w:t>been extended</w:t>
      </w:r>
      <w:r w:rsidR="00BB6AB7">
        <w:rPr>
          <w:sz w:val="16"/>
          <w:szCs w:val="16"/>
        </w:rPr>
        <w:t xml:space="preserve"> and now has an expected end-date of 2026</w:t>
      </w:r>
      <w:r w:rsidR="00C20220" w:rsidRPr="00D86200">
        <w:rPr>
          <w:sz w:val="16"/>
          <w:szCs w:val="16"/>
          <w:lang w:val="en-CA"/>
        </w:rPr>
        <w:t>.</w:t>
      </w:r>
    </w:p>
  </w:footnote>
  <w:footnote w:id="91">
    <w:p w14:paraId="61DA4A08" w14:textId="77777777" w:rsidR="00240A91" w:rsidRPr="00D86200" w:rsidRDefault="00240A91" w:rsidP="00240A91">
      <w:pPr>
        <w:pStyle w:val="FootnoteText"/>
        <w:rPr>
          <w:sz w:val="16"/>
          <w:szCs w:val="16"/>
          <w:lang w:val="en-CA"/>
        </w:rPr>
      </w:pPr>
      <w:r w:rsidRPr="00D86200">
        <w:rPr>
          <w:rStyle w:val="FootnoteReference"/>
          <w:sz w:val="16"/>
          <w:szCs w:val="16"/>
        </w:rPr>
        <w:footnoteRef/>
      </w:r>
      <w:r w:rsidRPr="00D86200">
        <w:rPr>
          <w:sz w:val="16"/>
          <w:szCs w:val="16"/>
        </w:rPr>
        <w:t xml:space="preserve"> </w:t>
      </w:r>
      <w:r w:rsidRPr="00D86200">
        <w:rPr>
          <w:sz w:val="16"/>
          <w:szCs w:val="16"/>
          <w:lang w:val="en-CA"/>
        </w:rPr>
        <w:t>Project document: Support to INFFs in SIDS</w:t>
      </w:r>
    </w:p>
  </w:footnote>
  <w:footnote w:id="92">
    <w:p w14:paraId="6BCA3041" w14:textId="2B2DD8E2" w:rsidR="00CB63CB" w:rsidRPr="00D86200" w:rsidRDefault="00CB63CB" w:rsidP="00CB63CB">
      <w:pPr>
        <w:pStyle w:val="FootnoteText"/>
        <w:rPr>
          <w:sz w:val="16"/>
          <w:szCs w:val="16"/>
          <w:lang w:val="en-CA"/>
        </w:rPr>
      </w:pPr>
      <w:r w:rsidRPr="00D86200">
        <w:rPr>
          <w:rStyle w:val="FootnoteReference"/>
          <w:sz w:val="16"/>
          <w:szCs w:val="16"/>
        </w:rPr>
        <w:footnoteRef/>
      </w:r>
      <w:r w:rsidRPr="00D86200">
        <w:rPr>
          <w:rStyle w:val="FootnoteReference"/>
          <w:sz w:val="16"/>
          <w:szCs w:val="16"/>
        </w:rPr>
        <w:footnoteRef/>
      </w:r>
      <w:r w:rsidRPr="00D86200">
        <w:rPr>
          <w:sz w:val="16"/>
          <w:szCs w:val="16"/>
        </w:rPr>
        <w:t xml:space="preserve"> Desk review of global guidance material on INFF project; Key informant consultations, </w:t>
      </w:r>
      <w:r w:rsidR="00431989" w:rsidRPr="00D86200">
        <w:rPr>
          <w:sz w:val="16"/>
          <w:szCs w:val="16"/>
        </w:rPr>
        <w:t>January</w:t>
      </w:r>
      <w:r w:rsidRPr="00D86200">
        <w:rPr>
          <w:sz w:val="16"/>
          <w:szCs w:val="16"/>
        </w:rPr>
        <w:t xml:space="preserve"> – September 2025</w:t>
      </w:r>
    </w:p>
  </w:footnote>
  <w:footnote w:id="93">
    <w:p w14:paraId="6745EB3B" w14:textId="77777777" w:rsidR="00B11032" w:rsidRPr="00775519" w:rsidRDefault="00B11032" w:rsidP="00B11032">
      <w:pPr>
        <w:pStyle w:val="FootnoteText"/>
        <w:rPr>
          <w:lang w:val="en-CA"/>
        </w:rPr>
      </w:pPr>
      <w:r w:rsidRPr="00D86200">
        <w:rPr>
          <w:rStyle w:val="FootnoteReference"/>
          <w:sz w:val="16"/>
          <w:szCs w:val="16"/>
        </w:rPr>
        <w:footnoteRef/>
      </w:r>
      <w:r w:rsidRPr="00D86200">
        <w:rPr>
          <w:sz w:val="16"/>
          <w:szCs w:val="16"/>
        </w:rPr>
        <w:t xml:space="preserve"> </w:t>
      </w:r>
      <w:hyperlink r:id="rId35" w:history="1">
        <w:r w:rsidRPr="00D86200">
          <w:rPr>
            <w:rStyle w:val="Hyperlink"/>
            <w:sz w:val="16"/>
            <w:szCs w:val="16"/>
          </w:rPr>
          <w:t>https://financing.desa.un.org/capacity-development/topics/fins</w:t>
        </w:r>
      </w:hyperlink>
      <w:r>
        <w:t xml:space="preserve"> </w:t>
      </w:r>
    </w:p>
  </w:footnote>
  <w:footnote w:id="94">
    <w:p w14:paraId="39F904C5" w14:textId="03BA9C02" w:rsidR="0078408A" w:rsidRPr="0078408A" w:rsidRDefault="0078408A">
      <w:pPr>
        <w:pStyle w:val="FootnoteText"/>
        <w:rPr>
          <w:lang w:val="en-CA"/>
        </w:rPr>
      </w:pPr>
      <w:r>
        <w:rPr>
          <w:rStyle w:val="FootnoteReference"/>
        </w:rPr>
        <w:footnoteRef/>
      </w:r>
      <w:r>
        <w:t xml:space="preserve"> </w:t>
      </w:r>
      <w:r w:rsidRPr="00D4347C">
        <w:rPr>
          <w:sz w:val="16"/>
          <w:szCs w:val="16"/>
          <w:lang w:val="en-CA"/>
        </w:rPr>
        <w:t>See Annex 9</w:t>
      </w:r>
    </w:p>
  </w:footnote>
  <w:footnote w:id="95">
    <w:p w14:paraId="4EF77B92" w14:textId="22F38E02" w:rsidR="002A5AFB" w:rsidRPr="00D86200" w:rsidRDefault="002A5AFB">
      <w:pPr>
        <w:pStyle w:val="FootnoteText"/>
        <w:rPr>
          <w:sz w:val="16"/>
          <w:szCs w:val="16"/>
          <w:lang w:val="en-CA"/>
        </w:rPr>
      </w:pPr>
      <w:r w:rsidRPr="00D86200">
        <w:rPr>
          <w:rStyle w:val="FootnoteReference"/>
          <w:sz w:val="16"/>
          <w:szCs w:val="16"/>
        </w:rPr>
        <w:footnoteRef/>
      </w:r>
      <w:r w:rsidRPr="00D86200">
        <w:rPr>
          <w:sz w:val="16"/>
          <w:szCs w:val="16"/>
        </w:rPr>
        <w:t xml:space="preserve"> </w:t>
      </w:r>
      <w:hyperlink r:id="rId36" w:history="1">
        <w:r w:rsidR="00E0588D" w:rsidRPr="00D86200">
          <w:rPr>
            <w:rStyle w:val="Hyperlink"/>
            <w:sz w:val="16"/>
            <w:szCs w:val="16"/>
          </w:rPr>
          <w:t>https://inff.org/about/inff-facility</w:t>
        </w:r>
      </w:hyperlink>
      <w:r w:rsidR="00E0588D" w:rsidRPr="00D86200">
        <w:rPr>
          <w:sz w:val="16"/>
          <w:szCs w:val="16"/>
        </w:rPr>
        <w:t xml:space="preserve"> </w:t>
      </w:r>
    </w:p>
  </w:footnote>
  <w:footnote w:id="96">
    <w:p w14:paraId="6AF1E7D2" w14:textId="1B84608C" w:rsidR="00781A4A" w:rsidRPr="00D86200" w:rsidRDefault="00781A4A">
      <w:pPr>
        <w:pStyle w:val="FootnoteText"/>
        <w:rPr>
          <w:sz w:val="16"/>
          <w:szCs w:val="16"/>
          <w:lang w:val="es-ES"/>
        </w:rPr>
      </w:pPr>
      <w:r w:rsidRPr="00D86200">
        <w:rPr>
          <w:rStyle w:val="FootnoteReference"/>
          <w:sz w:val="16"/>
          <w:szCs w:val="16"/>
        </w:rPr>
        <w:footnoteRef/>
      </w:r>
      <w:r w:rsidRPr="00D86200">
        <w:rPr>
          <w:sz w:val="16"/>
          <w:szCs w:val="16"/>
          <w:lang w:val="es-ES"/>
        </w:rPr>
        <w:t xml:space="preserve"> ibid </w:t>
      </w:r>
    </w:p>
  </w:footnote>
  <w:footnote w:id="97">
    <w:p w14:paraId="5C8BA54C" w14:textId="6E4E21CF" w:rsidR="002E7091" w:rsidRPr="00D86200" w:rsidRDefault="002E7091">
      <w:pPr>
        <w:pStyle w:val="FootnoteText"/>
        <w:rPr>
          <w:sz w:val="16"/>
          <w:szCs w:val="16"/>
          <w:lang w:val="es-ES"/>
        </w:rPr>
      </w:pPr>
      <w:r w:rsidRPr="00D86200">
        <w:rPr>
          <w:rStyle w:val="FootnoteReference"/>
          <w:sz w:val="16"/>
          <w:szCs w:val="16"/>
        </w:rPr>
        <w:footnoteRef/>
      </w:r>
      <w:r w:rsidRPr="00D86200">
        <w:rPr>
          <w:sz w:val="16"/>
          <w:szCs w:val="16"/>
          <w:lang w:val="es-ES"/>
        </w:rPr>
        <w:t xml:space="preserve"> </w:t>
      </w:r>
      <w:hyperlink r:id="rId37" w:history="1">
        <w:r w:rsidR="00C72B6A" w:rsidRPr="00D86200">
          <w:rPr>
            <w:rStyle w:val="Hyperlink"/>
            <w:sz w:val="16"/>
            <w:szCs w:val="16"/>
            <w:lang w:val="es-ES"/>
          </w:rPr>
          <w:t>https://inff.org/news/new-inff-knowledge-platform-supports-the-development-of-national-frameworks-for-financing-the-sdgs-and-a-post-covid-recovery</w:t>
        </w:r>
      </w:hyperlink>
      <w:r w:rsidR="00C72B6A" w:rsidRPr="00D86200">
        <w:rPr>
          <w:sz w:val="16"/>
          <w:szCs w:val="16"/>
          <w:lang w:val="es-ES"/>
        </w:rPr>
        <w:t xml:space="preserve"> </w:t>
      </w:r>
    </w:p>
  </w:footnote>
  <w:footnote w:id="98">
    <w:p w14:paraId="78E51294" w14:textId="4394BC96" w:rsidR="00FE7BBA" w:rsidRPr="00D86200" w:rsidRDefault="00FE7BBA">
      <w:pPr>
        <w:pStyle w:val="FootnoteText"/>
        <w:rPr>
          <w:sz w:val="16"/>
          <w:szCs w:val="16"/>
          <w:lang w:val="es-ES"/>
        </w:rPr>
      </w:pPr>
      <w:r w:rsidRPr="00D86200">
        <w:rPr>
          <w:rStyle w:val="FootnoteReference"/>
          <w:sz w:val="16"/>
          <w:szCs w:val="16"/>
        </w:rPr>
        <w:footnoteRef/>
      </w:r>
      <w:hyperlink r:id="rId38" w:history="1">
        <w:r w:rsidR="0082119A" w:rsidRPr="00D86200">
          <w:rPr>
            <w:rStyle w:val="Hyperlink"/>
            <w:sz w:val="16"/>
            <w:szCs w:val="16"/>
            <w:lang w:val="es-ES"/>
          </w:rPr>
          <w:t>https://financing.desa.un.org/sites/default/files/INFF_BB4%20Governance%20and%20Coordination_Final.pdf</w:t>
        </w:r>
      </w:hyperlink>
      <w:r w:rsidR="0082119A" w:rsidRPr="00D86200">
        <w:rPr>
          <w:sz w:val="16"/>
          <w:szCs w:val="16"/>
          <w:lang w:val="es-ES"/>
        </w:rPr>
        <w:t xml:space="preserve"> </w:t>
      </w:r>
    </w:p>
  </w:footnote>
  <w:footnote w:id="99">
    <w:p w14:paraId="0728DBA3" w14:textId="60F1C22A" w:rsidR="00EE14F0" w:rsidRPr="00D86200" w:rsidRDefault="00EE14F0">
      <w:pPr>
        <w:pStyle w:val="FootnoteText"/>
        <w:rPr>
          <w:sz w:val="16"/>
          <w:szCs w:val="16"/>
          <w:lang w:val="es-ES"/>
        </w:rPr>
      </w:pPr>
      <w:r w:rsidRPr="00D86200">
        <w:rPr>
          <w:rStyle w:val="FootnoteReference"/>
          <w:sz w:val="16"/>
          <w:szCs w:val="16"/>
        </w:rPr>
        <w:footnoteRef/>
      </w:r>
      <w:r w:rsidRPr="00D86200">
        <w:rPr>
          <w:sz w:val="16"/>
          <w:szCs w:val="16"/>
          <w:lang w:val="es-ES"/>
        </w:rPr>
        <w:t xml:space="preserve"> </w:t>
      </w:r>
      <w:hyperlink r:id="rId39" w:history="1">
        <w:r w:rsidR="00145AB8" w:rsidRPr="00D86200">
          <w:rPr>
            <w:rStyle w:val="Hyperlink"/>
            <w:sz w:val="16"/>
            <w:szCs w:val="16"/>
            <w:lang w:val="es-ES"/>
          </w:rPr>
          <w:t>https://unstats.un.org/unsd/unsystem/Documents-Sept2018/BG-Item6-MAPS.pdf</w:t>
        </w:r>
      </w:hyperlink>
      <w:r w:rsidR="00145AB8" w:rsidRPr="00D86200">
        <w:rPr>
          <w:sz w:val="16"/>
          <w:szCs w:val="16"/>
          <w:lang w:val="es-ES"/>
        </w:rPr>
        <w:t xml:space="preserve"> </w:t>
      </w:r>
    </w:p>
  </w:footnote>
  <w:footnote w:id="100">
    <w:p w14:paraId="0C4E2DAA" w14:textId="57760DE2" w:rsidR="00911D45" w:rsidRPr="00D86200" w:rsidRDefault="00911D45">
      <w:pPr>
        <w:pStyle w:val="FootnoteText"/>
        <w:rPr>
          <w:sz w:val="16"/>
          <w:szCs w:val="16"/>
          <w:lang w:val="es-ES"/>
        </w:rPr>
      </w:pPr>
      <w:r w:rsidRPr="00D86200">
        <w:rPr>
          <w:rStyle w:val="FootnoteReference"/>
          <w:sz w:val="16"/>
          <w:szCs w:val="16"/>
        </w:rPr>
        <w:footnoteRef/>
      </w:r>
      <w:r w:rsidRPr="00D86200">
        <w:rPr>
          <w:sz w:val="16"/>
          <w:szCs w:val="16"/>
          <w:lang w:val="es-ES"/>
        </w:rPr>
        <w:t xml:space="preserve"> </w:t>
      </w:r>
      <w:hyperlink r:id="rId40" w:history="1">
        <w:r w:rsidR="00DD14A7" w:rsidRPr="00D86200">
          <w:rPr>
            <w:rStyle w:val="Hyperlink"/>
            <w:sz w:val="16"/>
            <w:szCs w:val="16"/>
            <w:lang w:val="es-ES"/>
          </w:rPr>
          <w:t>https://sdgintegration.undp.org/supporting-un-development-system</w:t>
        </w:r>
      </w:hyperlink>
      <w:r w:rsidR="00DD14A7" w:rsidRPr="00D86200">
        <w:rPr>
          <w:sz w:val="16"/>
          <w:szCs w:val="16"/>
          <w:lang w:val="es-ES"/>
        </w:rPr>
        <w:t xml:space="preserve"> </w:t>
      </w:r>
    </w:p>
  </w:footnote>
  <w:footnote w:id="101">
    <w:p w14:paraId="2270D686" w14:textId="6F83C860" w:rsidR="00D13769" w:rsidRPr="00D86200" w:rsidRDefault="00D13769">
      <w:pPr>
        <w:pStyle w:val="FootnoteText"/>
        <w:rPr>
          <w:sz w:val="16"/>
          <w:szCs w:val="16"/>
          <w:lang w:val="en-CA"/>
        </w:rPr>
      </w:pPr>
      <w:r w:rsidRPr="00D86200">
        <w:rPr>
          <w:rStyle w:val="FootnoteReference"/>
          <w:sz w:val="16"/>
          <w:szCs w:val="16"/>
        </w:rPr>
        <w:footnoteRef/>
      </w:r>
      <w:r w:rsidRPr="00D86200">
        <w:rPr>
          <w:sz w:val="16"/>
          <w:szCs w:val="16"/>
        </w:rPr>
        <w:t xml:space="preserve"> </w:t>
      </w:r>
      <w:r w:rsidR="00974878" w:rsidRPr="00D86200">
        <w:rPr>
          <w:sz w:val="16"/>
          <w:szCs w:val="16"/>
        </w:rPr>
        <w:t>During the project timeframe, t</w:t>
      </w:r>
      <w:r w:rsidRPr="00D86200">
        <w:rPr>
          <w:sz w:val="16"/>
          <w:szCs w:val="16"/>
          <w:lang w:val="en-CA"/>
        </w:rPr>
        <w:t xml:space="preserve">he </w:t>
      </w:r>
      <w:hyperlink r:id="rId41" w:history="1">
        <w:r w:rsidR="00974878" w:rsidRPr="00D86200">
          <w:rPr>
            <w:rStyle w:val="Hyperlink"/>
            <w:sz w:val="16"/>
            <w:szCs w:val="16"/>
          </w:rPr>
          <w:t>2021-2025 National Economic and Social Development Plan</w:t>
        </w:r>
      </w:hyperlink>
      <w:r w:rsidR="00974878" w:rsidRPr="00D86200">
        <w:rPr>
          <w:sz w:val="16"/>
          <w:szCs w:val="16"/>
        </w:rPr>
        <w:t xml:space="preserve"> </w:t>
      </w:r>
      <w:r w:rsidR="00974878" w:rsidRPr="00D86200">
        <w:rPr>
          <w:sz w:val="16"/>
          <w:szCs w:val="16"/>
          <w:lang w:val="en-CA"/>
        </w:rPr>
        <w:t xml:space="preserve">was replaced by the </w:t>
      </w:r>
      <w:hyperlink r:id="rId42" w:history="1">
        <w:r w:rsidR="00974878" w:rsidRPr="00D86200">
          <w:rPr>
            <w:rStyle w:val="Hyperlink"/>
            <w:sz w:val="16"/>
            <w:szCs w:val="16"/>
            <w:lang w:val="en-CA"/>
          </w:rPr>
          <w:t>Action Plan for Stabilisation and Development 2023-2025</w:t>
        </w:r>
      </w:hyperlink>
      <w:r w:rsidR="00974878" w:rsidRPr="00D86200">
        <w:rPr>
          <w:sz w:val="16"/>
          <w:szCs w:val="16"/>
          <w:lang w:val="en-CA"/>
        </w:rPr>
        <w:t>.</w:t>
      </w:r>
    </w:p>
  </w:footnote>
  <w:footnote w:id="102">
    <w:p w14:paraId="42113084" w14:textId="3D521BE4" w:rsidR="00A6701D" w:rsidRPr="00D86200" w:rsidRDefault="00A6701D">
      <w:pPr>
        <w:pStyle w:val="FootnoteText"/>
        <w:rPr>
          <w:sz w:val="16"/>
          <w:szCs w:val="16"/>
          <w:lang w:val="es-ES"/>
        </w:rPr>
      </w:pPr>
      <w:r w:rsidRPr="00D86200">
        <w:rPr>
          <w:rStyle w:val="FootnoteReference"/>
          <w:sz w:val="16"/>
          <w:szCs w:val="16"/>
        </w:rPr>
        <w:footnoteRef/>
      </w:r>
      <w:r w:rsidRPr="00D86200">
        <w:rPr>
          <w:sz w:val="16"/>
          <w:szCs w:val="16"/>
          <w:lang w:val="es-ES"/>
        </w:rPr>
        <w:t xml:space="preserve"> </w:t>
      </w:r>
      <w:hyperlink r:id="rId43" w:history="1">
        <w:r w:rsidR="0072213B" w:rsidRPr="00D86200">
          <w:rPr>
            <w:rStyle w:val="Hyperlink"/>
            <w:sz w:val="16"/>
            <w:szCs w:val="16"/>
            <w:lang w:val="es-ES"/>
          </w:rPr>
          <w:t>https://inff.org/assets/rapport-dfa-_-pnud-burkina-faso-24-12-2022-vf.pdf</w:t>
        </w:r>
      </w:hyperlink>
      <w:r w:rsidR="0072213B" w:rsidRPr="00D86200">
        <w:rPr>
          <w:sz w:val="16"/>
          <w:szCs w:val="16"/>
          <w:lang w:val="es-ES"/>
        </w:rPr>
        <w:t xml:space="preserve"> </w:t>
      </w:r>
    </w:p>
  </w:footnote>
  <w:footnote w:id="103">
    <w:p w14:paraId="3CB29601" w14:textId="19C074D7" w:rsidR="00E9216F" w:rsidRPr="00E9216F" w:rsidRDefault="00E9216F">
      <w:pPr>
        <w:pStyle w:val="FootnoteText"/>
        <w:rPr>
          <w:lang w:val="en-CA"/>
        </w:rPr>
      </w:pPr>
      <w:r w:rsidRPr="00D86200">
        <w:rPr>
          <w:rStyle w:val="FootnoteReference"/>
          <w:sz w:val="16"/>
          <w:szCs w:val="16"/>
        </w:rPr>
        <w:footnoteRef/>
      </w:r>
      <w:r w:rsidRPr="00D86200">
        <w:rPr>
          <w:sz w:val="16"/>
          <w:szCs w:val="16"/>
        </w:rPr>
        <w:t xml:space="preserve"> </w:t>
      </w:r>
      <w:r w:rsidR="009036BB" w:rsidRPr="00D86200">
        <w:rPr>
          <w:sz w:val="16"/>
          <w:szCs w:val="16"/>
          <w:lang w:val="en-CA"/>
        </w:rPr>
        <w:t>ibid</w:t>
      </w:r>
      <w:r w:rsidR="009036BB">
        <w:rPr>
          <w:lang w:val="en-CA"/>
        </w:rPr>
        <w:t xml:space="preserve"> </w:t>
      </w:r>
    </w:p>
  </w:footnote>
  <w:footnote w:id="104">
    <w:p w14:paraId="0C70EDCC" w14:textId="3F60B014" w:rsidR="00E1538C" w:rsidRPr="009F06B9" w:rsidRDefault="00E1538C">
      <w:pPr>
        <w:pStyle w:val="FootnoteText"/>
        <w:rPr>
          <w:sz w:val="16"/>
          <w:szCs w:val="16"/>
          <w:lang w:val="en-CA"/>
        </w:rPr>
      </w:pPr>
      <w:r w:rsidRPr="009F06B9">
        <w:rPr>
          <w:rStyle w:val="FootnoteReference"/>
          <w:sz w:val="16"/>
          <w:szCs w:val="16"/>
        </w:rPr>
        <w:footnoteRef/>
      </w:r>
      <w:r w:rsidRPr="009F06B9">
        <w:rPr>
          <w:sz w:val="16"/>
          <w:szCs w:val="16"/>
        </w:rPr>
        <w:t xml:space="preserve"> </w:t>
      </w:r>
      <w:r w:rsidRPr="009F06B9">
        <w:rPr>
          <w:sz w:val="16"/>
          <w:szCs w:val="16"/>
          <w:lang w:val="en-CA"/>
        </w:rPr>
        <w:t>Final project report, March 2025</w:t>
      </w:r>
    </w:p>
  </w:footnote>
  <w:footnote w:id="105">
    <w:p w14:paraId="3BF59459" w14:textId="47A8F2B1" w:rsidR="00533BE3" w:rsidRPr="009F06B9" w:rsidRDefault="00533BE3">
      <w:pPr>
        <w:pStyle w:val="FootnoteText"/>
        <w:rPr>
          <w:sz w:val="16"/>
          <w:szCs w:val="16"/>
          <w:lang w:val="en-CA"/>
        </w:rPr>
      </w:pPr>
      <w:r w:rsidRPr="009F06B9">
        <w:rPr>
          <w:rStyle w:val="FootnoteReference"/>
          <w:sz w:val="16"/>
          <w:szCs w:val="16"/>
        </w:rPr>
        <w:footnoteRef/>
      </w:r>
      <w:r w:rsidRPr="009F06B9">
        <w:rPr>
          <w:sz w:val="16"/>
          <w:szCs w:val="16"/>
        </w:rPr>
        <w:t xml:space="preserve"> </w:t>
      </w:r>
      <w:r w:rsidR="000E6DF3" w:rsidRPr="009F06B9">
        <w:rPr>
          <w:sz w:val="16"/>
          <w:szCs w:val="16"/>
        </w:rPr>
        <w:t xml:space="preserve">ibid </w:t>
      </w:r>
    </w:p>
  </w:footnote>
  <w:footnote w:id="106">
    <w:p w14:paraId="06FAB646" w14:textId="6B67219A" w:rsidR="00123919" w:rsidRPr="009F06B9" w:rsidRDefault="00123919">
      <w:pPr>
        <w:pStyle w:val="FootnoteText"/>
        <w:rPr>
          <w:sz w:val="16"/>
          <w:szCs w:val="16"/>
          <w:lang w:val="en-CA"/>
        </w:rPr>
      </w:pPr>
      <w:r w:rsidRPr="009F06B9">
        <w:rPr>
          <w:rStyle w:val="FootnoteReference"/>
          <w:sz w:val="16"/>
          <w:szCs w:val="16"/>
        </w:rPr>
        <w:footnoteRef/>
      </w:r>
      <w:r w:rsidRPr="009F06B9">
        <w:rPr>
          <w:sz w:val="16"/>
          <w:szCs w:val="16"/>
        </w:rPr>
        <w:t xml:space="preserve"> </w:t>
      </w:r>
      <w:r w:rsidRPr="009F06B9">
        <w:rPr>
          <w:sz w:val="16"/>
          <w:szCs w:val="16"/>
          <w:lang w:val="en-CA"/>
        </w:rPr>
        <w:t>See sub-Section 2.1</w:t>
      </w:r>
      <w:r w:rsidR="003969FE" w:rsidRPr="009F06B9">
        <w:rPr>
          <w:sz w:val="16"/>
          <w:szCs w:val="16"/>
          <w:lang w:val="en-CA"/>
        </w:rPr>
        <w:t>.3</w:t>
      </w:r>
      <w:r w:rsidRPr="009F06B9">
        <w:rPr>
          <w:sz w:val="16"/>
          <w:szCs w:val="16"/>
          <w:lang w:val="en-CA"/>
        </w:rPr>
        <w:t>, Exhibit 4</w:t>
      </w:r>
    </w:p>
  </w:footnote>
  <w:footnote w:id="107">
    <w:p w14:paraId="47EE6C04" w14:textId="77777777" w:rsidR="00CB05E5" w:rsidRPr="006D79E0" w:rsidRDefault="00CB05E5" w:rsidP="00CB05E5">
      <w:pPr>
        <w:pStyle w:val="FootnoteText"/>
        <w:rPr>
          <w:sz w:val="16"/>
          <w:szCs w:val="16"/>
          <w:lang w:val="es-ES"/>
        </w:rPr>
      </w:pPr>
      <w:r w:rsidRPr="006D79E0">
        <w:rPr>
          <w:rStyle w:val="FootnoteReference"/>
          <w:sz w:val="16"/>
          <w:szCs w:val="16"/>
        </w:rPr>
        <w:footnoteRef/>
      </w:r>
      <w:r w:rsidRPr="006D79E0">
        <w:rPr>
          <w:sz w:val="16"/>
          <w:szCs w:val="16"/>
          <w:lang w:val="es-ES"/>
        </w:rPr>
        <w:t xml:space="preserve"> </w:t>
      </w:r>
      <w:hyperlink r:id="rId44" w:history="1">
        <w:r w:rsidRPr="006D79E0">
          <w:rPr>
            <w:rStyle w:val="Hyperlink"/>
            <w:sz w:val="16"/>
            <w:szCs w:val="16"/>
            <w:lang w:val="es-ES"/>
          </w:rPr>
          <w:t>https://mptf.undp.org/sites/default/files/documents/2023-12/egypt_0.pdf</w:t>
        </w:r>
      </w:hyperlink>
      <w:r w:rsidRPr="006D79E0">
        <w:rPr>
          <w:sz w:val="16"/>
          <w:szCs w:val="16"/>
          <w:lang w:val="es-ES"/>
        </w:rPr>
        <w:t xml:space="preserve"> </w:t>
      </w:r>
    </w:p>
  </w:footnote>
  <w:footnote w:id="108">
    <w:p w14:paraId="20B2B6B6"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 xml:space="preserve">ibid </w:t>
      </w:r>
    </w:p>
  </w:footnote>
  <w:footnote w:id="109">
    <w:p w14:paraId="0318351E"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 xml:space="preserve">ibid </w:t>
      </w:r>
    </w:p>
  </w:footnote>
  <w:footnote w:id="110">
    <w:p w14:paraId="52BA80EF"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45" w:history="1">
        <w:r w:rsidRPr="006D79E0">
          <w:rPr>
            <w:rStyle w:val="Hyperlink"/>
            <w:sz w:val="16"/>
            <w:szCs w:val="16"/>
          </w:rPr>
          <w:t>https://publications.unescwa.org/projects/fsde/index.html</w:t>
        </w:r>
      </w:hyperlink>
      <w:r w:rsidRPr="006D79E0">
        <w:rPr>
          <w:sz w:val="16"/>
          <w:szCs w:val="16"/>
        </w:rPr>
        <w:t xml:space="preserve"> </w:t>
      </w:r>
    </w:p>
  </w:footnote>
  <w:footnote w:id="111">
    <w:p w14:paraId="57F14424"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46" w:history="1">
        <w:r w:rsidRPr="006D79E0">
          <w:rPr>
            <w:rStyle w:val="Hyperlink"/>
            <w:sz w:val="16"/>
            <w:szCs w:val="16"/>
          </w:rPr>
          <w:t>https://mptf.undp.org/sites/default/files/documents/2023-12/egypt_0.pdf</w:t>
        </w:r>
      </w:hyperlink>
      <w:r w:rsidRPr="006D79E0">
        <w:rPr>
          <w:sz w:val="16"/>
          <w:szCs w:val="16"/>
        </w:rPr>
        <w:t xml:space="preserve"> </w:t>
      </w:r>
    </w:p>
  </w:footnote>
  <w:footnote w:id="112">
    <w:p w14:paraId="5DCFF876"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ibid</w:t>
      </w:r>
    </w:p>
  </w:footnote>
  <w:footnote w:id="113">
    <w:p w14:paraId="0E7BA97A"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The Ministry of Planning</w:t>
      </w:r>
      <w:r>
        <w:rPr>
          <w:sz w:val="16"/>
          <w:szCs w:val="16"/>
          <w:lang w:val="en-CA"/>
        </w:rPr>
        <w:t>,</w:t>
      </w:r>
      <w:r w:rsidRPr="006D79E0">
        <w:rPr>
          <w:sz w:val="16"/>
          <w:szCs w:val="16"/>
          <w:lang w:val="en-CA"/>
        </w:rPr>
        <w:t xml:space="preserve"> Economic Development and International Cooperation</w:t>
      </w:r>
    </w:p>
  </w:footnote>
  <w:footnote w:id="114">
    <w:p w14:paraId="3921624C" w14:textId="77777777" w:rsidR="00CB05E5" w:rsidRPr="00154AB3" w:rsidRDefault="00CB05E5" w:rsidP="00CB05E5">
      <w:pPr>
        <w:pStyle w:val="FootnoteText"/>
        <w:rPr>
          <w:lang w:val="en-CA"/>
        </w:rPr>
      </w:pPr>
      <w:r w:rsidRPr="006D79E0">
        <w:rPr>
          <w:rStyle w:val="FootnoteReference"/>
          <w:sz w:val="16"/>
          <w:szCs w:val="16"/>
        </w:rPr>
        <w:footnoteRef/>
      </w:r>
      <w:r w:rsidRPr="006D79E0">
        <w:rPr>
          <w:sz w:val="16"/>
          <w:szCs w:val="16"/>
        </w:rPr>
        <w:t xml:space="preserve"> </w:t>
      </w:r>
      <w:r w:rsidRPr="006D79E0">
        <w:rPr>
          <w:sz w:val="16"/>
          <w:szCs w:val="16"/>
          <w:lang w:val="en-CA"/>
        </w:rPr>
        <w:t>Final project report, March 2025</w:t>
      </w:r>
    </w:p>
  </w:footnote>
  <w:footnote w:id="115">
    <w:p w14:paraId="731BE5A3" w14:textId="77777777" w:rsidR="005B7188" w:rsidRPr="009F06B9" w:rsidRDefault="005B7188" w:rsidP="005B7188">
      <w:pPr>
        <w:pStyle w:val="FootnoteText"/>
        <w:rPr>
          <w:sz w:val="16"/>
          <w:szCs w:val="16"/>
          <w:lang w:val="en-CA"/>
        </w:rPr>
      </w:pPr>
      <w:r w:rsidRPr="009F06B9">
        <w:rPr>
          <w:rStyle w:val="FootnoteReference"/>
          <w:sz w:val="16"/>
          <w:szCs w:val="16"/>
        </w:rPr>
        <w:footnoteRef/>
      </w:r>
      <w:r w:rsidRPr="009F06B9">
        <w:rPr>
          <w:sz w:val="16"/>
          <w:szCs w:val="16"/>
        </w:rPr>
        <w:t xml:space="preserve"> </w:t>
      </w:r>
      <w:hyperlink r:id="rId47" w:history="1">
        <w:r w:rsidRPr="009F06B9">
          <w:rPr>
            <w:rStyle w:val="Hyperlink"/>
            <w:sz w:val="16"/>
            <w:szCs w:val="16"/>
          </w:rPr>
          <w:t>https://mptf.undp.org/sites/default/files/documents/2022-12/prodoc_kyrgyzstan_fc1_2020_joint_sdg_fund_redacted.pdf</w:t>
        </w:r>
      </w:hyperlink>
      <w:r w:rsidRPr="009F06B9">
        <w:rPr>
          <w:sz w:val="16"/>
          <w:szCs w:val="16"/>
        </w:rPr>
        <w:t xml:space="preserve"> </w:t>
      </w:r>
    </w:p>
  </w:footnote>
  <w:footnote w:id="116">
    <w:p w14:paraId="10459EB8" w14:textId="5E415E08" w:rsidR="005B7188" w:rsidRPr="009F06B9" w:rsidRDefault="005B7188" w:rsidP="005B7188">
      <w:pPr>
        <w:pStyle w:val="FootnoteText"/>
        <w:rPr>
          <w:sz w:val="16"/>
          <w:szCs w:val="16"/>
          <w:lang w:val="en-CA"/>
        </w:rPr>
      </w:pPr>
      <w:r w:rsidRPr="009F06B9">
        <w:rPr>
          <w:rStyle w:val="FootnoteReference"/>
          <w:sz w:val="16"/>
          <w:szCs w:val="16"/>
        </w:rPr>
        <w:footnoteRef/>
      </w:r>
      <w:r w:rsidR="00BE5F05" w:rsidRPr="009F06B9">
        <w:rPr>
          <w:sz w:val="16"/>
          <w:szCs w:val="16"/>
          <w:lang w:val="en-CA"/>
        </w:rPr>
        <w:t xml:space="preserve"> </w:t>
      </w:r>
      <w:hyperlink r:id="rId48" w:history="1">
        <w:r w:rsidR="00996D09" w:rsidRPr="009F06B9">
          <w:rPr>
            <w:rStyle w:val="Hyperlink"/>
            <w:sz w:val="16"/>
            <w:szCs w:val="16"/>
            <w:lang w:val="en-CA"/>
          </w:rPr>
          <w:t>https://inff.org/report/governance-and-coordination-report</w:t>
        </w:r>
      </w:hyperlink>
      <w:r w:rsidR="00996D09" w:rsidRPr="009F06B9">
        <w:rPr>
          <w:sz w:val="16"/>
          <w:szCs w:val="16"/>
          <w:lang w:val="en-CA"/>
        </w:rPr>
        <w:t xml:space="preserve"> </w:t>
      </w:r>
    </w:p>
  </w:footnote>
  <w:footnote w:id="117">
    <w:p w14:paraId="59E6C019" w14:textId="068717A0" w:rsidR="005B7188" w:rsidRPr="009F06B9" w:rsidRDefault="005B7188" w:rsidP="005B7188">
      <w:pPr>
        <w:pStyle w:val="FootnoteText"/>
        <w:rPr>
          <w:sz w:val="16"/>
          <w:szCs w:val="16"/>
          <w:lang w:val="en-CA"/>
        </w:rPr>
      </w:pPr>
      <w:r w:rsidRPr="009F06B9">
        <w:rPr>
          <w:rStyle w:val="FootnoteReference"/>
          <w:sz w:val="16"/>
          <w:szCs w:val="16"/>
        </w:rPr>
        <w:footnoteRef/>
      </w:r>
      <w:r w:rsidRPr="009F06B9">
        <w:rPr>
          <w:sz w:val="16"/>
          <w:szCs w:val="16"/>
        </w:rPr>
        <w:t xml:space="preserve"> As of June 2025, the Government of Kyrgyzstan has introduced a new National Development Plan</w:t>
      </w:r>
      <w:r w:rsidR="00343863" w:rsidRPr="009F06B9">
        <w:rPr>
          <w:sz w:val="16"/>
          <w:szCs w:val="16"/>
        </w:rPr>
        <w:t xml:space="preserve">, the </w:t>
      </w:r>
      <w:hyperlink r:id="rId49" w:history="1">
        <w:r w:rsidR="00343863" w:rsidRPr="009F06B9">
          <w:rPr>
            <w:rStyle w:val="Hyperlink"/>
            <w:sz w:val="16"/>
            <w:szCs w:val="16"/>
            <w:lang w:val="en-CA"/>
          </w:rPr>
          <w:t>National Development Plan of the Kyrgyz Republic to 2026</w:t>
        </w:r>
      </w:hyperlink>
      <w:r w:rsidR="00343863" w:rsidRPr="009F06B9">
        <w:rPr>
          <w:sz w:val="16"/>
          <w:szCs w:val="16"/>
          <w:lang w:val="en-CA"/>
        </w:rPr>
        <w:t>.</w:t>
      </w:r>
    </w:p>
  </w:footnote>
  <w:footnote w:id="118">
    <w:p w14:paraId="2A071483" w14:textId="77777777" w:rsidR="00744F7F" w:rsidRPr="009F06B9" w:rsidRDefault="00744F7F" w:rsidP="00744F7F">
      <w:pPr>
        <w:pStyle w:val="FootnoteText"/>
        <w:rPr>
          <w:sz w:val="16"/>
          <w:szCs w:val="16"/>
          <w:lang w:val="en-CA"/>
        </w:rPr>
      </w:pPr>
      <w:r w:rsidRPr="009F06B9">
        <w:rPr>
          <w:rStyle w:val="FootnoteReference"/>
          <w:sz w:val="16"/>
          <w:szCs w:val="16"/>
        </w:rPr>
        <w:footnoteRef/>
      </w:r>
      <w:r w:rsidRPr="009F06B9">
        <w:rPr>
          <w:sz w:val="16"/>
          <w:szCs w:val="16"/>
        </w:rPr>
        <w:t xml:space="preserve"> </w:t>
      </w:r>
      <w:hyperlink r:id="rId50" w:history="1">
        <w:r w:rsidRPr="009F06B9">
          <w:rPr>
            <w:rStyle w:val="Hyperlink"/>
            <w:sz w:val="16"/>
            <w:szCs w:val="16"/>
          </w:rPr>
          <w:t>https://mptf.undp.org/sites/default/files/documents/2022-12/prodoc_kyrgyzstan_fc1_2020_joint_sdg_fund_redacted.pdf</w:t>
        </w:r>
      </w:hyperlink>
      <w:r w:rsidRPr="009F06B9">
        <w:rPr>
          <w:sz w:val="16"/>
          <w:szCs w:val="16"/>
        </w:rPr>
        <w:t xml:space="preserve"> </w:t>
      </w:r>
    </w:p>
  </w:footnote>
  <w:footnote w:id="119">
    <w:p w14:paraId="4ED45070" w14:textId="77777777" w:rsidR="00C04898" w:rsidRPr="009F06B9" w:rsidRDefault="00C04898" w:rsidP="00C04898">
      <w:pPr>
        <w:pStyle w:val="FootnoteText"/>
        <w:rPr>
          <w:sz w:val="16"/>
          <w:szCs w:val="16"/>
          <w:lang w:val="en-CA"/>
        </w:rPr>
      </w:pPr>
      <w:r w:rsidRPr="009F06B9">
        <w:rPr>
          <w:rStyle w:val="FootnoteReference"/>
          <w:sz w:val="16"/>
          <w:szCs w:val="16"/>
        </w:rPr>
        <w:footnoteRef/>
      </w:r>
      <w:r w:rsidRPr="009F06B9">
        <w:rPr>
          <w:sz w:val="16"/>
          <w:szCs w:val="16"/>
        </w:rPr>
        <w:t xml:space="preserve"> </w:t>
      </w:r>
      <w:hyperlink r:id="rId51" w:history="1">
        <w:r w:rsidRPr="009F06B9">
          <w:rPr>
            <w:rStyle w:val="Hyperlink"/>
            <w:sz w:val="16"/>
            <w:szCs w:val="16"/>
          </w:rPr>
          <w:t>https://inff.org/resource/report-on-kyrgyzstans-progress-on-sustainable-development-goals-a-review-of-mainstreaming-acceleration-and-policy-support-for-achieving-progress-on-sustainable-development-goals</w:t>
        </w:r>
      </w:hyperlink>
      <w:r w:rsidRPr="009F06B9">
        <w:rPr>
          <w:sz w:val="16"/>
          <w:szCs w:val="16"/>
        </w:rPr>
        <w:t xml:space="preserve"> </w:t>
      </w:r>
    </w:p>
  </w:footnote>
  <w:footnote w:id="120">
    <w:p w14:paraId="1CF59665" w14:textId="77777777" w:rsidR="005B7188" w:rsidRPr="009F06B9" w:rsidRDefault="005B7188" w:rsidP="005B7188">
      <w:pPr>
        <w:pStyle w:val="FootnoteText"/>
        <w:rPr>
          <w:sz w:val="16"/>
          <w:szCs w:val="16"/>
          <w:lang w:val="es-ES"/>
        </w:rPr>
      </w:pPr>
      <w:r w:rsidRPr="009F06B9">
        <w:rPr>
          <w:rStyle w:val="FootnoteReference"/>
          <w:sz w:val="16"/>
          <w:szCs w:val="16"/>
        </w:rPr>
        <w:footnoteRef/>
      </w:r>
      <w:r w:rsidRPr="009F06B9">
        <w:rPr>
          <w:sz w:val="16"/>
          <w:szCs w:val="16"/>
          <w:lang w:val="es-ES"/>
        </w:rPr>
        <w:t xml:space="preserve"> </w:t>
      </w:r>
      <w:hyperlink r:id="rId52" w:history="1">
        <w:r w:rsidRPr="009F06B9">
          <w:rPr>
            <w:rStyle w:val="Hyperlink"/>
            <w:sz w:val="16"/>
            <w:szCs w:val="16"/>
            <w:lang w:val="es-ES"/>
          </w:rPr>
          <w:t>https://www.undp.org/sites/g/files/zskgke326/files/2023-05/inff_infographic_eng.pdf</w:t>
        </w:r>
      </w:hyperlink>
      <w:r w:rsidRPr="009F06B9">
        <w:rPr>
          <w:sz w:val="16"/>
          <w:szCs w:val="16"/>
          <w:lang w:val="es-ES"/>
        </w:rPr>
        <w:t xml:space="preserve"> </w:t>
      </w:r>
    </w:p>
  </w:footnote>
  <w:footnote w:id="121">
    <w:p w14:paraId="27EED2AC" w14:textId="5E37C158" w:rsidR="00CA2606" w:rsidRPr="00CA2606" w:rsidRDefault="00CA2606">
      <w:pPr>
        <w:pStyle w:val="FootnoteText"/>
        <w:rPr>
          <w:lang w:val="en-CA"/>
        </w:rPr>
      </w:pPr>
      <w:r w:rsidRPr="009F06B9">
        <w:rPr>
          <w:rStyle w:val="FootnoteReference"/>
          <w:sz w:val="16"/>
          <w:szCs w:val="16"/>
        </w:rPr>
        <w:footnoteRef/>
      </w:r>
      <w:r w:rsidRPr="009F06B9">
        <w:rPr>
          <w:sz w:val="16"/>
          <w:szCs w:val="16"/>
        </w:rPr>
        <w:t xml:space="preserve"> </w:t>
      </w:r>
      <w:hyperlink r:id="rId53" w:history="1">
        <w:r w:rsidR="006C09C4" w:rsidRPr="009F06B9">
          <w:rPr>
            <w:rStyle w:val="Hyperlink"/>
            <w:sz w:val="16"/>
            <w:szCs w:val="16"/>
          </w:rPr>
          <w:t>https://mptf.undp.org/sites/default/files/documents/2022-12/prodoc_kyrgyzstan_fc1_2020_joint_sdg_fund_redacted.pdf</w:t>
        </w:r>
      </w:hyperlink>
      <w:r w:rsidR="006C09C4">
        <w:t xml:space="preserve"> </w:t>
      </w:r>
    </w:p>
  </w:footnote>
  <w:footnote w:id="122">
    <w:p w14:paraId="1C7FDAAB" w14:textId="518454C5" w:rsidR="006C09C4" w:rsidRPr="006C09C4" w:rsidRDefault="006C09C4">
      <w:pPr>
        <w:pStyle w:val="FootnoteText"/>
        <w:rPr>
          <w:lang w:val="en-CA"/>
        </w:rPr>
      </w:pPr>
      <w:r>
        <w:rPr>
          <w:rStyle w:val="FootnoteReference"/>
        </w:rPr>
        <w:footnoteRef/>
      </w:r>
      <w:r>
        <w:t xml:space="preserve"> </w:t>
      </w:r>
      <w:r w:rsidRPr="009611CA">
        <w:rPr>
          <w:sz w:val="16"/>
          <w:szCs w:val="16"/>
          <w:lang w:val="en-CA"/>
        </w:rPr>
        <w:t>This tool</w:t>
      </w:r>
      <w:r w:rsidR="00EE7BF8" w:rsidRPr="009611CA">
        <w:rPr>
          <w:sz w:val="16"/>
          <w:szCs w:val="16"/>
          <w:lang w:val="en-CA"/>
        </w:rPr>
        <w:t xml:space="preserve"> (PIERS) will be addressed </w:t>
      </w:r>
      <w:r w:rsidR="00FD2661" w:rsidRPr="009611CA">
        <w:rPr>
          <w:sz w:val="16"/>
          <w:szCs w:val="16"/>
          <w:lang w:val="en-CA"/>
        </w:rPr>
        <w:t>in a subsequent sub-Section of this Finding</w:t>
      </w:r>
    </w:p>
  </w:footnote>
  <w:footnote w:id="123">
    <w:p w14:paraId="20901E67"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4" w:history="1">
        <w:r w:rsidRPr="006D79E0">
          <w:rPr>
            <w:rStyle w:val="Hyperlink"/>
            <w:sz w:val="16"/>
            <w:szCs w:val="16"/>
          </w:rPr>
          <w:t>https://www.jointsdgfund.org/programme/building-forward-better-safeguarding-natural-capital-and-ecosystem-services</w:t>
        </w:r>
      </w:hyperlink>
    </w:p>
  </w:footnote>
  <w:footnote w:id="124">
    <w:p w14:paraId="53EB163B"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See sub-Section 2.1.3, Exhibit 4</w:t>
      </w:r>
    </w:p>
  </w:footnote>
  <w:footnote w:id="125">
    <w:p w14:paraId="7CC0B3D7"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5" w:history="1">
        <w:r w:rsidRPr="006D79E0">
          <w:rPr>
            <w:rStyle w:val="Hyperlink"/>
            <w:sz w:val="16"/>
            <w:szCs w:val="16"/>
          </w:rPr>
          <w:t>https://inff.org/resource/development-finance-assessment-for-samoa-leveraging-finance-for-sustainable-development</w:t>
        </w:r>
      </w:hyperlink>
      <w:r w:rsidRPr="006D79E0">
        <w:rPr>
          <w:sz w:val="16"/>
          <w:szCs w:val="16"/>
        </w:rPr>
        <w:t xml:space="preserve"> </w:t>
      </w:r>
    </w:p>
  </w:footnote>
  <w:footnote w:id="126">
    <w:p w14:paraId="07C03A37"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ibid </w:t>
      </w:r>
    </w:p>
  </w:footnote>
  <w:footnote w:id="127">
    <w:p w14:paraId="7486143D" w14:textId="77777777" w:rsidR="00CB05E5" w:rsidRPr="00A0542C" w:rsidRDefault="00CB05E5" w:rsidP="00CB05E5">
      <w:pPr>
        <w:pStyle w:val="FootnoteText"/>
        <w:rPr>
          <w:lang w:val="en-CA"/>
        </w:rPr>
      </w:pPr>
      <w:r w:rsidRPr="006D79E0">
        <w:rPr>
          <w:rStyle w:val="FootnoteReference"/>
          <w:sz w:val="16"/>
          <w:szCs w:val="16"/>
        </w:rPr>
        <w:footnoteRef/>
      </w:r>
      <w:r w:rsidRPr="006D79E0">
        <w:rPr>
          <w:sz w:val="16"/>
          <w:szCs w:val="16"/>
        </w:rPr>
        <w:t xml:space="preserve"> </w:t>
      </w:r>
      <w:hyperlink r:id="rId56" w:history="1">
        <w:r w:rsidRPr="006D79E0">
          <w:rPr>
            <w:rStyle w:val="Hyperlink"/>
            <w:sz w:val="16"/>
            <w:szCs w:val="16"/>
          </w:rPr>
          <w:t>https://mptf.undp.org/sites/default/files/documents/2022-12/prodoc-samoa-psids_redacted_0.pdf</w:t>
        </w:r>
      </w:hyperlink>
      <w:r>
        <w:t xml:space="preserve"> </w:t>
      </w:r>
    </w:p>
  </w:footnote>
  <w:footnote w:id="128">
    <w:p w14:paraId="56C35435" w14:textId="77777777" w:rsidR="00CB05E5" w:rsidRPr="006D79E0" w:rsidRDefault="00CB05E5" w:rsidP="00CB05E5">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rFonts w:eastAsia="Abadi" w:cs="Abadi"/>
          <w:sz w:val="16"/>
          <w:szCs w:val="16"/>
        </w:rPr>
        <w:t xml:space="preserve">UNESCAP, 2024. </w:t>
      </w:r>
      <w:r w:rsidRPr="006D79E0">
        <w:rPr>
          <w:rFonts w:eastAsia="Abadi" w:cs="Abadi"/>
          <w:i/>
          <w:iCs/>
          <w:sz w:val="16"/>
          <w:szCs w:val="16"/>
        </w:rPr>
        <w:t>Enhancing Opportunities for Climate Action and Nature-based Solutions in Samoa</w:t>
      </w:r>
      <w:r w:rsidRPr="006D79E0">
        <w:rPr>
          <w:rFonts w:eastAsia="Abadi" w:cs="Abadi"/>
          <w:sz w:val="16"/>
          <w:szCs w:val="16"/>
        </w:rPr>
        <w:t>. Bangkok: United Nations.</w:t>
      </w:r>
    </w:p>
  </w:footnote>
  <w:footnote w:id="129">
    <w:p w14:paraId="1D0E9732" w14:textId="77777777" w:rsidR="004F3AAD" w:rsidRPr="006D79E0" w:rsidRDefault="004F3AAD" w:rsidP="004F3AAD">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7" w:history="1">
        <w:r w:rsidRPr="006D79E0">
          <w:rPr>
            <w:rStyle w:val="Hyperlink"/>
            <w:sz w:val="16"/>
            <w:szCs w:val="16"/>
          </w:rPr>
          <w:t>https://www.jointsdgfund.org/programme/zambias-integrated-financing-framework-sustainable-development</w:t>
        </w:r>
      </w:hyperlink>
      <w:r w:rsidRPr="006D79E0">
        <w:rPr>
          <w:sz w:val="16"/>
          <w:szCs w:val="16"/>
        </w:rPr>
        <w:t xml:space="preserve"> </w:t>
      </w:r>
    </w:p>
  </w:footnote>
  <w:footnote w:id="130">
    <w:p w14:paraId="0F087CE7" w14:textId="77777777" w:rsidR="001D53AA" w:rsidRPr="006D79E0" w:rsidRDefault="001D53AA" w:rsidP="001D53AA">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8" w:history="1">
        <w:r w:rsidRPr="006D79E0">
          <w:rPr>
            <w:rStyle w:val="Hyperlink"/>
            <w:sz w:val="16"/>
            <w:szCs w:val="16"/>
          </w:rPr>
          <w:t>https://mptf.undp.org/sites/default/files/documents/2022-12/prodoc_zambia_fc1_2020_signed_joint_sdg_fund_redacted.pdf</w:t>
        </w:r>
      </w:hyperlink>
      <w:r w:rsidRPr="006D79E0">
        <w:rPr>
          <w:sz w:val="16"/>
          <w:szCs w:val="16"/>
        </w:rPr>
        <w:t xml:space="preserve"> </w:t>
      </w:r>
    </w:p>
  </w:footnote>
  <w:footnote w:id="131">
    <w:p w14:paraId="7A7A44FA" w14:textId="77777777" w:rsidR="00260F6C" w:rsidRPr="006D79E0" w:rsidRDefault="00260F6C" w:rsidP="00260F6C">
      <w:pPr>
        <w:rPr>
          <w:sz w:val="16"/>
          <w:szCs w:val="16"/>
        </w:rPr>
      </w:pPr>
      <w:r w:rsidRPr="006D79E0">
        <w:rPr>
          <w:rStyle w:val="FootnoteReference"/>
          <w:sz w:val="16"/>
          <w:szCs w:val="16"/>
        </w:rPr>
        <w:footnoteRef/>
      </w:r>
      <w:r w:rsidRPr="006D79E0">
        <w:rPr>
          <w:sz w:val="16"/>
          <w:szCs w:val="16"/>
        </w:rPr>
        <w:t xml:space="preserve"> ibid </w:t>
      </w:r>
    </w:p>
  </w:footnote>
  <w:footnote w:id="132">
    <w:p w14:paraId="7986748D" w14:textId="5D9C826E" w:rsidR="00FF7F34" w:rsidRPr="006D79E0" w:rsidRDefault="00FF7F34">
      <w:pPr>
        <w:pStyle w:val="FootnoteText"/>
        <w:rPr>
          <w:sz w:val="16"/>
          <w:szCs w:val="16"/>
          <w:lang w:val="en-CA"/>
        </w:rPr>
      </w:pPr>
      <w:r w:rsidRPr="006D79E0">
        <w:rPr>
          <w:rStyle w:val="FootnoteReference"/>
          <w:sz w:val="16"/>
          <w:szCs w:val="16"/>
        </w:rPr>
        <w:footnoteRef/>
      </w:r>
      <w:r w:rsidRPr="006D79E0">
        <w:rPr>
          <w:sz w:val="16"/>
          <w:szCs w:val="16"/>
        </w:rPr>
        <w:t xml:space="preserve"> </w:t>
      </w:r>
      <w:r w:rsidRPr="006D79E0">
        <w:rPr>
          <w:sz w:val="16"/>
          <w:szCs w:val="16"/>
          <w:lang w:val="en-CA"/>
        </w:rPr>
        <w:t xml:space="preserve">This issue has been addressed </w:t>
      </w:r>
      <w:r w:rsidR="00AE1B31" w:rsidRPr="006D79E0">
        <w:rPr>
          <w:sz w:val="16"/>
          <w:szCs w:val="16"/>
          <w:lang w:val="en-CA"/>
        </w:rPr>
        <w:t>in the discussion on Egypt under this Finding</w:t>
      </w:r>
    </w:p>
  </w:footnote>
  <w:footnote w:id="133">
    <w:p w14:paraId="40CE072C" w14:textId="43A03849" w:rsidR="00397B6E" w:rsidRPr="006D79E0" w:rsidRDefault="00397B6E">
      <w:pPr>
        <w:pStyle w:val="FootnoteText"/>
        <w:rPr>
          <w:sz w:val="16"/>
          <w:szCs w:val="16"/>
          <w:lang w:val="en-CA"/>
        </w:rPr>
      </w:pPr>
      <w:r w:rsidRPr="006D79E0">
        <w:rPr>
          <w:rStyle w:val="FootnoteReference"/>
          <w:sz w:val="16"/>
          <w:szCs w:val="16"/>
        </w:rPr>
        <w:footnoteRef/>
      </w:r>
      <w:r w:rsidRPr="006D79E0">
        <w:rPr>
          <w:sz w:val="16"/>
          <w:szCs w:val="16"/>
        </w:rPr>
        <w:t xml:space="preserve"> </w:t>
      </w:r>
      <w:hyperlink r:id="rId59" w:history="1">
        <w:r w:rsidR="00233211" w:rsidRPr="006D79E0">
          <w:rPr>
            <w:rStyle w:val="Hyperlink"/>
            <w:sz w:val="16"/>
            <w:szCs w:val="16"/>
          </w:rPr>
          <w:t>https://financing.desa.un.org/ffd4/history-ffd-conferences</w:t>
        </w:r>
      </w:hyperlink>
      <w:r w:rsidRPr="006D79E0">
        <w:rPr>
          <w:sz w:val="16"/>
          <w:szCs w:val="16"/>
        </w:rPr>
        <w:t xml:space="preserve"> </w:t>
      </w:r>
    </w:p>
  </w:footnote>
  <w:footnote w:id="134">
    <w:p w14:paraId="31071345" w14:textId="77777777" w:rsidR="001E16AE" w:rsidRPr="0008257D" w:rsidRDefault="001E16AE" w:rsidP="001E16AE">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Sevilla Commitment, para.40(a)</w:t>
      </w:r>
    </w:p>
  </w:footnote>
  <w:footnote w:id="135">
    <w:p w14:paraId="668C2C67" w14:textId="1D9E6A4B" w:rsidR="00AA0D11" w:rsidRPr="0008257D" w:rsidRDefault="00AA0D11">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Final </w:t>
      </w:r>
      <w:r w:rsidR="004E63CB">
        <w:rPr>
          <w:sz w:val="16"/>
          <w:szCs w:val="16"/>
          <w:lang w:val="en-CA"/>
        </w:rPr>
        <w:t>p</w:t>
      </w:r>
      <w:r w:rsidRPr="0008257D">
        <w:rPr>
          <w:sz w:val="16"/>
          <w:szCs w:val="16"/>
          <w:lang w:val="en-CA"/>
        </w:rPr>
        <w:t>roject report, March 2025</w:t>
      </w:r>
    </w:p>
  </w:footnote>
  <w:footnote w:id="136">
    <w:p w14:paraId="73001A28" w14:textId="4DB61F2F" w:rsidR="00CD5A7D" w:rsidRPr="0008257D" w:rsidRDefault="00CD5A7D" w:rsidP="00CD5A7D">
      <w:pPr>
        <w:pStyle w:val="FootnoteText"/>
        <w:rPr>
          <w:sz w:val="16"/>
          <w:szCs w:val="16"/>
          <w:lang w:val="en-CA"/>
        </w:rPr>
      </w:pPr>
      <w:r w:rsidRPr="0008257D">
        <w:rPr>
          <w:rStyle w:val="FootnoteReference"/>
          <w:sz w:val="16"/>
          <w:szCs w:val="16"/>
        </w:rPr>
        <w:footnoteRef/>
      </w:r>
      <w:r w:rsidRPr="0008257D">
        <w:rPr>
          <w:sz w:val="16"/>
          <w:szCs w:val="16"/>
        </w:rPr>
        <w:t xml:space="preserve"> </w:t>
      </w:r>
      <w:r w:rsidR="008064B8">
        <w:rPr>
          <w:sz w:val="16"/>
          <w:szCs w:val="16"/>
        </w:rPr>
        <w:t xml:space="preserve">ibid </w:t>
      </w:r>
    </w:p>
  </w:footnote>
  <w:footnote w:id="137">
    <w:p w14:paraId="6B902915" w14:textId="14D0D7EB" w:rsidR="009D0083" w:rsidRPr="0008257D" w:rsidRDefault="009D0083">
      <w:pPr>
        <w:pStyle w:val="FootnoteText"/>
        <w:rPr>
          <w:sz w:val="16"/>
          <w:szCs w:val="16"/>
          <w:lang w:val="en-CA"/>
        </w:rPr>
      </w:pPr>
      <w:r w:rsidRPr="0008257D">
        <w:rPr>
          <w:rStyle w:val="FootnoteReference"/>
          <w:sz w:val="16"/>
          <w:szCs w:val="16"/>
        </w:rPr>
        <w:footnoteRef/>
      </w:r>
      <w:r w:rsidRPr="0008257D">
        <w:rPr>
          <w:sz w:val="16"/>
          <w:szCs w:val="16"/>
        </w:rPr>
        <w:t xml:space="preserve"> T</w:t>
      </w:r>
      <w:r w:rsidRPr="0008257D">
        <w:rPr>
          <w:rFonts w:ascii="Calibri" w:hAnsi="Calibri" w:cs="Arial"/>
          <w:sz w:val="16"/>
          <w:szCs w:val="16"/>
        </w:rPr>
        <w:t xml:space="preserve">he </w:t>
      </w:r>
      <w:hyperlink r:id="rId60" w:history="1">
        <w:r w:rsidRPr="0008257D">
          <w:rPr>
            <w:rStyle w:val="Hyperlink"/>
            <w:rFonts w:ascii="Calibri" w:hAnsi="Calibri" w:cs="Arial"/>
            <w:sz w:val="16"/>
            <w:szCs w:val="16"/>
          </w:rPr>
          <w:t>Accounting and Financial Reporting Guidelines for SMEs</w:t>
        </w:r>
      </w:hyperlink>
      <w:r w:rsidRPr="0008257D">
        <w:rPr>
          <w:rFonts w:ascii="Calibri" w:hAnsi="Calibri" w:cs="Arial"/>
          <w:sz w:val="16"/>
          <w:szCs w:val="16"/>
        </w:rPr>
        <w:t xml:space="preserve"> and </w:t>
      </w:r>
      <w:hyperlink r:id="rId61" w:history="1">
        <w:r w:rsidRPr="0008257D">
          <w:rPr>
            <w:rStyle w:val="Hyperlink"/>
            <w:rFonts w:ascii="Calibri" w:hAnsi="Calibri" w:cs="Arial"/>
            <w:sz w:val="16"/>
            <w:szCs w:val="16"/>
          </w:rPr>
          <w:t xml:space="preserve">Guidance on </w:t>
        </w:r>
        <w:r w:rsidR="0011519A">
          <w:rPr>
            <w:rStyle w:val="Hyperlink"/>
            <w:rFonts w:ascii="Calibri" w:hAnsi="Calibri" w:cs="Arial"/>
            <w:sz w:val="16"/>
            <w:szCs w:val="16"/>
          </w:rPr>
          <w:t>C</w:t>
        </w:r>
        <w:r w:rsidRPr="0008257D">
          <w:rPr>
            <w:rStyle w:val="Hyperlink"/>
            <w:rFonts w:ascii="Calibri" w:hAnsi="Calibri" w:cs="Arial"/>
            <w:sz w:val="16"/>
            <w:szCs w:val="16"/>
          </w:rPr>
          <w:t xml:space="preserve">ore </w:t>
        </w:r>
        <w:r w:rsidR="0011519A">
          <w:rPr>
            <w:rStyle w:val="Hyperlink"/>
            <w:rFonts w:ascii="Calibri" w:hAnsi="Calibri" w:cs="Arial"/>
            <w:sz w:val="16"/>
            <w:szCs w:val="16"/>
          </w:rPr>
          <w:t>I</w:t>
        </w:r>
        <w:r w:rsidRPr="0008257D">
          <w:rPr>
            <w:rStyle w:val="Hyperlink"/>
            <w:rFonts w:ascii="Calibri" w:hAnsi="Calibri" w:cs="Arial"/>
            <w:sz w:val="16"/>
            <w:szCs w:val="16"/>
          </w:rPr>
          <w:t xml:space="preserve">ndicators for </w:t>
        </w:r>
        <w:r w:rsidR="0011519A">
          <w:rPr>
            <w:rStyle w:val="Hyperlink"/>
            <w:rFonts w:ascii="Calibri" w:hAnsi="Calibri" w:cs="Arial"/>
            <w:sz w:val="16"/>
            <w:szCs w:val="16"/>
          </w:rPr>
          <w:t>S</w:t>
        </w:r>
        <w:r w:rsidRPr="0008257D">
          <w:rPr>
            <w:rStyle w:val="Hyperlink"/>
            <w:rFonts w:ascii="Calibri" w:hAnsi="Calibri" w:cs="Arial"/>
            <w:sz w:val="16"/>
            <w:szCs w:val="16"/>
          </w:rPr>
          <w:t xml:space="preserve">ustainability and SDG </w:t>
        </w:r>
        <w:r w:rsidR="0011519A">
          <w:rPr>
            <w:rStyle w:val="Hyperlink"/>
            <w:rFonts w:ascii="Calibri" w:hAnsi="Calibri" w:cs="Arial"/>
            <w:sz w:val="16"/>
            <w:szCs w:val="16"/>
          </w:rPr>
          <w:t>I</w:t>
        </w:r>
        <w:r w:rsidRPr="0008257D">
          <w:rPr>
            <w:rStyle w:val="Hyperlink"/>
            <w:rFonts w:ascii="Calibri" w:hAnsi="Calibri" w:cs="Arial"/>
            <w:sz w:val="16"/>
            <w:szCs w:val="16"/>
          </w:rPr>
          <w:t xml:space="preserve">mpact </w:t>
        </w:r>
        <w:r w:rsidR="0011519A">
          <w:rPr>
            <w:rStyle w:val="Hyperlink"/>
            <w:rFonts w:ascii="Calibri" w:hAnsi="Calibri" w:cs="Arial"/>
            <w:sz w:val="16"/>
            <w:szCs w:val="16"/>
          </w:rPr>
          <w:t>R</w:t>
        </w:r>
        <w:r w:rsidRPr="0008257D">
          <w:rPr>
            <w:rStyle w:val="Hyperlink"/>
            <w:rFonts w:ascii="Calibri" w:hAnsi="Calibri" w:cs="Arial"/>
            <w:sz w:val="16"/>
            <w:szCs w:val="16"/>
          </w:rPr>
          <w:t>eporting</w:t>
        </w:r>
      </w:hyperlink>
      <w:r w:rsidRPr="0008257D">
        <w:rPr>
          <w:sz w:val="16"/>
          <w:szCs w:val="16"/>
        </w:rPr>
        <w:t>.</w:t>
      </w:r>
    </w:p>
  </w:footnote>
  <w:footnote w:id="138">
    <w:p w14:paraId="01989BB5" w14:textId="3F4EA1FF" w:rsidR="00FE1B19" w:rsidRPr="00FE1B19" w:rsidRDefault="00FE1B19">
      <w:pPr>
        <w:pStyle w:val="FootnoteText"/>
        <w:rPr>
          <w:lang w:val="en-CA"/>
        </w:rPr>
      </w:pPr>
      <w:r>
        <w:rPr>
          <w:rStyle w:val="FootnoteReference"/>
        </w:rPr>
        <w:footnoteRef/>
      </w:r>
      <w:r>
        <w:t xml:space="preserve"> </w:t>
      </w:r>
      <w:r w:rsidR="00356C70">
        <w:t>INFF LAC Workshop, April 25, 2024</w:t>
      </w:r>
      <w:r w:rsidR="002625F4">
        <w:t>.</w:t>
      </w:r>
    </w:p>
  </w:footnote>
  <w:footnote w:id="139">
    <w:p w14:paraId="6C2A4296" w14:textId="3402D3D4" w:rsidR="00960D43" w:rsidRPr="00960D43" w:rsidRDefault="00960D43">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The DFA was not necessarily funded through the project, e.g. Costa Rica and Samoa each completed a DFA before project start-up, in 2018 and 2019, respectively, and the DFA for Zambia was supported by the Joint SDG Fund.</w:t>
      </w:r>
    </w:p>
  </w:footnote>
  <w:footnote w:id="140">
    <w:p w14:paraId="3E154CA3" w14:textId="3C5528CA" w:rsidR="00FB2727" w:rsidRPr="0008257D" w:rsidRDefault="00FB2727">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Outcome OC2, Annex 2: Theory of Change/ Results framework.</w:t>
      </w:r>
    </w:p>
  </w:footnote>
  <w:footnote w:id="141">
    <w:p w14:paraId="7AA631B1" w14:textId="75BA9680" w:rsidR="005D4BB0" w:rsidRPr="005D4BB0" w:rsidRDefault="005D4BB0">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Co-organised by UNECE and UNCTAD</w:t>
      </w:r>
    </w:p>
  </w:footnote>
  <w:footnote w:id="142">
    <w:p w14:paraId="11CAEF84" w14:textId="77777777" w:rsidR="006A2852" w:rsidRPr="0008257D" w:rsidRDefault="006A2852" w:rsidP="006A2852">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Finding 1</w:t>
      </w:r>
    </w:p>
  </w:footnote>
  <w:footnote w:id="143">
    <w:p w14:paraId="44E7AA6E" w14:textId="0BAC7D86" w:rsidR="007D4396" w:rsidRPr="0008257D" w:rsidRDefault="007D4396">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See </w:t>
      </w:r>
      <w:r w:rsidR="003A3339" w:rsidRPr="0008257D">
        <w:rPr>
          <w:sz w:val="16"/>
          <w:szCs w:val="16"/>
          <w:lang w:val="en-CA"/>
        </w:rPr>
        <w:t>Section 2.3.1 Exhibit 4 and Finding 3</w:t>
      </w:r>
    </w:p>
  </w:footnote>
  <w:footnote w:id="144">
    <w:p w14:paraId="1AC348D3" w14:textId="6B544400" w:rsidR="00141995" w:rsidRPr="0008257D" w:rsidRDefault="00141995">
      <w:pPr>
        <w:pStyle w:val="FootnoteText"/>
        <w:rPr>
          <w:sz w:val="16"/>
          <w:szCs w:val="16"/>
          <w:lang w:val="en-CA"/>
        </w:rPr>
      </w:pPr>
      <w:r w:rsidRPr="0008257D">
        <w:rPr>
          <w:rStyle w:val="FootnoteReference"/>
          <w:sz w:val="16"/>
          <w:szCs w:val="16"/>
        </w:rPr>
        <w:footnoteRef/>
      </w:r>
      <w:r w:rsidRPr="0008257D">
        <w:rPr>
          <w:sz w:val="16"/>
          <w:szCs w:val="16"/>
        </w:rPr>
        <w:t xml:space="preserve"> </w:t>
      </w:r>
      <w:r w:rsidR="00F4421E" w:rsidRPr="0008257D">
        <w:rPr>
          <w:sz w:val="16"/>
          <w:szCs w:val="16"/>
        </w:rPr>
        <w:t xml:space="preserve">As countries received similar support from other interventions, </w:t>
      </w:r>
      <w:r w:rsidR="008811F7" w:rsidRPr="0008257D">
        <w:rPr>
          <w:sz w:val="16"/>
          <w:szCs w:val="16"/>
        </w:rPr>
        <w:t>emergent results cannot be attributed solely to the INFF project.</w:t>
      </w:r>
    </w:p>
  </w:footnote>
  <w:footnote w:id="145">
    <w:p w14:paraId="2505DDF1" w14:textId="57DE84B0" w:rsidR="009F0DEF" w:rsidRPr="0008257D" w:rsidRDefault="009F0DEF">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2" w:history="1">
        <w:r w:rsidRPr="0008257D">
          <w:rPr>
            <w:rStyle w:val="Hyperlink"/>
            <w:sz w:val="16"/>
            <w:szCs w:val="16"/>
          </w:rPr>
          <w:t>https://egypt.un.org/en/291200-launch-egypt%E2%80%99s-integrated-national-financing-strategy-18-march-2025</w:t>
        </w:r>
      </w:hyperlink>
      <w:r w:rsidRPr="0008257D">
        <w:rPr>
          <w:sz w:val="16"/>
          <w:szCs w:val="16"/>
        </w:rPr>
        <w:t xml:space="preserve"> </w:t>
      </w:r>
    </w:p>
  </w:footnote>
  <w:footnote w:id="146">
    <w:p w14:paraId="30ED43ED" w14:textId="753131ED" w:rsidR="007E19DD" w:rsidRPr="007E19DD" w:rsidRDefault="007E19DD">
      <w:pPr>
        <w:pStyle w:val="FootnoteText"/>
        <w:rPr>
          <w:lang w:val="en-CA"/>
        </w:rPr>
      </w:pPr>
      <w:r w:rsidRPr="0008257D">
        <w:rPr>
          <w:rStyle w:val="FootnoteReference"/>
          <w:sz w:val="16"/>
          <w:szCs w:val="16"/>
        </w:rPr>
        <w:footnoteRef/>
      </w:r>
      <w:r w:rsidRPr="0008257D">
        <w:rPr>
          <w:sz w:val="16"/>
          <w:szCs w:val="16"/>
        </w:rPr>
        <w:t xml:space="preserve"> </w:t>
      </w:r>
      <w:r w:rsidR="003D10E8" w:rsidRPr="0008257D">
        <w:rPr>
          <w:sz w:val="16"/>
          <w:szCs w:val="16"/>
          <w:lang w:val="en-CA"/>
        </w:rPr>
        <w:t>Th</w:t>
      </w:r>
      <w:r w:rsidR="00B11EBD" w:rsidRPr="0008257D">
        <w:rPr>
          <w:sz w:val="16"/>
          <w:szCs w:val="16"/>
          <w:lang w:val="en-CA"/>
        </w:rPr>
        <w:t>e</w:t>
      </w:r>
      <w:r w:rsidR="00415693" w:rsidRPr="0008257D">
        <w:rPr>
          <w:sz w:val="16"/>
          <w:szCs w:val="16"/>
          <w:lang w:val="en-CA"/>
        </w:rPr>
        <w:t xml:space="preserve"> </w:t>
      </w:r>
      <w:r w:rsidR="00B11EBD" w:rsidRPr="0008257D">
        <w:rPr>
          <w:sz w:val="16"/>
          <w:szCs w:val="16"/>
          <w:lang w:val="en-CA"/>
        </w:rPr>
        <w:t xml:space="preserve">Egypt </w:t>
      </w:r>
      <w:r w:rsidR="00415693" w:rsidRPr="0008257D">
        <w:rPr>
          <w:sz w:val="16"/>
          <w:szCs w:val="16"/>
          <w:lang w:val="en-CA"/>
        </w:rPr>
        <w:t xml:space="preserve">INFF Strategy was </w:t>
      </w:r>
      <w:r w:rsidR="00B11EBD" w:rsidRPr="0008257D">
        <w:rPr>
          <w:sz w:val="16"/>
          <w:szCs w:val="16"/>
          <w:lang w:val="en-CA"/>
        </w:rPr>
        <w:t>developed with the support of the Joint</w:t>
      </w:r>
      <w:r w:rsidR="00415693" w:rsidRPr="0008257D">
        <w:rPr>
          <w:sz w:val="16"/>
          <w:szCs w:val="16"/>
          <w:lang w:val="en-CA"/>
        </w:rPr>
        <w:t xml:space="preserve"> SDG Fund.</w:t>
      </w:r>
    </w:p>
  </w:footnote>
  <w:footnote w:id="147">
    <w:p w14:paraId="74C163F4" w14:textId="3EE35285" w:rsidR="00F25C67" w:rsidRPr="0008257D" w:rsidRDefault="00F25C67">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3" w:history="1">
        <w:r w:rsidR="00945268" w:rsidRPr="0008257D">
          <w:rPr>
            <w:rStyle w:val="Hyperlink"/>
            <w:sz w:val="16"/>
            <w:szCs w:val="16"/>
          </w:rPr>
          <w:t>https://repository.uneca.org/entities/publication/d844d23c-f776-4a94-8b34-419f24b30e80</w:t>
        </w:r>
      </w:hyperlink>
      <w:r w:rsidR="00945268" w:rsidRPr="0008257D">
        <w:rPr>
          <w:sz w:val="16"/>
          <w:szCs w:val="16"/>
        </w:rPr>
        <w:t xml:space="preserve"> </w:t>
      </w:r>
    </w:p>
  </w:footnote>
  <w:footnote w:id="148">
    <w:p w14:paraId="2733B519" w14:textId="361D0B3F" w:rsidR="00902B65" w:rsidRPr="0008257D" w:rsidRDefault="00902B65">
      <w:pPr>
        <w:pStyle w:val="FootnoteText"/>
        <w:rPr>
          <w:sz w:val="16"/>
          <w:szCs w:val="16"/>
          <w:lang w:val="en-CA"/>
        </w:rPr>
      </w:pPr>
      <w:r w:rsidRPr="0008257D">
        <w:rPr>
          <w:rStyle w:val="FootnoteReference"/>
          <w:sz w:val="16"/>
          <w:szCs w:val="16"/>
        </w:rPr>
        <w:footnoteRef/>
      </w:r>
      <w:r w:rsidRPr="0008257D">
        <w:rPr>
          <w:sz w:val="16"/>
          <w:szCs w:val="16"/>
        </w:rPr>
        <w:t xml:space="preserve"> An international workshop was also facilitated by UNESCWA in Pakistan as part of the project activities in that country.</w:t>
      </w:r>
    </w:p>
  </w:footnote>
  <w:footnote w:id="149">
    <w:p w14:paraId="312D7A4B" w14:textId="49428198" w:rsidR="00A45ED1" w:rsidRPr="0008257D" w:rsidRDefault="00A45ED1" w:rsidP="00A45ED1">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The regional workshops included a side event that was facilitated by</w:t>
      </w:r>
      <w:r w:rsidR="007A4CA0">
        <w:rPr>
          <w:sz w:val="16"/>
          <w:szCs w:val="16"/>
          <w:lang w:val="en-CA"/>
        </w:rPr>
        <w:t xml:space="preserve"> </w:t>
      </w:r>
      <w:r w:rsidR="00A952E0">
        <w:rPr>
          <w:sz w:val="16"/>
          <w:szCs w:val="16"/>
          <w:lang w:val="en-CA"/>
        </w:rPr>
        <w:t>UN</w:t>
      </w:r>
      <w:r w:rsidRPr="0008257D">
        <w:rPr>
          <w:sz w:val="16"/>
          <w:szCs w:val="16"/>
          <w:lang w:val="en-CA"/>
        </w:rPr>
        <w:t xml:space="preserve">ECLAC during the INFF Global Workshop in April 2024. </w:t>
      </w:r>
    </w:p>
  </w:footnote>
  <w:footnote w:id="150">
    <w:p w14:paraId="38B95B39" w14:textId="5E776DBD" w:rsidR="00A45ED1" w:rsidRPr="000266BD" w:rsidRDefault="00A45ED1" w:rsidP="00A45ED1">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The total number of participants</w:t>
      </w:r>
      <w:r w:rsidR="00AB6B13" w:rsidRPr="0008257D">
        <w:rPr>
          <w:sz w:val="16"/>
          <w:szCs w:val="16"/>
          <w:lang w:val="en-CA"/>
        </w:rPr>
        <w:t xml:space="preserve"> for one workshop </w:t>
      </w:r>
      <w:r w:rsidRPr="0008257D">
        <w:rPr>
          <w:sz w:val="16"/>
          <w:szCs w:val="16"/>
          <w:lang w:val="en-CA"/>
        </w:rPr>
        <w:t>was reported</w:t>
      </w:r>
      <w:r w:rsidR="00665388" w:rsidRPr="0008257D">
        <w:rPr>
          <w:sz w:val="16"/>
          <w:szCs w:val="16"/>
          <w:lang w:val="en-CA"/>
        </w:rPr>
        <w:t xml:space="preserve"> as an approximation</w:t>
      </w:r>
      <w:r w:rsidRPr="0008257D">
        <w:rPr>
          <w:sz w:val="16"/>
          <w:szCs w:val="16"/>
          <w:lang w:val="en-CA"/>
        </w:rPr>
        <w:t>. Disaggregation by sex was not available to the evaluation.</w:t>
      </w:r>
    </w:p>
  </w:footnote>
  <w:footnote w:id="151">
    <w:p w14:paraId="7FC245DB" w14:textId="670BEF2F" w:rsidR="00066C25" w:rsidRPr="0008257D" w:rsidRDefault="00066C25">
      <w:pPr>
        <w:pStyle w:val="FootnoteText"/>
        <w:rPr>
          <w:sz w:val="16"/>
          <w:szCs w:val="16"/>
          <w:lang w:val="en-CA"/>
        </w:rPr>
      </w:pPr>
      <w:r w:rsidRPr="0008257D">
        <w:rPr>
          <w:rStyle w:val="FootnoteReference"/>
          <w:sz w:val="16"/>
          <w:szCs w:val="16"/>
        </w:rPr>
        <w:footnoteRef/>
      </w:r>
      <w:r w:rsidRPr="0008257D">
        <w:rPr>
          <w:sz w:val="16"/>
          <w:szCs w:val="16"/>
        </w:rPr>
        <w:t xml:space="preserve"> </w:t>
      </w:r>
      <w:r w:rsidR="008B7B8E" w:rsidRPr="0008257D">
        <w:rPr>
          <w:sz w:val="16"/>
          <w:szCs w:val="16"/>
          <w:lang w:val="en-CA"/>
        </w:rPr>
        <w:t>This figure has amalgamated the responses for very lik</w:t>
      </w:r>
      <w:r w:rsidR="009E0FCD" w:rsidRPr="0008257D">
        <w:rPr>
          <w:sz w:val="16"/>
          <w:szCs w:val="16"/>
          <w:lang w:val="en-CA"/>
        </w:rPr>
        <w:t>e</w:t>
      </w:r>
      <w:r w:rsidR="008B7B8E" w:rsidRPr="0008257D">
        <w:rPr>
          <w:sz w:val="16"/>
          <w:szCs w:val="16"/>
          <w:lang w:val="en-CA"/>
        </w:rPr>
        <w:t>ly and likely</w:t>
      </w:r>
    </w:p>
  </w:footnote>
  <w:footnote w:id="152">
    <w:p w14:paraId="5540C39F" w14:textId="525FDB55" w:rsidR="003C42D3" w:rsidRPr="0008257D" w:rsidRDefault="003C42D3">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Annex 2: Theory of change/ Results framework</w:t>
      </w:r>
    </w:p>
  </w:footnote>
  <w:footnote w:id="153">
    <w:p w14:paraId="75CB5B00" w14:textId="149CF415" w:rsidR="009E0FCD" w:rsidRPr="0008257D" w:rsidRDefault="009E0FCD">
      <w:pPr>
        <w:pStyle w:val="FootnoteText"/>
        <w:rPr>
          <w:sz w:val="16"/>
          <w:szCs w:val="16"/>
          <w:lang w:val="en-CA"/>
        </w:rPr>
      </w:pPr>
      <w:r w:rsidRPr="0008257D">
        <w:rPr>
          <w:rStyle w:val="FootnoteReference"/>
          <w:sz w:val="16"/>
          <w:szCs w:val="16"/>
        </w:rPr>
        <w:footnoteRef/>
      </w:r>
      <w:r w:rsidRPr="0008257D">
        <w:rPr>
          <w:sz w:val="16"/>
          <w:szCs w:val="16"/>
        </w:rPr>
        <w:t xml:space="preserve"> Evaluation report</w:t>
      </w:r>
      <w:r w:rsidR="004A155D" w:rsidRPr="0008257D">
        <w:rPr>
          <w:sz w:val="16"/>
          <w:szCs w:val="16"/>
        </w:rPr>
        <w:t>, Inception report, Africa region,</w:t>
      </w:r>
      <w:r w:rsidR="00E6756A" w:rsidRPr="0008257D">
        <w:rPr>
          <w:sz w:val="16"/>
          <w:szCs w:val="16"/>
        </w:rPr>
        <w:t xml:space="preserve"> </w:t>
      </w:r>
      <w:r w:rsidR="004A155D" w:rsidRPr="0008257D">
        <w:rPr>
          <w:sz w:val="16"/>
          <w:szCs w:val="16"/>
        </w:rPr>
        <w:t>August 2021</w:t>
      </w:r>
    </w:p>
  </w:footnote>
  <w:footnote w:id="154">
    <w:p w14:paraId="10240B45" w14:textId="710283C9" w:rsidR="007056CD" w:rsidRPr="0008257D" w:rsidRDefault="007056CD">
      <w:pPr>
        <w:pStyle w:val="FootnoteText"/>
        <w:rPr>
          <w:sz w:val="16"/>
          <w:szCs w:val="16"/>
          <w:lang w:val="en-CA"/>
        </w:rPr>
      </w:pPr>
      <w:r w:rsidRPr="0008257D">
        <w:rPr>
          <w:rStyle w:val="FootnoteReference"/>
          <w:sz w:val="16"/>
          <w:szCs w:val="16"/>
        </w:rPr>
        <w:footnoteRef/>
      </w:r>
      <w:r w:rsidRPr="0008257D">
        <w:rPr>
          <w:sz w:val="16"/>
          <w:szCs w:val="16"/>
        </w:rPr>
        <w:t xml:space="preserve"> </w:t>
      </w:r>
      <w:r w:rsidR="00AE0A24" w:rsidRPr="0008257D">
        <w:rPr>
          <w:sz w:val="16"/>
          <w:szCs w:val="16"/>
          <w:lang w:val="en-CA"/>
        </w:rPr>
        <w:t xml:space="preserve">The overview for each region commences with an identification of </w:t>
      </w:r>
      <w:r w:rsidR="004A406C" w:rsidRPr="0008257D">
        <w:rPr>
          <w:sz w:val="16"/>
          <w:szCs w:val="16"/>
          <w:lang w:val="en-CA"/>
        </w:rPr>
        <w:t>the regional workshops that were conducted, as applicable.</w:t>
      </w:r>
    </w:p>
  </w:footnote>
  <w:footnote w:id="155">
    <w:p w14:paraId="70E19B82" w14:textId="77777777" w:rsidR="00025A13" w:rsidRPr="00244006" w:rsidRDefault="00025A13" w:rsidP="00025A13">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Exhibit 1</w:t>
      </w:r>
    </w:p>
  </w:footnote>
  <w:footnote w:id="156">
    <w:p w14:paraId="5ED5ED96" w14:textId="2318F470" w:rsidR="00D02402" w:rsidRPr="0008257D" w:rsidRDefault="00D02402">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Final project report, March 2025</w:t>
      </w:r>
    </w:p>
  </w:footnote>
  <w:footnote w:id="157">
    <w:p w14:paraId="09193C8F" w14:textId="0E01E4DD" w:rsidR="00470854" w:rsidRPr="0008257D" w:rsidRDefault="00470854">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4" w:history="1">
        <w:r w:rsidR="00E47D33" w:rsidRPr="0008257D">
          <w:rPr>
            <w:rStyle w:val="Hyperlink"/>
            <w:sz w:val="16"/>
            <w:szCs w:val="16"/>
          </w:rPr>
          <w:t>https://unctad.org/meeting/national-workshop-developing-productive-capacities-burkina-faso</w:t>
        </w:r>
      </w:hyperlink>
      <w:r w:rsidR="00E47D33" w:rsidRPr="0008257D">
        <w:rPr>
          <w:sz w:val="16"/>
          <w:szCs w:val="16"/>
        </w:rPr>
        <w:t xml:space="preserve"> </w:t>
      </w:r>
    </w:p>
  </w:footnote>
  <w:footnote w:id="158">
    <w:p w14:paraId="31A41440" w14:textId="5CCD18DB" w:rsidR="00E65113" w:rsidRPr="0008257D" w:rsidRDefault="00E65113">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5" w:history="1">
        <w:r w:rsidRPr="0008257D">
          <w:rPr>
            <w:rStyle w:val="Hyperlink"/>
            <w:sz w:val="16"/>
            <w:szCs w:val="16"/>
          </w:rPr>
          <w:t>https://unctad.org/meeting/workshop-illicit-financial-flows-risk-extractive-sector-burkina-faso</w:t>
        </w:r>
      </w:hyperlink>
      <w:r w:rsidRPr="0008257D">
        <w:rPr>
          <w:sz w:val="16"/>
          <w:szCs w:val="16"/>
        </w:rPr>
        <w:t xml:space="preserve"> </w:t>
      </w:r>
    </w:p>
  </w:footnote>
  <w:footnote w:id="159">
    <w:p w14:paraId="7AF0F883" w14:textId="5933A589" w:rsidR="000736ED" w:rsidRPr="000736ED" w:rsidRDefault="000736ED">
      <w:pPr>
        <w:pStyle w:val="FootnoteText"/>
        <w:rPr>
          <w:lang w:val="en-CA"/>
        </w:rPr>
      </w:pPr>
      <w:r w:rsidRPr="0008257D">
        <w:rPr>
          <w:rStyle w:val="FootnoteReference"/>
          <w:sz w:val="16"/>
          <w:szCs w:val="16"/>
        </w:rPr>
        <w:footnoteRef/>
      </w:r>
      <w:r w:rsidRPr="0008257D">
        <w:rPr>
          <w:sz w:val="16"/>
          <w:szCs w:val="16"/>
        </w:rPr>
        <w:t xml:space="preserve"> </w:t>
      </w:r>
      <w:hyperlink r:id="rId66" w:history="1">
        <w:r w:rsidRPr="0008257D">
          <w:rPr>
            <w:rStyle w:val="Hyperlink"/>
            <w:sz w:val="16"/>
            <w:szCs w:val="16"/>
          </w:rPr>
          <w:t>https://eiti.org/documents/study-illicit-financial-flows-burkina-fasos-extractive-sector</w:t>
        </w:r>
      </w:hyperlink>
      <w:r>
        <w:t xml:space="preserve"> </w:t>
      </w:r>
    </w:p>
  </w:footnote>
  <w:footnote w:id="160">
    <w:p w14:paraId="69850649" w14:textId="77777777" w:rsidR="00527DCA" w:rsidRPr="0008257D" w:rsidRDefault="00527DCA" w:rsidP="00527DCA">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7" w:history="1">
        <w:r w:rsidRPr="0008257D">
          <w:rPr>
            <w:rStyle w:val="Hyperlink"/>
            <w:sz w:val="16"/>
            <w:szCs w:val="16"/>
          </w:rPr>
          <w:t>https://www.unescap.org/events/2022/workshop-supporting-development-integrated-national-financing-framework-pakistan</w:t>
        </w:r>
      </w:hyperlink>
      <w:r w:rsidRPr="0008257D">
        <w:rPr>
          <w:sz w:val="16"/>
          <w:szCs w:val="16"/>
        </w:rPr>
        <w:t xml:space="preserve"> </w:t>
      </w:r>
    </w:p>
  </w:footnote>
  <w:footnote w:id="161">
    <w:p w14:paraId="7FEAC88C" w14:textId="77777777" w:rsidR="00527DCA" w:rsidRPr="0008257D" w:rsidRDefault="00527DCA" w:rsidP="00527DCA">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62">
    <w:p w14:paraId="1F77EAAC" w14:textId="09675201" w:rsidR="00BB2C13" w:rsidRPr="0008257D" w:rsidRDefault="00BB2C13" w:rsidP="00BB2C13">
      <w:pPr>
        <w:pStyle w:val="FootnoteText"/>
        <w:rPr>
          <w:sz w:val="16"/>
          <w:szCs w:val="16"/>
          <w:lang w:val="en-CA"/>
        </w:rPr>
      </w:pPr>
      <w:r w:rsidRPr="0008257D">
        <w:rPr>
          <w:rStyle w:val="FootnoteReference"/>
          <w:sz w:val="16"/>
          <w:szCs w:val="16"/>
        </w:rPr>
        <w:footnoteRef/>
      </w:r>
      <w:r w:rsidRPr="0008257D">
        <w:rPr>
          <w:sz w:val="16"/>
          <w:szCs w:val="16"/>
        </w:rPr>
        <w:t xml:space="preserve"> </w:t>
      </w:r>
      <w:r w:rsidR="004837A7">
        <w:rPr>
          <w:sz w:val="16"/>
          <w:szCs w:val="16"/>
          <w:lang w:val="en-CA"/>
        </w:rPr>
        <w:t xml:space="preserve">ibid </w:t>
      </w:r>
    </w:p>
  </w:footnote>
  <w:footnote w:id="163">
    <w:p w14:paraId="35B5D20F" w14:textId="77777777" w:rsidR="00CA241C" w:rsidRPr="0008257D" w:rsidRDefault="00CA241C" w:rsidP="00CA241C">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68" w:history="1">
        <w:r w:rsidRPr="0008257D">
          <w:rPr>
            <w:rStyle w:val="Hyperlink"/>
            <w:sz w:val="16"/>
            <w:szCs w:val="16"/>
          </w:rPr>
          <w:t>https://www.unescap.org/kp/2024/towards-integrated-national-financing-framework-pakistan</w:t>
        </w:r>
      </w:hyperlink>
      <w:r w:rsidRPr="0008257D">
        <w:rPr>
          <w:sz w:val="16"/>
          <w:szCs w:val="16"/>
        </w:rPr>
        <w:t xml:space="preserve"> </w:t>
      </w:r>
    </w:p>
  </w:footnote>
  <w:footnote w:id="164">
    <w:p w14:paraId="1B4868B0" w14:textId="77777777" w:rsidR="00CA241C" w:rsidRPr="000021E0" w:rsidRDefault="00CA241C" w:rsidP="00CA241C">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65">
    <w:p w14:paraId="1AFAB54F" w14:textId="13B8D2CA" w:rsidR="00277C62" w:rsidRPr="0008257D" w:rsidRDefault="00277C62">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Samoa replaced Indonesia as a project country in </w:t>
      </w:r>
      <w:r w:rsidR="00DB1C3F" w:rsidRPr="0008257D">
        <w:rPr>
          <w:sz w:val="16"/>
          <w:szCs w:val="16"/>
          <w:lang w:val="en-CA"/>
        </w:rPr>
        <w:t>mid 2022.</w:t>
      </w:r>
    </w:p>
  </w:footnote>
  <w:footnote w:id="166">
    <w:p w14:paraId="6730CDC4" w14:textId="7FFCDF9A" w:rsidR="00A50CD2" w:rsidRPr="00A50CD2" w:rsidRDefault="00A50CD2">
      <w:pPr>
        <w:pStyle w:val="FootnoteText"/>
        <w:rPr>
          <w:lang w:val="en-CA"/>
        </w:rPr>
      </w:pPr>
      <w:r w:rsidRPr="0008257D">
        <w:rPr>
          <w:rStyle w:val="FootnoteReference"/>
          <w:sz w:val="16"/>
          <w:szCs w:val="16"/>
        </w:rPr>
        <w:footnoteRef/>
      </w:r>
      <w:r w:rsidRPr="0008257D">
        <w:rPr>
          <w:sz w:val="16"/>
          <w:szCs w:val="16"/>
        </w:rPr>
        <w:t xml:space="preserve"> </w:t>
      </w:r>
      <w:hyperlink r:id="rId69" w:history="1">
        <w:r w:rsidR="0025254B" w:rsidRPr="0008257D">
          <w:rPr>
            <w:rStyle w:val="Hyperlink"/>
            <w:sz w:val="16"/>
            <w:szCs w:val="16"/>
          </w:rPr>
          <w:t>https://unece.org/ppp/em</w:t>
        </w:r>
      </w:hyperlink>
      <w:r w:rsidR="0025254B">
        <w:t xml:space="preserve"> </w:t>
      </w:r>
    </w:p>
  </w:footnote>
  <w:footnote w:id="167">
    <w:p w14:paraId="18944B7D" w14:textId="2D2F50DE" w:rsidR="00D10CD4" w:rsidRPr="0008257D" w:rsidRDefault="00D10CD4">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The Dominican Republic was selected as a target country in 2023</w:t>
      </w:r>
      <w:r w:rsidR="00B24E41" w:rsidRPr="0008257D">
        <w:rPr>
          <w:sz w:val="16"/>
          <w:szCs w:val="16"/>
          <w:lang w:val="en-CA"/>
        </w:rPr>
        <w:t xml:space="preserve">. A change of government in Costa Rica </w:t>
      </w:r>
      <w:r w:rsidR="003961DC" w:rsidRPr="0008257D">
        <w:rPr>
          <w:sz w:val="16"/>
          <w:szCs w:val="16"/>
          <w:lang w:val="en-CA"/>
        </w:rPr>
        <w:t xml:space="preserve">resulted in a </w:t>
      </w:r>
      <w:r w:rsidR="00E0672E" w:rsidRPr="0008257D">
        <w:rPr>
          <w:sz w:val="16"/>
          <w:szCs w:val="16"/>
          <w:lang w:val="en-CA"/>
        </w:rPr>
        <w:t>change in high-level officials at the counterpart Ministry</w:t>
      </w:r>
      <w:r w:rsidR="009F7B7E" w:rsidRPr="0008257D">
        <w:rPr>
          <w:sz w:val="16"/>
          <w:szCs w:val="16"/>
          <w:lang w:val="en-CA"/>
        </w:rPr>
        <w:t xml:space="preserve">. </w:t>
      </w:r>
      <w:r w:rsidR="006664EF" w:rsidRPr="0008257D">
        <w:rPr>
          <w:sz w:val="16"/>
          <w:szCs w:val="16"/>
        </w:rPr>
        <w:t>Project activities were delayed as UNECLAC established a working relationship with the new government</w:t>
      </w:r>
      <w:r w:rsidR="007B2AC3" w:rsidRPr="0008257D">
        <w:rPr>
          <w:sz w:val="16"/>
          <w:szCs w:val="16"/>
        </w:rPr>
        <w:t>.</w:t>
      </w:r>
    </w:p>
  </w:footnote>
  <w:footnote w:id="168">
    <w:p w14:paraId="3BBA7639" w14:textId="48BB3154" w:rsidR="00F15290" w:rsidRPr="0008257D" w:rsidRDefault="00F15290">
      <w:pPr>
        <w:pStyle w:val="FootnoteText"/>
        <w:rPr>
          <w:sz w:val="16"/>
          <w:szCs w:val="16"/>
          <w:lang w:val="en-CA"/>
        </w:rPr>
      </w:pPr>
      <w:r w:rsidRPr="0008257D">
        <w:rPr>
          <w:rStyle w:val="FootnoteReference"/>
          <w:sz w:val="16"/>
          <w:szCs w:val="16"/>
        </w:rPr>
        <w:footnoteRef/>
      </w:r>
      <w:r w:rsidRPr="0008257D">
        <w:rPr>
          <w:sz w:val="16"/>
          <w:szCs w:val="16"/>
        </w:rPr>
        <w:t xml:space="preserve"> </w:t>
      </w:r>
      <w:r w:rsidR="00FC5197" w:rsidRPr="0008257D">
        <w:rPr>
          <w:sz w:val="16"/>
          <w:szCs w:val="16"/>
        </w:rPr>
        <w:t>UNECLAC Bilateral Technical Workshop Report, April 2024</w:t>
      </w:r>
    </w:p>
  </w:footnote>
  <w:footnote w:id="169">
    <w:p w14:paraId="6BC35E1E" w14:textId="77777777" w:rsidR="000F433D" w:rsidRPr="0008257D" w:rsidRDefault="000F433D" w:rsidP="000F433D">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rFonts w:cs="Arial"/>
          <w:sz w:val="16"/>
          <w:szCs w:val="16"/>
        </w:rPr>
        <w:t>As its main function, the FfD Inter-governmental Committee reviews; monitors; and advances Arab financing for development outcomes, as well as the implementation of the 2030 Agenda within the region</w:t>
      </w:r>
    </w:p>
  </w:footnote>
  <w:footnote w:id="170">
    <w:p w14:paraId="36AF75FE" w14:textId="77777777" w:rsidR="0026571C" w:rsidRPr="0008257D" w:rsidRDefault="0026571C" w:rsidP="0026571C">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T</w:t>
      </w:r>
      <w:r w:rsidRPr="0008257D">
        <w:rPr>
          <w:rFonts w:ascii="Calibri" w:hAnsi="Calibri" w:cs="Arial"/>
          <w:sz w:val="16"/>
          <w:szCs w:val="16"/>
        </w:rPr>
        <w:t xml:space="preserve">he </w:t>
      </w:r>
      <w:hyperlink r:id="rId70" w:history="1">
        <w:r w:rsidRPr="0008257D">
          <w:rPr>
            <w:rStyle w:val="Hyperlink"/>
            <w:rFonts w:ascii="Calibri" w:hAnsi="Calibri" w:cs="Arial"/>
            <w:sz w:val="16"/>
            <w:szCs w:val="16"/>
          </w:rPr>
          <w:t>Arab Financing for Development Gateway</w:t>
        </w:r>
      </w:hyperlink>
      <w:r w:rsidRPr="0008257D">
        <w:rPr>
          <w:rFonts w:ascii="Calibri" w:hAnsi="Calibri" w:cs="Arial"/>
          <w:sz w:val="16"/>
          <w:szCs w:val="16"/>
        </w:rPr>
        <w:t xml:space="preserve"> </w:t>
      </w:r>
    </w:p>
  </w:footnote>
  <w:footnote w:id="171">
    <w:p w14:paraId="5DED36AD" w14:textId="77777777" w:rsidR="00A61F80" w:rsidRPr="00DB2CD0" w:rsidRDefault="00A61F80" w:rsidP="00A61F80">
      <w:pPr>
        <w:pStyle w:val="FootnoteText"/>
        <w:rPr>
          <w:lang w:val="en-CA"/>
        </w:rPr>
      </w:pPr>
      <w:r w:rsidRPr="0008257D">
        <w:rPr>
          <w:rStyle w:val="FootnoteReference"/>
          <w:sz w:val="16"/>
          <w:szCs w:val="16"/>
        </w:rPr>
        <w:footnoteRef/>
      </w:r>
      <w:r w:rsidRPr="0008257D">
        <w:rPr>
          <w:sz w:val="16"/>
          <w:szCs w:val="16"/>
        </w:rPr>
        <w:t xml:space="preserve"> </w:t>
      </w:r>
      <w:hyperlink r:id="rId71" w:history="1">
        <w:r w:rsidRPr="0008257D">
          <w:rPr>
            <w:rStyle w:val="Hyperlink"/>
            <w:sz w:val="16"/>
            <w:szCs w:val="16"/>
          </w:rPr>
          <w:t>https://www.jordanvision.jo/en</w:t>
        </w:r>
      </w:hyperlink>
      <w:r>
        <w:t xml:space="preserve"> </w:t>
      </w:r>
    </w:p>
  </w:footnote>
  <w:footnote w:id="172">
    <w:p w14:paraId="4C52399F" w14:textId="43525F1E" w:rsidR="001636DE" w:rsidRPr="0008257D" w:rsidRDefault="001636DE">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72" w:history="1">
        <w:r w:rsidRPr="0008257D">
          <w:rPr>
            <w:rStyle w:val="Hyperlink"/>
            <w:sz w:val="16"/>
            <w:szCs w:val="16"/>
          </w:rPr>
          <w:t>https://www.unescwa.org/news/integrated-national-financing-framework-jordan</w:t>
        </w:r>
      </w:hyperlink>
      <w:r w:rsidRPr="0008257D">
        <w:rPr>
          <w:sz w:val="16"/>
          <w:szCs w:val="16"/>
        </w:rPr>
        <w:t xml:space="preserve"> </w:t>
      </w:r>
    </w:p>
  </w:footnote>
  <w:footnote w:id="173">
    <w:p w14:paraId="211E1994" w14:textId="124198A3" w:rsidR="007A631D" w:rsidRPr="0008257D" w:rsidRDefault="007A631D">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74">
    <w:p w14:paraId="2D3774B3" w14:textId="40455854" w:rsidR="004E3F1A" w:rsidRPr="004E3F1A" w:rsidRDefault="004E3F1A">
      <w:pPr>
        <w:pStyle w:val="FootnoteText"/>
        <w:rPr>
          <w:lang w:val="en-CA"/>
        </w:rPr>
      </w:pPr>
      <w:r w:rsidRPr="0008257D">
        <w:rPr>
          <w:rStyle w:val="FootnoteReference"/>
          <w:sz w:val="16"/>
          <w:szCs w:val="16"/>
        </w:rPr>
        <w:footnoteRef/>
      </w:r>
      <w:r w:rsidRPr="0008257D">
        <w:rPr>
          <w:sz w:val="16"/>
          <w:szCs w:val="16"/>
        </w:rPr>
        <w:t xml:space="preserve"> </w:t>
      </w:r>
      <w:r w:rsidR="00EA5332">
        <w:rPr>
          <w:sz w:val="16"/>
          <w:szCs w:val="16"/>
        </w:rPr>
        <w:t>UN</w:t>
      </w:r>
      <w:r w:rsidRPr="0008257D">
        <w:rPr>
          <w:sz w:val="16"/>
          <w:szCs w:val="16"/>
          <w:lang w:val="en-CA"/>
        </w:rPr>
        <w:t>RCOs and UNCTs</w:t>
      </w:r>
    </w:p>
  </w:footnote>
  <w:footnote w:id="175">
    <w:p w14:paraId="3F1F19C1" w14:textId="1BFF2807" w:rsidR="0013250C" w:rsidRPr="0008257D" w:rsidRDefault="0013250C" w:rsidP="0013250C">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76">
    <w:p w14:paraId="37B942E0" w14:textId="7C4EE949" w:rsidR="00B76A19" w:rsidRPr="0008257D" w:rsidRDefault="00B76A19">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ibid </w:t>
      </w:r>
    </w:p>
  </w:footnote>
  <w:footnote w:id="177">
    <w:p w14:paraId="45C58E14" w14:textId="77777777" w:rsidR="002D620A" w:rsidRPr="0008257D" w:rsidRDefault="002D620A" w:rsidP="002D620A">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ibid </w:t>
      </w:r>
    </w:p>
  </w:footnote>
  <w:footnote w:id="178">
    <w:p w14:paraId="11946925" w14:textId="77777777" w:rsidR="00BB30D5" w:rsidRPr="0008257D" w:rsidRDefault="00BB30D5" w:rsidP="00BB30D5">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OECD, 2023. </w:t>
      </w:r>
      <w:hyperlink r:id="rId73" w:history="1">
        <w:r w:rsidRPr="0008257D">
          <w:rPr>
            <w:rStyle w:val="Hyperlink"/>
            <w:i/>
            <w:iCs/>
            <w:sz w:val="16"/>
            <w:szCs w:val="16"/>
            <w:lang w:val="en-CA"/>
          </w:rPr>
          <w:t>Glossary of Key Terms in Evaluation and Results Based Management for Sustainable Development (Second edition)</w:t>
        </w:r>
      </w:hyperlink>
      <w:r w:rsidRPr="0008257D">
        <w:rPr>
          <w:i/>
          <w:iCs/>
          <w:sz w:val="16"/>
          <w:szCs w:val="16"/>
          <w:lang w:val="en-CA"/>
        </w:rPr>
        <w:t xml:space="preserve">, </w:t>
      </w:r>
      <w:r w:rsidRPr="0008257D">
        <w:rPr>
          <w:sz w:val="16"/>
          <w:szCs w:val="16"/>
          <w:lang w:val="en-CA"/>
        </w:rPr>
        <w:t>OECD Publishing, Paris.</w:t>
      </w:r>
    </w:p>
  </w:footnote>
  <w:footnote w:id="179">
    <w:p w14:paraId="20545AA4" w14:textId="77777777" w:rsidR="00C51479" w:rsidRPr="004A1560" w:rsidRDefault="00C51479" w:rsidP="00C51479">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DFID, 2011. </w:t>
      </w:r>
      <w:hyperlink r:id="rId74" w:history="1">
        <w:r w:rsidRPr="0008257D">
          <w:rPr>
            <w:rStyle w:val="Hyperlink"/>
            <w:sz w:val="16"/>
            <w:szCs w:val="16"/>
            <w:lang w:val="en-CA"/>
          </w:rPr>
          <w:t>DFID’s Approach to Value for Money (VfM)</w:t>
        </w:r>
      </w:hyperlink>
      <w:r w:rsidRPr="0008257D">
        <w:rPr>
          <w:sz w:val="16"/>
          <w:szCs w:val="16"/>
          <w:lang w:val="en-CA"/>
        </w:rPr>
        <w:t>.</w:t>
      </w:r>
      <w:r>
        <w:rPr>
          <w:lang w:val="en-CA"/>
        </w:rPr>
        <w:t xml:space="preserve"> </w:t>
      </w:r>
    </w:p>
  </w:footnote>
  <w:footnote w:id="180">
    <w:p w14:paraId="081FCD5C" w14:textId="01226EF2" w:rsidR="000254F1" w:rsidRPr="0008257D" w:rsidRDefault="000254F1" w:rsidP="000254F1">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See Findings </w:t>
      </w:r>
      <w:r w:rsidR="00222A13" w:rsidRPr="0008257D">
        <w:rPr>
          <w:sz w:val="16"/>
          <w:szCs w:val="16"/>
          <w:lang w:val="en-CA"/>
        </w:rPr>
        <w:t>5 and 6</w:t>
      </w:r>
    </w:p>
  </w:footnote>
  <w:footnote w:id="181">
    <w:p w14:paraId="57405FA7" w14:textId="7765053B" w:rsidR="00187DD6" w:rsidRPr="0008257D" w:rsidRDefault="00187DD6">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sub-Section 2.5</w:t>
      </w:r>
    </w:p>
  </w:footnote>
  <w:footnote w:id="182">
    <w:p w14:paraId="1CB24483" w14:textId="36A4B82C" w:rsidR="00003F3F" w:rsidRPr="00D83A14" w:rsidRDefault="00003F3F" w:rsidP="00003F3F">
      <w:pPr>
        <w:pStyle w:val="FootnoteText"/>
        <w:rPr>
          <w:lang w:val="en-CA"/>
        </w:rPr>
      </w:pPr>
      <w:r w:rsidRPr="0008257D">
        <w:rPr>
          <w:rStyle w:val="FootnoteReference"/>
          <w:sz w:val="16"/>
          <w:szCs w:val="16"/>
        </w:rPr>
        <w:footnoteRef/>
      </w:r>
      <w:r w:rsidRPr="0008257D">
        <w:rPr>
          <w:sz w:val="16"/>
          <w:szCs w:val="16"/>
        </w:rPr>
        <w:t xml:space="preserve"> See sub-Section 2.5</w:t>
      </w:r>
      <w:r w:rsidR="00B60858" w:rsidRPr="0008257D">
        <w:rPr>
          <w:sz w:val="16"/>
          <w:szCs w:val="16"/>
        </w:rPr>
        <w:t>, Exhibit 3</w:t>
      </w:r>
    </w:p>
  </w:footnote>
  <w:footnote w:id="183">
    <w:p w14:paraId="6A20944A" w14:textId="6077E15C" w:rsidR="00DE44E0" w:rsidRPr="0008257D" w:rsidRDefault="00DE44E0">
      <w:pPr>
        <w:pStyle w:val="FootnoteText"/>
        <w:rPr>
          <w:sz w:val="16"/>
          <w:szCs w:val="16"/>
          <w:lang w:val="en-CA"/>
        </w:rPr>
      </w:pPr>
      <w:r w:rsidRPr="0008257D">
        <w:rPr>
          <w:rStyle w:val="FootnoteReference"/>
          <w:sz w:val="16"/>
          <w:szCs w:val="16"/>
        </w:rPr>
        <w:footnoteRef/>
      </w:r>
      <w:r w:rsidRPr="0008257D">
        <w:rPr>
          <w:sz w:val="16"/>
          <w:szCs w:val="16"/>
        </w:rPr>
        <w:t xml:space="preserve"> </w:t>
      </w:r>
      <w:r w:rsidR="00B60858" w:rsidRPr="0008257D">
        <w:rPr>
          <w:sz w:val="16"/>
          <w:szCs w:val="16"/>
          <w:lang w:val="en-CA"/>
        </w:rPr>
        <w:t xml:space="preserve">ibid </w:t>
      </w:r>
    </w:p>
  </w:footnote>
  <w:footnote w:id="184">
    <w:p w14:paraId="6A94E1C5" w14:textId="17ABBAD8" w:rsidR="00F6625D" w:rsidRPr="0008257D" w:rsidRDefault="00F6625D">
      <w:pPr>
        <w:pStyle w:val="FootnoteText"/>
        <w:rPr>
          <w:sz w:val="16"/>
          <w:szCs w:val="16"/>
          <w:lang w:val="en-CA"/>
        </w:rPr>
      </w:pPr>
      <w:r w:rsidRPr="0008257D">
        <w:rPr>
          <w:rStyle w:val="FootnoteReference"/>
          <w:sz w:val="16"/>
          <w:szCs w:val="16"/>
        </w:rPr>
        <w:footnoteRef/>
      </w:r>
      <w:r w:rsidRPr="0008257D">
        <w:rPr>
          <w:sz w:val="16"/>
          <w:szCs w:val="16"/>
        </w:rPr>
        <w:t xml:space="preserve"> </w:t>
      </w:r>
      <w:r w:rsidR="00B65094" w:rsidRPr="0008257D">
        <w:rPr>
          <w:sz w:val="16"/>
          <w:szCs w:val="16"/>
          <w:lang w:val="en-CA"/>
        </w:rPr>
        <w:t xml:space="preserve">This approach was informed by </w:t>
      </w:r>
      <w:r w:rsidR="007C4906" w:rsidRPr="0008257D">
        <w:rPr>
          <w:sz w:val="16"/>
          <w:szCs w:val="16"/>
          <w:lang w:val="en-CA"/>
        </w:rPr>
        <w:t xml:space="preserve">the methods that have been advanced </w:t>
      </w:r>
      <w:r w:rsidR="00A777AB" w:rsidRPr="0008257D">
        <w:rPr>
          <w:sz w:val="16"/>
          <w:szCs w:val="16"/>
          <w:lang w:val="en-CA"/>
        </w:rPr>
        <w:t>by DFID UK (now F</w:t>
      </w:r>
      <w:r w:rsidR="001C4168" w:rsidRPr="0008257D">
        <w:rPr>
          <w:sz w:val="16"/>
          <w:szCs w:val="16"/>
          <w:lang w:val="en-CA"/>
        </w:rPr>
        <w:t>oreign, Commonwealth &amp; Development Office - F</w:t>
      </w:r>
      <w:r w:rsidR="00A777AB" w:rsidRPr="0008257D">
        <w:rPr>
          <w:sz w:val="16"/>
          <w:szCs w:val="16"/>
          <w:lang w:val="en-CA"/>
        </w:rPr>
        <w:t xml:space="preserve">CDO) and Oxford Policy Management. </w:t>
      </w:r>
      <w:r w:rsidR="00237A3A" w:rsidRPr="0008257D">
        <w:rPr>
          <w:sz w:val="16"/>
          <w:szCs w:val="16"/>
          <w:lang w:val="en-CA"/>
        </w:rPr>
        <w:t>(</w:t>
      </w:r>
      <w:hyperlink r:id="rId75" w:history="1">
        <w:r w:rsidR="00237A3A" w:rsidRPr="0008257D">
          <w:rPr>
            <w:rStyle w:val="Hyperlink"/>
            <w:sz w:val="16"/>
            <w:szCs w:val="16"/>
            <w:lang w:val="en-CA"/>
          </w:rPr>
          <w:t>https://assets.publishing.service.gov.uk/media/5a78a9ee40f0b632476992f1/DFID-approach-value-money.pdf /</w:t>
        </w:r>
      </w:hyperlink>
      <w:r w:rsidR="00237A3A" w:rsidRPr="0008257D">
        <w:rPr>
          <w:sz w:val="16"/>
          <w:szCs w:val="16"/>
          <w:lang w:val="en-CA"/>
        </w:rPr>
        <w:t xml:space="preserve"> </w:t>
      </w:r>
      <w:hyperlink r:id="rId76" w:history="1">
        <w:r w:rsidR="00CB682F" w:rsidRPr="0008257D">
          <w:rPr>
            <w:rStyle w:val="Hyperlink"/>
            <w:sz w:val="16"/>
            <w:szCs w:val="16"/>
            <w:lang w:val="en-CA"/>
          </w:rPr>
          <w:t>https://www.opml.co.uk/sites/default/files/2024-06/opm-value-money-vfm-approach-v2-1.pdf</w:t>
        </w:r>
      </w:hyperlink>
      <w:r w:rsidR="00CB682F" w:rsidRPr="0008257D">
        <w:rPr>
          <w:sz w:val="16"/>
          <w:szCs w:val="16"/>
          <w:lang w:val="en-CA"/>
        </w:rPr>
        <w:t xml:space="preserve">) </w:t>
      </w:r>
    </w:p>
  </w:footnote>
  <w:footnote w:id="185">
    <w:p w14:paraId="08C7F46E" w14:textId="21B762CB" w:rsidR="006072D3" w:rsidRPr="0008257D" w:rsidRDefault="006072D3">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Finding 6</w:t>
      </w:r>
    </w:p>
  </w:footnote>
  <w:footnote w:id="186">
    <w:p w14:paraId="4BEA0094" w14:textId="1AEFD894" w:rsidR="0026508B" w:rsidRPr="0018210C" w:rsidRDefault="0026508B">
      <w:pPr>
        <w:pStyle w:val="FootnoteText"/>
        <w:rPr>
          <w:sz w:val="16"/>
          <w:szCs w:val="16"/>
          <w:lang w:val="en-CA"/>
        </w:rPr>
      </w:pPr>
      <w:r w:rsidRPr="0018210C">
        <w:rPr>
          <w:rStyle w:val="FootnoteReference"/>
          <w:sz w:val="16"/>
          <w:szCs w:val="16"/>
        </w:rPr>
        <w:footnoteRef/>
      </w:r>
      <w:r w:rsidRPr="0018210C">
        <w:rPr>
          <w:sz w:val="16"/>
          <w:szCs w:val="16"/>
        </w:rPr>
        <w:t xml:space="preserve"> </w:t>
      </w:r>
      <w:r w:rsidR="0018210C" w:rsidRPr="0018210C">
        <w:rPr>
          <w:sz w:val="16"/>
          <w:szCs w:val="16"/>
          <w:lang w:val="en-CA"/>
        </w:rPr>
        <w:t>See Finding 6 and Finding 12</w:t>
      </w:r>
    </w:p>
  </w:footnote>
  <w:footnote w:id="187">
    <w:p w14:paraId="36BFC683" w14:textId="7E1DBC45" w:rsidR="002E2064" w:rsidRPr="002E2064" w:rsidRDefault="002E2064">
      <w:pPr>
        <w:pStyle w:val="FootnoteText"/>
        <w:rPr>
          <w:lang w:val="en-CA"/>
        </w:rPr>
      </w:pPr>
      <w:r w:rsidRPr="0008257D">
        <w:rPr>
          <w:rStyle w:val="FootnoteReference"/>
          <w:sz w:val="16"/>
          <w:szCs w:val="16"/>
        </w:rPr>
        <w:footnoteRef/>
      </w:r>
      <w:r w:rsidRPr="0008257D">
        <w:rPr>
          <w:sz w:val="16"/>
          <w:szCs w:val="16"/>
        </w:rPr>
        <w:t xml:space="preserve"> </w:t>
      </w:r>
      <w:r w:rsidR="008410B6">
        <w:rPr>
          <w:sz w:val="16"/>
          <w:szCs w:val="16"/>
          <w:lang w:val="en-CA"/>
        </w:rPr>
        <w:t>Draft project document</w:t>
      </w:r>
      <w:r w:rsidRPr="0008257D">
        <w:rPr>
          <w:sz w:val="16"/>
          <w:szCs w:val="16"/>
          <w:lang w:val="en-CA"/>
        </w:rPr>
        <w:t xml:space="preserve">, sub-Section </w:t>
      </w:r>
      <w:r w:rsidR="006C77AA" w:rsidRPr="0008257D">
        <w:rPr>
          <w:sz w:val="16"/>
          <w:szCs w:val="16"/>
          <w:lang w:val="en-CA"/>
        </w:rPr>
        <w:t>4.4, pp.24-25</w:t>
      </w:r>
    </w:p>
  </w:footnote>
  <w:footnote w:id="188">
    <w:p w14:paraId="56351E7A" w14:textId="0B200A68" w:rsidR="009E5306" w:rsidRPr="0008257D" w:rsidRDefault="009E5306" w:rsidP="009E5306">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89">
    <w:p w14:paraId="179B4300" w14:textId="5F25AAC0" w:rsidR="009E5306" w:rsidRPr="0008257D" w:rsidRDefault="009E5306" w:rsidP="009E5306">
      <w:pPr>
        <w:pStyle w:val="FootnoteText"/>
        <w:rPr>
          <w:sz w:val="16"/>
          <w:szCs w:val="16"/>
          <w:lang w:val="en-CA"/>
        </w:rPr>
      </w:pPr>
      <w:r w:rsidRPr="0008257D">
        <w:rPr>
          <w:rStyle w:val="FootnoteReference"/>
          <w:sz w:val="16"/>
          <w:szCs w:val="16"/>
        </w:rPr>
        <w:footnoteRef/>
      </w:r>
      <w:r w:rsidRPr="0008257D">
        <w:rPr>
          <w:sz w:val="16"/>
          <w:szCs w:val="16"/>
        </w:rPr>
        <w:t xml:space="preserve"> ibid </w:t>
      </w:r>
    </w:p>
  </w:footnote>
  <w:footnote w:id="190">
    <w:p w14:paraId="4E1F8D64" w14:textId="3DC59E35" w:rsidR="00100F8D" w:rsidRPr="0008257D" w:rsidRDefault="00100F8D">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Final project </w:t>
      </w:r>
      <w:r w:rsidR="009E5306" w:rsidRPr="0008257D">
        <w:rPr>
          <w:sz w:val="16"/>
          <w:szCs w:val="16"/>
          <w:lang w:val="en-CA"/>
        </w:rPr>
        <w:t>report</w:t>
      </w:r>
      <w:r w:rsidR="00E2039E" w:rsidRPr="0008257D">
        <w:rPr>
          <w:sz w:val="16"/>
          <w:szCs w:val="16"/>
          <w:lang w:val="en-CA"/>
        </w:rPr>
        <w:t>, March 2025</w:t>
      </w:r>
    </w:p>
  </w:footnote>
  <w:footnote w:id="191">
    <w:p w14:paraId="1BAE4537" w14:textId="76B7BEAA" w:rsidR="006A06E7" w:rsidRPr="0008257D" w:rsidRDefault="006A06E7">
      <w:pPr>
        <w:pStyle w:val="FootnoteText"/>
        <w:rPr>
          <w:sz w:val="16"/>
          <w:szCs w:val="16"/>
          <w:lang w:val="en-CA"/>
        </w:rPr>
      </w:pPr>
      <w:r w:rsidRPr="0008257D">
        <w:rPr>
          <w:rStyle w:val="FootnoteReference"/>
          <w:sz w:val="16"/>
          <w:szCs w:val="16"/>
        </w:rPr>
        <w:footnoteRef/>
      </w:r>
      <w:r w:rsidRPr="0008257D">
        <w:rPr>
          <w:sz w:val="16"/>
          <w:szCs w:val="16"/>
        </w:rPr>
        <w:t xml:space="preserve"> </w:t>
      </w:r>
      <w:r w:rsidR="00C62BCC" w:rsidRPr="0008257D">
        <w:rPr>
          <w:sz w:val="16"/>
          <w:szCs w:val="16"/>
          <w:lang w:val="en-CA"/>
        </w:rPr>
        <w:t>See Finding 3</w:t>
      </w:r>
    </w:p>
  </w:footnote>
  <w:footnote w:id="192">
    <w:p w14:paraId="501A143F" w14:textId="77777777" w:rsidR="00667B81" w:rsidRPr="0008257D" w:rsidRDefault="00667B81" w:rsidP="00667B81">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93">
    <w:p w14:paraId="7D65F100" w14:textId="06D66993" w:rsidR="00101D99" w:rsidRPr="0008257D" w:rsidRDefault="00101D99">
      <w:pPr>
        <w:pStyle w:val="FootnoteText"/>
        <w:rPr>
          <w:sz w:val="16"/>
          <w:szCs w:val="16"/>
          <w:lang w:val="en-CA"/>
        </w:rPr>
      </w:pPr>
      <w:r w:rsidRPr="0008257D">
        <w:rPr>
          <w:rStyle w:val="FootnoteReference"/>
          <w:sz w:val="16"/>
          <w:szCs w:val="16"/>
        </w:rPr>
        <w:footnoteRef/>
      </w:r>
      <w:r w:rsidRPr="0008257D">
        <w:rPr>
          <w:sz w:val="16"/>
          <w:szCs w:val="16"/>
        </w:rPr>
        <w:t xml:space="preserve"> </w:t>
      </w:r>
      <w:r w:rsidR="00261730" w:rsidRPr="0008257D">
        <w:rPr>
          <w:sz w:val="16"/>
          <w:szCs w:val="16"/>
          <w:lang w:val="en-CA"/>
        </w:rPr>
        <w:t>Discussed further under Finding 14</w:t>
      </w:r>
    </w:p>
  </w:footnote>
  <w:footnote w:id="194">
    <w:p w14:paraId="6D7A469C" w14:textId="77777777" w:rsidR="008C78CA" w:rsidRPr="00473109" w:rsidRDefault="008C78CA" w:rsidP="008C78CA">
      <w:pPr>
        <w:pStyle w:val="FootnoteText"/>
        <w:rPr>
          <w:lang w:val="en-CA"/>
        </w:rPr>
      </w:pPr>
      <w:r w:rsidRPr="0008257D">
        <w:rPr>
          <w:rStyle w:val="FootnoteReference"/>
          <w:sz w:val="16"/>
          <w:szCs w:val="16"/>
        </w:rPr>
        <w:footnoteRef/>
      </w:r>
      <w:r w:rsidRPr="0008257D">
        <w:rPr>
          <w:sz w:val="16"/>
          <w:szCs w:val="16"/>
        </w:rPr>
        <w:t xml:space="preserve"> </w:t>
      </w:r>
      <w:r w:rsidRPr="0008257D">
        <w:rPr>
          <w:sz w:val="16"/>
          <w:szCs w:val="16"/>
          <w:lang w:val="en-CA"/>
        </w:rPr>
        <w:t>Final project report, March 2025</w:t>
      </w:r>
    </w:p>
  </w:footnote>
  <w:footnote w:id="195">
    <w:p w14:paraId="356017B7" w14:textId="5581FC22" w:rsidR="008C78CA" w:rsidRPr="0008257D" w:rsidRDefault="008C78CA">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ibid</w:t>
      </w:r>
    </w:p>
  </w:footnote>
  <w:footnote w:id="196">
    <w:p w14:paraId="6D6B1B7E" w14:textId="63B77AEA" w:rsidR="001040CE" w:rsidRPr="0008257D" w:rsidRDefault="001040CE">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Finding 3</w:t>
      </w:r>
    </w:p>
  </w:footnote>
  <w:footnote w:id="197">
    <w:p w14:paraId="370B2BF7" w14:textId="02F54E32" w:rsidR="00D50C50" w:rsidRPr="00D50C50" w:rsidRDefault="00D50C50">
      <w:pPr>
        <w:pStyle w:val="FootnoteText"/>
        <w:rPr>
          <w:lang w:val="en-CA"/>
        </w:rPr>
      </w:pPr>
      <w:r w:rsidRPr="0008257D">
        <w:rPr>
          <w:rStyle w:val="FootnoteReference"/>
          <w:sz w:val="16"/>
          <w:szCs w:val="16"/>
        </w:rPr>
        <w:footnoteRef/>
      </w:r>
      <w:r w:rsidRPr="0008257D">
        <w:rPr>
          <w:sz w:val="16"/>
          <w:szCs w:val="16"/>
        </w:rPr>
        <w:t xml:space="preserve"> </w:t>
      </w:r>
      <w:r w:rsidR="00176155" w:rsidRPr="0008257D">
        <w:rPr>
          <w:sz w:val="16"/>
          <w:szCs w:val="16"/>
        </w:rPr>
        <w:t>Stakeholder consultation</w:t>
      </w:r>
      <w:r w:rsidR="00FA4151" w:rsidRPr="0008257D">
        <w:rPr>
          <w:sz w:val="16"/>
          <w:szCs w:val="16"/>
        </w:rPr>
        <w:t xml:space="preserve">s (Virtual; </w:t>
      </w:r>
      <w:r w:rsidR="00176155" w:rsidRPr="0008257D">
        <w:rPr>
          <w:sz w:val="16"/>
          <w:szCs w:val="16"/>
          <w:lang w:val="en-CA"/>
        </w:rPr>
        <w:t>Email exchange</w:t>
      </w:r>
      <w:r w:rsidR="00FA4151" w:rsidRPr="0008257D">
        <w:rPr>
          <w:sz w:val="16"/>
          <w:szCs w:val="16"/>
          <w:lang w:val="en-CA"/>
        </w:rPr>
        <w:t>)</w:t>
      </w:r>
      <w:r w:rsidR="008507FC" w:rsidRPr="0008257D">
        <w:rPr>
          <w:sz w:val="16"/>
          <w:szCs w:val="16"/>
          <w:lang w:val="en-CA"/>
        </w:rPr>
        <w:t>,May 8 – 23, 2025</w:t>
      </w:r>
    </w:p>
  </w:footnote>
  <w:footnote w:id="198">
    <w:p w14:paraId="14CDF1BF" w14:textId="24531A67" w:rsidR="00891295" w:rsidRPr="0008257D" w:rsidRDefault="00891295">
      <w:pPr>
        <w:pStyle w:val="FootnoteText"/>
        <w:rPr>
          <w:sz w:val="16"/>
          <w:szCs w:val="16"/>
          <w:lang w:val="en-CA"/>
        </w:rPr>
      </w:pPr>
      <w:r w:rsidRPr="0008257D">
        <w:rPr>
          <w:rStyle w:val="FootnoteReference"/>
          <w:sz w:val="16"/>
          <w:szCs w:val="16"/>
        </w:rPr>
        <w:footnoteRef/>
      </w:r>
      <w:r w:rsidRPr="0008257D">
        <w:rPr>
          <w:sz w:val="16"/>
          <w:szCs w:val="16"/>
        </w:rPr>
        <w:t xml:space="preserve"> </w:t>
      </w:r>
      <w:r w:rsidR="008410B6">
        <w:rPr>
          <w:sz w:val="16"/>
          <w:szCs w:val="16"/>
          <w:lang w:val="en-CA"/>
        </w:rPr>
        <w:t>Draft project document</w:t>
      </w:r>
      <w:r w:rsidRPr="0008257D">
        <w:rPr>
          <w:sz w:val="16"/>
          <w:szCs w:val="16"/>
          <w:lang w:val="en-CA"/>
        </w:rPr>
        <w:t>, Section 6, p.27</w:t>
      </w:r>
    </w:p>
  </w:footnote>
  <w:footnote w:id="199">
    <w:p w14:paraId="1F7A2B52" w14:textId="73029D8D" w:rsidR="009F4BFA" w:rsidRPr="0008257D" w:rsidRDefault="009F4BFA">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 xml:space="preserve">The </w:t>
      </w:r>
      <w:r w:rsidR="00EB60C5" w:rsidRPr="0008257D">
        <w:rPr>
          <w:sz w:val="16"/>
          <w:szCs w:val="16"/>
          <w:lang w:val="en-CA"/>
        </w:rPr>
        <w:t>contribution of UNDESA-</w:t>
      </w:r>
      <w:r w:rsidRPr="0008257D">
        <w:rPr>
          <w:sz w:val="16"/>
          <w:szCs w:val="16"/>
          <w:lang w:val="en-CA"/>
        </w:rPr>
        <w:t>CDPMO</w:t>
      </w:r>
      <w:r w:rsidR="00264829" w:rsidRPr="0008257D">
        <w:rPr>
          <w:sz w:val="16"/>
          <w:szCs w:val="16"/>
          <w:lang w:val="en-CA"/>
        </w:rPr>
        <w:t xml:space="preserve"> </w:t>
      </w:r>
      <w:r w:rsidR="00EB60C5" w:rsidRPr="0008257D">
        <w:rPr>
          <w:sz w:val="16"/>
          <w:szCs w:val="16"/>
          <w:lang w:val="en-CA"/>
        </w:rPr>
        <w:t xml:space="preserve">to </w:t>
      </w:r>
      <w:r w:rsidR="00C66949" w:rsidRPr="0008257D">
        <w:rPr>
          <w:sz w:val="16"/>
          <w:szCs w:val="16"/>
          <w:lang w:val="en-CA"/>
        </w:rPr>
        <w:t xml:space="preserve">the </w:t>
      </w:r>
      <w:r w:rsidR="00264829" w:rsidRPr="0008257D">
        <w:rPr>
          <w:sz w:val="16"/>
          <w:szCs w:val="16"/>
          <w:lang w:val="en-CA"/>
        </w:rPr>
        <w:t xml:space="preserve">project </w:t>
      </w:r>
      <w:r w:rsidR="008750B1" w:rsidRPr="0008257D">
        <w:rPr>
          <w:sz w:val="16"/>
          <w:szCs w:val="16"/>
          <w:lang w:val="en-CA"/>
        </w:rPr>
        <w:t>was c</w:t>
      </w:r>
      <w:r w:rsidR="00C66949" w:rsidRPr="0008257D">
        <w:rPr>
          <w:sz w:val="16"/>
          <w:szCs w:val="16"/>
          <w:lang w:val="en-CA"/>
        </w:rPr>
        <w:t xml:space="preserve">larified </w:t>
      </w:r>
      <w:r w:rsidR="008750B1" w:rsidRPr="0008257D">
        <w:rPr>
          <w:sz w:val="16"/>
          <w:szCs w:val="16"/>
          <w:lang w:val="en-CA"/>
        </w:rPr>
        <w:t xml:space="preserve">in </w:t>
      </w:r>
      <w:r w:rsidR="00EB60C5" w:rsidRPr="0008257D">
        <w:rPr>
          <w:sz w:val="16"/>
          <w:szCs w:val="16"/>
          <w:lang w:val="en-CA"/>
        </w:rPr>
        <w:t xml:space="preserve">the </w:t>
      </w:r>
      <w:r w:rsidR="008750B1" w:rsidRPr="0008257D">
        <w:rPr>
          <w:sz w:val="16"/>
          <w:szCs w:val="16"/>
          <w:lang w:val="en-CA"/>
        </w:rPr>
        <w:t xml:space="preserve">feedback </w:t>
      </w:r>
      <w:r w:rsidR="00EB60C5" w:rsidRPr="0008257D">
        <w:rPr>
          <w:sz w:val="16"/>
          <w:szCs w:val="16"/>
          <w:lang w:val="en-CA"/>
        </w:rPr>
        <w:t xml:space="preserve">that was provided </w:t>
      </w:r>
      <w:r w:rsidR="008750B1" w:rsidRPr="0008257D">
        <w:rPr>
          <w:sz w:val="16"/>
          <w:szCs w:val="16"/>
          <w:lang w:val="en-CA"/>
        </w:rPr>
        <w:t>on the draft report</w:t>
      </w:r>
      <w:r w:rsidR="00B3282D" w:rsidRPr="0008257D">
        <w:rPr>
          <w:sz w:val="16"/>
          <w:szCs w:val="16"/>
          <w:lang w:val="en-CA"/>
        </w:rPr>
        <w:t xml:space="preserve">. </w:t>
      </w:r>
      <w:r w:rsidR="00F84D24" w:rsidRPr="0008257D">
        <w:rPr>
          <w:sz w:val="16"/>
          <w:szCs w:val="16"/>
          <w:lang w:val="en-CA"/>
        </w:rPr>
        <w:t xml:space="preserve">According to </w:t>
      </w:r>
      <w:r w:rsidR="008750B1" w:rsidRPr="0008257D">
        <w:rPr>
          <w:sz w:val="16"/>
          <w:szCs w:val="16"/>
          <w:lang w:val="en-CA"/>
        </w:rPr>
        <w:t xml:space="preserve">the project document </w:t>
      </w:r>
      <w:r w:rsidR="00160215" w:rsidRPr="0008257D">
        <w:rPr>
          <w:sz w:val="16"/>
          <w:szCs w:val="16"/>
          <w:lang w:val="en-CA"/>
        </w:rPr>
        <w:t>(Section 6, p. 27)</w:t>
      </w:r>
      <w:r w:rsidR="00F84D24" w:rsidRPr="0008257D">
        <w:rPr>
          <w:sz w:val="16"/>
          <w:szCs w:val="16"/>
          <w:lang w:val="en-CA"/>
        </w:rPr>
        <w:t xml:space="preserve">, however, </w:t>
      </w:r>
      <w:r w:rsidR="00160215" w:rsidRPr="0008257D">
        <w:rPr>
          <w:sz w:val="16"/>
          <w:szCs w:val="16"/>
          <w:lang w:val="en-CA"/>
        </w:rPr>
        <w:t xml:space="preserve">the PCT should have </w:t>
      </w:r>
      <w:r w:rsidR="004E51A2" w:rsidRPr="0008257D">
        <w:rPr>
          <w:sz w:val="16"/>
          <w:szCs w:val="16"/>
          <w:lang w:val="en-CA"/>
        </w:rPr>
        <w:t xml:space="preserve">included </w:t>
      </w:r>
      <w:r w:rsidR="00160215" w:rsidRPr="0008257D">
        <w:rPr>
          <w:sz w:val="16"/>
          <w:szCs w:val="16"/>
          <w:lang w:val="en-CA"/>
        </w:rPr>
        <w:t xml:space="preserve">a focal point from CDPMO </w:t>
      </w:r>
      <w:r w:rsidR="004E51A2" w:rsidRPr="0008257D">
        <w:rPr>
          <w:sz w:val="16"/>
          <w:szCs w:val="16"/>
          <w:lang w:val="en-CA"/>
        </w:rPr>
        <w:t>to support the progress monitoring of project implementation.</w:t>
      </w:r>
    </w:p>
  </w:footnote>
  <w:footnote w:id="200">
    <w:p w14:paraId="2F674660" w14:textId="6909EE29" w:rsidR="00227272" w:rsidRPr="00227272" w:rsidRDefault="00227272">
      <w:pPr>
        <w:pStyle w:val="FootnoteText"/>
        <w:rPr>
          <w:lang w:val="en-CA"/>
        </w:rPr>
      </w:pPr>
      <w:r w:rsidRPr="0008257D">
        <w:rPr>
          <w:rStyle w:val="FootnoteReference"/>
          <w:sz w:val="16"/>
          <w:szCs w:val="16"/>
        </w:rPr>
        <w:footnoteRef/>
      </w:r>
      <w:r w:rsidRPr="0008257D">
        <w:rPr>
          <w:sz w:val="16"/>
          <w:szCs w:val="16"/>
        </w:rPr>
        <w:t xml:space="preserve"> </w:t>
      </w:r>
      <w:r w:rsidR="008410B6">
        <w:rPr>
          <w:sz w:val="16"/>
          <w:szCs w:val="16"/>
          <w:lang w:val="en-CA"/>
        </w:rPr>
        <w:t>Draft project document</w:t>
      </w:r>
      <w:r w:rsidR="00067755" w:rsidRPr="0008257D">
        <w:rPr>
          <w:sz w:val="16"/>
          <w:szCs w:val="16"/>
          <w:lang w:val="en-CA"/>
        </w:rPr>
        <w:t>, Section 6, p.27</w:t>
      </w:r>
      <w:r w:rsidR="00891295">
        <w:t xml:space="preserve"> </w:t>
      </w:r>
    </w:p>
  </w:footnote>
  <w:footnote w:id="201">
    <w:p w14:paraId="7E7670F2" w14:textId="12D02E35" w:rsidR="004A0182" w:rsidRPr="0008257D" w:rsidRDefault="004A0182">
      <w:pPr>
        <w:pStyle w:val="FootnoteText"/>
        <w:rPr>
          <w:sz w:val="16"/>
          <w:szCs w:val="16"/>
          <w:lang w:val="en-CA"/>
        </w:rPr>
      </w:pPr>
      <w:r w:rsidRPr="0008257D">
        <w:rPr>
          <w:rStyle w:val="FootnoteReference"/>
          <w:sz w:val="16"/>
          <w:szCs w:val="16"/>
        </w:rPr>
        <w:footnoteRef/>
      </w:r>
      <w:r w:rsidRPr="0008257D">
        <w:rPr>
          <w:sz w:val="16"/>
          <w:szCs w:val="16"/>
        </w:rPr>
        <w:t xml:space="preserve"> </w:t>
      </w:r>
      <w:r w:rsidR="00FD4A1B" w:rsidRPr="0008257D">
        <w:rPr>
          <w:sz w:val="16"/>
          <w:szCs w:val="16"/>
          <w:lang w:val="en-CA"/>
        </w:rPr>
        <w:t>Key informant</w:t>
      </w:r>
      <w:r w:rsidR="001446E9" w:rsidRPr="0008257D">
        <w:rPr>
          <w:sz w:val="16"/>
          <w:szCs w:val="16"/>
          <w:lang w:val="en-CA"/>
        </w:rPr>
        <w:t xml:space="preserve"> consultations, January – </w:t>
      </w:r>
      <w:r w:rsidR="00FD4A1B" w:rsidRPr="0008257D">
        <w:rPr>
          <w:sz w:val="16"/>
          <w:szCs w:val="16"/>
          <w:lang w:val="en-CA"/>
        </w:rPr>
        <w:t xml:space="preserve">September </w:t>
      </w:r>
      <w:r w:rsidR="001446E9" w:rsidRPr="0008257D">
        <w:rPr>
          <w:sz w:val="16"/>
          <w:szCs w:val="16"/>
          <w:lang w:val="en-CA"/>
        </w:rPr>
        <w:t>2025</w:t>
      </w:r>
    </w:p>
  </w:footnote>
  <w:footnote w:id="202">
    <w:p w14:paraId="4CB882D7" w14:textId="24F9E2CE" w:rsidR="00D856E8" w:rsidRPr="0008257D" w:rsidRDefault="00D856E8">
      <w:pPr>
        <w:pStyle w:val="FootnoteText"/>
        <w:rPr>
          <w:sz w:val="16"/>
          <w:szCs w:val="16"/>
          <w:lang w:val="en-CA"/>
        </w:rPr>
      </w:pPr>
      <w:r w:rsidRPr="0008257D">
        <w:rPr>
          <w:rStyle w:val="FootnoteReference"/>
          <w:sz w:val="16"/>
          <w:szCs w:val="16"/>
        </w:rPr>
        <w:footnoteRef/>
      </w:r>
      <w:r w:rsidRPr="0008257D">
        <w:rPr>
          <w:sz w:val="16"/>
          <w:szCs w:val="16"/>
        </w:rPr>
        <w:t xml:space="preserve"> </w:t>
      </w:r>
      <w:r w:rsidR="008410B6">
        <w:rPr>
          <w:sz w:val="16"/>
          <w:szCs w:val="16"/>
        </w:rPr>
        <w:t>Draft project document</w:t>
      </w:r>
      <w:r w:rsidR="00835301" w:rsidRPr="0008257D">
        <w:rPr>
          <w:sz w:val="16"/>
          <w:szCs w:val="16"/>
        </w:rPr>
        <w:t>, Section 6, p.27</w:t>
      </w:r>
    </w:p>
  </w:footnote>
  <w:footnote w:id="203">
    <w:p w14:paraId="45954B33" w14:textId="56F31F33" w:rsidR="007E76BE" w:rsidRPr="0008257D" w:rsidRDefault="007E76BE">
      <w:pPr>
        <w:pStyle w:val="FootnoteText"/>
        <w:rPr>
          <w:sz w:val="16"/>
          <w:szCs w:val="16"/>
          <w:lang w:val="en-CA"/>
        </w:rPr>
      </w:pPr>
      <w:r w:rsidRPr="0008257D">
        <w:rPr>
          <w:rStyle w:val="FootnoteReference"/>
          <w:sz w:val="16"/>
          <w:szCs w:val="16"/>
        </w:rPr>
        <w:footnoteRef/>
      </w:r>
      <w:r w:rsidRPr="0008257D">
        <w:rPr>
          <w:sz w:val="16"/>
          <w:szCs w:val="16"/>
        </w:rPr>
        <w:t xml:space="preserve"> </w:t>
      </w:r>
      <w:hyperlink r:id="rId77" w:history="1">
        <w:r w:rsidR="00D56AFE" w:rsidRPr="0008257D">
          <w:rPr>
            <w:rStyle w:val="Hyperlink"/>
            <w:sz w:val="16"/>
            <w:szCs w:val="16"/>
          </w:rPr>
          <w:t>https://inff.org/assets/resource/inff_inception-phase_final-(1).pdf</w:t>
        </w:r>
      </w:hyperlink>
      <w:r w:rsidR="00D56AFE" w:rsidRPr="0008257D">
        <w:rPr>
          <w:sz w:val="16"/>
          <w:szCs w:val="16"/>
        </w:rPr>
        <w:t xml:space="preserve"> </w:t>
      </w:r>
    </w:p>
  </w:footnote>
  <w:footnote w:id="204">
    <w:p w14:paraId="4E002409" w14:textId="77777777" w:rsidR="001B1592" w:rsidRPr="0008257D" w:rsidRDefault="001B1592" w:rsidP="001B1592">
      <w:pPr>
        <w:pStyle w:val="FootnoteText"/>
        <w:rPr>
          <w:sz w:val="16"/>
          <w:szCs w:val="16"/>
          <w:lang w:val="en-CA"/>
        </w:rPr>
      </w:pPr>
      <w:r w:rsidRPr="0008257D">
        <w:rPr>
          <w:rStyle w:val="FootnoteReference"/>
          <w:sz w:val="16"/>
          <w:szCs w:val="16"/>
        </w:rPr>
        <w:footnoteRef/>
      </w:r>
      <w:r w:rsidRPr="0008257D">
        <w:rPr>
          <w:sz w:val="16"/>
          <w:szCs w:val="16"/>
        </w:rPr>
        <w:t xml:space="preserve"> </w:t>
      </w:r>
      <w:r w:rsidRPr="0008257D">
        <w:rPr>
          <w:sz w:val="16"/>
          <w:szCs w:val="16"/>
          <w:lang w:val="en-CA"/>
        </w:rPr>
        <w:t>See sub-Section 2.1</w:t>
      </w:r>
    </w:p>
  </w:footnote>
  <w:footnote w:id="205">
    <w:p w14:paraId="01EBF676" w14:textId="1437E424" w:rsidR="002C65C9" w:rsidRPr="002C65C9" w:rsidRDefault="002C65C9">
      <w:pPr>
        <w:pStyle w:val="FootnoteText"/>
        <w:rPr>
          <w:lang w:val="en-CA"/>
        </w:rPr>
      </w:pPr>
      <w:r>
        <w:rPr>
          <w:rStyle w:val="FootnoteReference"/>
        </w:rPr>
        <w:footnoteRef/>
      </w:r>
      <w:r>
        <w:t xml:space="preserve"> </w:t>
      </w:r>
      <w:r w:rsidR="008410B6">
        <w:rPr>
          <w:sz w:val="16"/>
          <w:szCs w:val="16"/>
        </w:rPr>
        <w:t>Draft project document</w:t>
      </w:r>
      <w:r w:rsidR="00D52DA8" w:rsidRPr="0008257D">
        <w:rPr>
          <w:sz w:val="16"/>
          <w:szCs w:val="16"/>
        </w:rPr>
        <w:t>, sub-Section 4.1, p.</w:t>
      </w:r>
      <w:r w:rsidR="00D52DA8">
        <w:rPr>
          <w:sz w:val="16"/>
          <w:szCs w:val="16"/>
        </w:rPr>
        <w:t>19</w:t>
      </w:r>
    </w:p>
  </w:footnote>
  <w:footnote w:id="206">
    <w:p w14:paraId="3B996245" w14:textId="4F0555BF" w:rsidR="00C27836" w:rsidRPr="002E22A1" w:rsidRDefault="00C27836">
      <w:pPr>
        <w:pStyle w:val="FootnoteText"/>
        <w:rPr>
          <w:sz w:val="16"/>
          <w:szCs w:val="16"/>
          <w:lang w:val="en-CA"/>
        </w:rPr>
      </w:pPr>
      <w:r w:rsidRPr="002E22A1">
        <w:rPr>
          <w:rStyle w:val="FootnoteReference"/>
          <w:sz w:val="16"/>
          <w:szCs w:val="16"/>
        </w:rPr>
        <w:footnoteRef/>
      </w:r>
      <w:r w:rsidRPr="002E22A1">
        <w:rPr>
          <w:sz w:val="16"/>
          <w:szCs w:val="16"/>
        </w:rPr>
        <w:t xml:space="preserve"> </w:t>
      </w:r>
      <w:r w:rsidR="0007721B" w:rsidRPr="002E22A1">
        <w:rPr>
          <w:sz w:val="16"/>
          <w:szCs w:val="16"/>
        </w:rPr>
        <w:t xml:space="preserve">ibid </w:t>
      </w:r>
    </w:p>
  </w:footnote>
  <w:footnote w:id="207">
    <w:p w14:paraId="5B6B1D50" w14:textId="061D4194" w:rsidR="00111113" w:rsidRPr="00111113" w:rsidRDefault="00111113">
      <w:pPr>
        <w:pStyle w:val="FootnoteText"/>
        <w:rPr>
          <w:lang w:val="en-CA"/>
        </w:rPr>
      </w:pPr>
      <w:r w:rsidRPr="002E22A1">
        <w:rPr>
          <w:rStyle w:val="FootnoteReference"/>
          <w:sz w:val="16"/>
          <w:szCs w:val="16"/>
        </w:rPr>
        <w:footnoteRef/>
      </w:r>
      <w:r w:rsidRPr="002E22A1">
        <w:rPr>
          <w:sz w:val="16"/>
          <w:szCs w:val="16"/>
        </w:rPr>
        <w:t xml:space="preserve"> </w:t>
      </w:r>
      <w:r w:rsidR="002E22A1" w:rsidRPr="002E22A1">
        <w:rPr>
          <w:sz w:val="16"/>
          <w:szCs w:val="16"/>
          <w:lang w:val="en-CA"/>
        </w:rPr>
        <w:t>Also see Finding 9</w:t>
      </w:r>
    </w:p>
  </w:footnote>
  <w:footnote w:id="208">
    <w:p w14:paraId="0CDC351B" w14:textId="4E11077E" w:rsidR="00601917" w:rsidRPr="004C3656" w:rsidRDefault="00601917">
      <w:pPr>
        <w:pStyle w:val="FootnoteText"/>
        <w:rPr>
          <w:sz w:val="16"/>
          <w:szCs w:val="16"/>
          <w:lang w:val="en-CA"/>
        </w:rPr>
      </w:pPr>
      <w:r w:rsidRPr="004C3656">
        <w:rPr>
          <w:rStyle w:val="FootnoteReference"/>
          <w:sz w:val="16"/>
          <w:szCs w:val="16"/>
        </w:rPr>
        <w:footnoteRef/>
      </w:r>
      <w:r w:rsidRPr="004C3656">
        <w:rPr>
          <w:sz w:val="16"/>
          <w:szCs w:val="16"/>
        </w:rPr>
        <w:t xml:space="preserve"> </w:t>
      </w:r>
      <w:r w:rsidR="00FF23DC" w:rsidRPr="004C3656">
        <w:rPr>
          <w:sz w:val="16"/>
          <w:szCs w:val="16"/>
          <w:lang w:val="en-CA"/>
        </w:rPr>
        <w:t>See sub-Section 2.4</w:t>
      </w:r>
    </w:p>
  </w:footnote>
  <w:footnote w:id="209">
    <w:p w14:paraId="78DCC814" w14:textId="1E3865B3" w:rsidR="00C37BF5" w:rsidRPr="00C37BF5" w:rsidRDefault="00C37BF5">
      <w:pPr>
        <w:pStyle w:val="FootnoteText"/>
        <w:rPr>
          <w:lang w:val="en-CA"/>
        </w:rPr>
      </w:pPr>
      <w:r w:rsidRPr="004C3656">
        <w:rPr>
          <w:rStyle w:val="FootnoteReference"/>
          <w:sz w:val="16"/>
          <w:szCs w:val="16"/>
        </w:rPr>
        <w:footnoteRef/>
      </w:r>
      <w:r w:rsidRPr="004C3656">
        <w:rPr>
          <w:sz w:val="16"/>
          <w:szCs w:val="16"/>
        </w:rPr>
        <w:t xml:space="preserve"> </w:t>
      </w:r>
      <w:r w:rsidR="00604B30" w:rsidRPr="004C3656">
        <w:rPr>
          <w:sz w:val="16"/>
          <w:szCs w:val="16"/>
          <w:lang w:val="en-CA"/>
        </w:rPr>
        <w:t>See Annex 2: Theory of change/ Results framework</w:t>
      </w:r>
    </w:p>
  </w:footnote>
  <w:footnote w:id="210">
    <w:p w14:paraId="7427444E" w14:textId="1D86E80F" w:rsidR="00423F23" w:rsidRPr="004C3656" w:rsidRDefault="00423F23">
      <w:pPr>
        <w:pStyle w:val="FootnoteText"/>
        <w:rPr>
          <w:sz w:val="16"/>
          <w:szCs w:val="16"/>
          <w:lang w:val="en-CA"/>
        </w:rPr>
      </w:pPr>
      <w:r w:rsidRPr="004C3656">
        <w:rPr>
          <w:rStyle w:val="FootnoteReference"/>
          <w:sz w:val="16"/>
          <w:szCs w:val="16"/>
        </w:rPr>
        <w:footnoteRef/>
      </w:r>
      <w:r w:rsidRPr="004C3656">
        <w:rPr>
          <w:sz w:val="16"/>
          <w:szCs w:val="16"/>
        </w:rPr>
        <w:t xml:space="preserve"> </w:t>
      </w:r>
      <w:hyperlink r:id="rId78" w:history="1">
        <w:r w:rsidR="00653D23" w:rsidRPr="004C3656">
          <w:rPr>
            <w:rStyle w:val="Hyperlink"/>
            <w:sz w:val="16"/>
            <w:szCs w:val="16"/>
          </w:rPr>
          <w:t>https://www.oecd.org/en/publications/applying-evaluation-criteria-thoughtfully_543e84ed-en/full-report.html</w:t>
        </w:r>
      </w:hyperlink>
      <w:r w:rsidR="00653D23" w:rsidRPr="004C3656">
        <w:rPr>
          <w:sz w:val="16"/>
          <w:szCs w:val="16"/>
        </w:rPr>
        <w:t xml:space="preserve"> </w:t>
      </w:r>
    </w:p>
  </w:footnote>
  <w:footnote w:id="211">
    <w:p w14:paraId="00D8FD39" w14:textId="352D5254" w:rsidR="00DA1DD9" w:rsidRPr="004C3656" w:rsidRDefault="00DA1DD9">
      <w:pPr>
        <w:pStyle w:val="FootnoteText"/>
        <w:rPr>
          <w:sz w:val="16"/>
          <w:szCs w:val="16"/>
          <w:lang w:val="en-CA"/>
        </w:rPr>
      </w:pPr>
      <w:r w:rsidRPr="004C3656">
        <w:rPr>
          <w:rStyle w:val="FootnoteReference"/>
          <w:sz w:val="16"/>
          <w:szCs w:val="16"/>
        </w:rPr>
        <w:footnoteRef/>
      </w:r>
      <w:r w:rsidRPr="004C3656">
        <w:rPr>
          <w:sz w:val="16"/>
          <w:szCs w:val="16"/>
        </w:rPr>
        <w:t xml:space="preserve"> </w:t>
      </w:r>
      <w:r w:rsidR="00B529EA" w:rsidRPr="004C3656">
        <w:rPr>
          <w:sz w:val="16"/>
          <w:szCs w:val="16"/>
        </w:rPr>
        <w:t xml:space="preserve">To ensure </w:t>
      </w:r>
      <w:r w:rsidR="00B21CAB" w:rsidRPr="004C3656">
        <w:rPr>
          <w:sz w:val="16"/>
          <w:szCs w:val="16"/>
        </w:rPr>
        <w:t xml:space="preserve">structured </w:t>
      </w:r>
      <w:r w:rsidRPr="004C3656">
        <w:rPr>
          <w:sz w:val="16"/>
          <w:szCs w:val="16"/>
          <w:lang w:val="en-CA"/>
        </w:rPr>
        <w:t xml:space="preserve">analysis, the potential for </w:t>
      </w:r>
      <w:r w:rsidR="00E64415" w:rsidRPr="004C3656">
        <w:rPr>
          <w:sz w:val="16"/>
          <w:szCs w:val="16"/>
          <w:lang w:val="en-CA"/>
        </w:rPr>
        <w:t xml:space="preserve">results scalability/ replication will be addressed under </w:t>
      </w:r>
      <w:r w:rsidR="00B529EA" w:rsidRPr="004C3656">
        <w:rPr>
          <w:sz w:val="16"/>
          <w:szCs w:val="16"/>
          <w:lang w:val="en-CA"/>
        </w:rPr>
        <w:t xml:space="preserve">sub-Section </w:t>
      </w:r>
      <w:r w:rsidR="00B21CAB" w:rsidRPr="004C3656">
        <w:rPr>
          <w:sz w:val="16"/>
          <w:szCs w:val="16"/>
          <w:lang w:val="en-CA"/>
        </w:rPr>
        <w:t>5.7: Sustai</w:t>
      </w:r>
      <w:r w:rsidR="00F165C2" w:rsidRPr="004C3656">
        <w:rPr>
          <w:sz w:val="16"/>
          <w:szCs w:val="16"/>
          <w:lang w:val="en-CA"/>
        </w:rPr>
        <w:t>nability.</w:t>
      </w:r>
    </w:p>
  </w:footnote>
  <w:footnote w:id="212">
    <w:p w14:paraId="074E0464" w14:textId="06954C54" w:rsidR="006D1B38" w:rsidRPr="004C3656" w:rsidRDefault="006D1B38">
      <w:pPr>
        <w:pStyle w:val="FootnoteText"/>
        <w:rPr>
          <w:sz w:val="16"/>
          <w:szCs w:val="16"/>
          <w:lang w:val="en-CA"/>
        </w:rPr>
      </w:pPr>
      <w:r w:rsidRPr="004C3656">
        <w:rPr>
          <w:rStyle w:val="FootnoteReference"/>
          <w:sz w:val="16"/>
          <w:szCs w:val="16"/>
        </w:rPr>
        <w:footnoteRef/>
      </w:r>
      <w:r w:rsidRPr="004C3656">
        <w:rPr>
          <w:sz w:val="16"/>
          <w:szCs w:val="16"/>
        </w:rPr>
        <w:t xml:space="preserve"> </w:t>
      </w:r>
      <w:r w:rsidRPr="004C3656">
        <w:rPr>
          <w:sz w:val="16"/>
          <w:szCs w:val="16"/>
          <w:lang w:val="en-CA"/>
        </w:rPr>
        <w:t xml:space="preserve">See Finding </w:t>
      </w:r>
      <w:r w:rsidR="00574C9A" w:rsidRPr="004C3656">
        <w:rPr>
          <w:sz w:val="16"/>
          <w:szCs w:val="16"/>
          <w:lang w:val="en-CA"/>
        </w:rPr>
        <w:t>7</w:t>
      </w:r>
    </w:p>
  </w:footnote>
  <w:footnote w:id="213">
    <w:p w14:paraId="2FB1B093" w14:textId="0EB63DAE" w:rsidR="003E31FA" w:rsidRPr="004C3656" w:rsidRDefault="003E31FA">
      <w:pPr>
        <w:pStyle w:val="FootnoteText"/>
        <w:rPr>
          <w:sz w:val="16"/>
          <w:szCs w:val="16"/>
          <w:lang w:val="en-CA"/>
        </w:rPr>
      </w:pPr>
      <w:r w:rsidRPr="004C3656">
        <w:rPr>
          <w:rStyle w:val="FootnoteReference"/>
          <w:sz w:val="16"/>
          <w:szCs w:val="16"/>
        </w:rPr>
        <w:footnoteRef/>
      </w:r>
      <w:r w:rsidRPr="004C3656">
        <w:rPr>
          <w:sz w:val="16"/>
          <w:szCs w:val="16"/>
        </w:rPr>
        <w:t xml:space="preserve"> </w:t>
      </w:r>
      <w:r w:rsidR="00E22D1E" w:rsidRPr="004C3656">
        <w:rPr>
          <w:sz w:val="16"/>
          <w:szCs w:val="16"/>
        </w:rPr>
        <w:t>As there has been alignment between core project activities and t</w:t>
      </w:r>
      <w:r w:rsidR="001B5EE6" w:rsidRPr="004C3656">
        <w:rPr>
          <w:sz w:val="16"/>
          <w:szCs w:val="16"/>
          <w:lang w:val="en-CA"/>
        </w:rPr>
        <w:t>he Sevilla Commitment</w:t>
      </w:r>
      <w:r w:rsidR="00E22D1E" w:rsidRPr="004C3656">
        <w:rPr>
          <w:sz w:val="16"/>
          <w:szCs w:val="16"/>
          <w:lang w:val="en-CA"/>
        </w:rPr>
        <w:t xml:space="preserve">, </w:t>
      </w:r>
      <w:r w:rsidR="00F022F3" w:rsidRPr="004C3656">
        <w:rPr>
          <w:sz w:val="16"/>
          <w:szCs w:val="16"/>
          <w:lang w:val="en-CA"/>
        </w:rPr>
        <w:t xml:space="preserve">the link to results </w:t>
      </w:r>
      <w:r w:rsidR="00342E75">
        <w:rPr>
          <w:sz w:val="16"/>
          <w:szCs w:val="16"/>
          <w:lang w:val="en-CA"/>
        </w:rPr>
        <w:t>achievement</w:t>
      </w:r>
      <w:r w:rsidR="00264AB9">
        <w:rPr>
          <w:sz w:val="16"/>
          <w:szCs w:val="16"/>
          <w:lang w:val="en-CA"/>
        </w:rPr>
        <w:t xml:space="preserve"> within</w:t>
      </w:r>
      <w:r w:rsidR="00F022F3" w:rsidRPr="004C3656">
        <w:rPr>
          <w:sz w:val="16"/>
          <w:szCs w:val="16"/>
          <w:lang w:val="en-CA"/>
        </w:rPr>
        <w:t xml:space="preserve"> the target countries will be discussed </w:t>
      </w:r>
      <w:r w:rsidR="00E22D1E" w:rsidRPr="004C3656">
        <w:rPr>
          <w:sz w:val="16"/>
          <w:szCs w:val="16"/>
          <w:lang w:val="en-CA"/>
        </w:rPr>
        <w:t>further under sub-Section</w:t>
      </w:r>
      <w:r w:rsidR="00F022F3" w:rsidRPr="004C3656">
        <w:rPr>
          <w:sz w:val="16"/>
          <w:szCs w:val="16"/>
          <w:lang w:val="en-CA"/>
        </w:rPr>
        <w:t xml:space="preserve"> 5.7: Sustainability</w:t>
      </w:r>
      <w:r w:rsidR="00A95C0D" w:rsidRPr="004C3656">
        <w:rPr>
          <w:sz w:val="16"/>
          <w:szCs w:val="16"/>
          <w:lang w:val="en-CA"/>
        </w:rPr>
        <w:t>.</w:t>
      </w:r>
    </w:p>
  </w:footnote>
  <w:footnote w:id="214">
    <w:p w14:paraId="29C7135A" w14:textId="1E1EB470" w:rsidR="00407AA8" w:rsidRPr="00407AA8" w:rsidRDefault="00407AA8">
      <w:pPr>
        <w:pStyle w:val="FootnoteText"/>
        <w:rPr>
          <w:lang w:val="en-CA"/>
        </w:rPr>
      </w:pPr>
      <w:r w:rsidRPr="004C3656">
        <w:rPr>
          <w:rStyle w:val="FootnoteReference"/>
          <w:sz w:val="16"/>
          <w:szCs w:val="16"/>
        </w:rPr>
        <w:footnoteRef/>
      </w:r>
      <w:r w:rsidRPr="004C3656">
        <w:rPr>
          <w:sz w:val="16"/>
          <w:szCs w:val="16"/>
        </w:rPr>
        <w:t xml:space="preserve"> </w:t>
      </w:r>
      <w:r w:rsidRPr="004C3656">
        <w:rPr>
          <w:sz w:val="16"/>
          <w:szCs w:val="16"/>
          <w:lang w:val="en-CA"/>
        </w:rPr>
        <w:t>ibid; Also see Finding 6</w:t>
      </w:r>
    </w:p>
  </w:footnote>
  <w:footnote w:id="215">
    <w:p w14:paraId="6113FA70" w14:textId="4713E88F" w:rsidR="00934487" w:rsidRPr="004C3656" w:rsidRDefault="00934487">
      <w:pPr>
        <w:pStyle w:val="FootnoteText"/>
        <w:rPr>
          <w:sz w:val="16"/>
          <w:szCs w:val="16"/>
          <w:lang w:val="en-CA"/>
        </w:rPr>
      </w:pPr>
      <w:r w:rsidRPr="004C3656">
        <w:rPr>
          <w:rStyle w:val="FootnoteReference"/>
          <w:sz w:val="16"/>
          <w:szCs w:val="16"/>
        </w:rPr>
        <w:footnoteRef/>
      </w:r>
      <w:r w:rsidRPr="004C3656">
        <w:rPr>
          <w:sz w:val="16"/>
          <w:szCs w:val="16"/>
        </w:rPr>
        <w:t xml:space="preserve"> </w:t>
      </w:r>
      <w:r w:rsidRPr="004C3656">
        <w:rPr>
          <w:sz w:val="16"/>
          <w:szCs w:val="16"/>
          <w:lang w:val="en-CA"/>
        </w:rPr>
        <w:t>See Annex 2: Theory of change/ Results framework</w:t>
      </w:r>
    </w:p>
  </w:footnote>
  <w:footnote w:id="216">
    <w:p w14:paraId="52168B7B" w14:textId="77777777" w:rsidR="009B6CAE" w:rsidRPr="004C3656" w:rsidRDefault="009B6CAE" w:rsidP="00F85D00">
      <w:pPr>
        <w:pStyle w:val="FootnoteText"/>
        <w:rPr>
          <w:sz w:val="16"/>
          <w:szCs w:val="16"/>
          <w:lang w:val="en-CA"/>
        </w:rPr>
      </w:pPr>
      <w:r w:rsidRPr="004C3656">
        <w:rPr>
          <w:rStyle w:val="FootnoteReference"/>
          <w:sz w:val="16"/>
          <w:szCs w:val="16"/>
        </w:rPr>
        <w:footnoteRef/>
      </w:r>
      <w:r w:rsidRPr="004C3656">
        <w:rPr>
          <w:sz w:val="16"/>
          <w:szCs w:val="16"/>
        </w:rPr>
        <w:t xml:space="preserve"> </w:t>
      </w:r>
      <w:r w:rsidRPr="004C3656">
        <w:rPr>
          <w:sz w:val="16"/>
          <w:szCs w:val="16"/>
          <w:lang w:val="en-CA"/>
        </w:rPr>
        <w:t>These policies included the budget allocation, as well as fuel and electricity subsidies within the context of declining oil revenues in Oman</w:t>
      </w:r>
    </w:p>
  </w:footnote>
  <w:footnote w:id="217">
    <w:p w14:paraId="7DB88D5C" w14:textId="77777777" w:rsidR="008323D5" w:rsidRPr="004C3656" w:rsidRDefault="008323D5" w:rsidP="008323D5">
      <w:pPr>
        <w:pStyle w:val="FootnoteText"/>
        <w:rPr>
          <w:sz w:val="16"/>
          <w:szCs w:val="16"/>
          <w:lang w:val="en-CA"/>
        </w:rPr>
      </w:pPr>
      <w:r w:rsidRPr="004C3656">
        <w:rPr>
          <w:rStyle w:val="FootnoteReference"/>
          <w:sz w:val="16"/>
          <w:szCs w:val="16"/>
        </w:rPr>
        <w:footnoteRef/>
      </w:r>
      <w:r w:rsidRPr="004C3656">
        <w:rPr>
          <w:sz w:val="16"/>
          <w:szCs w:val="16"/>
        </w:rPr>
        <w:t xml:space="preserve"> </w:t>
      </w:r>
      <w:r w:rsidRPr="004C3656">
        <w:rPr>
          <w:sz w:val="16"/>
          <w:szCs w:val="16"/>
          <w:lang w:val="en-CA"/>
        </w:rPr>
        <w:t>The reference to hybrid workshops signifies the accommodation of in-person and online participation to extend the reach of the event</w:t>
      </w:r>
    </w:p>
  </w:footnote>
  <w:footnote w:id="218">
    <w:p w14:paraId="2C13EB06" w14:textId="77777777" w:rsidR="008323D5" w:rsidRPr="004C3656" w:rsidRDefault="008323D5" w:rsidP="008323D5">
      <w:pPr>
        <w:pStyle w:val="FootnoteText"/>
        <w:rPr>
          <w:sz w:val="16"/>
          <w:szCs w:val="16"/>
          <w:lang w:val="en-CA"/>
        </w:rPr>
      </w:pPr>
      <w:r w:rsidRPr="004C3656">
        <w:rPr>
          <w:rStyle w:val="FootnoteReference"/>
          <w:sz w:val="16"/>
          <w:szCs w:val="16"/>
        </w:rPr>
        <w:footnoteRef/>
      </w:r>
      <w:r w:rsidRPr="004C3656">
        <w:rPr>
          <w:sz w:val="16"/>
          <w:szCs w:val="16"/>
        </w:rPr>
        <w:t xml:space="preserve"> </w:t>
      </w:r>
      <w:hyperlink r:id="rId79" w:history="1">
        <w:r w:rsidRPr="004C3656">
          <w:rPr>
            <w:rStyle w:val="Hyperlink"/>
            <w:sz w:val="16"/>
            <w:szCs w:val="16"/>
          </w:rPr>
          <w:t>https://unece.org/sites/default/files/2024-03/Programme%20-%20UNECE%20UNCTAD%20Regional%20Event%20on%20INFF%20-%2021%20March%202024.pdf</w:t>
        </w:r>
      </w:hyperlink>
      <w:r w:rsidRPr="004C3656">
        <w:rPr>
          <w:sz w:val="16"/>
          <w:szCs w:val="16"/>
        </w:rPr>
        <w:t xml:space="preserve"> </w:t>
      </w:r>
    </w:p>
  </w:footnote>
  <w:footnote w:id="219">
    <w:p w14:paraId="0D3C5B91" w14:textId="676796D5" w:rsidR="001A7AEB" w:rsidRPr="001A7AEB" w:rsidRDefault="001A7AEB">
      <w:pPr>
        <w:pStyle w:val="FootnoteText"/>
        <w:rPr>
          <w:lang w:val="en-CA"/>
        </w:rPr>
      </w:pPr>
      <w:r w:rsidRPr="004C3656">
        <w:rPr>
          <w:rStyle w:val="FootnoteReference"/>
          <w:sz w:val="16"/>
          <w:szCs w:val="16"/>
        </w:rPr>
        <w:footnoteRef/>
      </w:r>
      <w:r w:rsidRPr="004C3656">
        <w:rPr>
          <w:sz w:val="16"/>
          <w:szCs w:val="16"/>
        </w:rPr>
        <w:t xml:space="preserve"> </w:t>
      </w:r>
      <w:r w:rsidRPr="004C3656">
        <w:rPr>
          <w:sz w:val="16"/>
          <w:szCs w:val="16"/>
          <w:lang w:val="en-CA"/>
        </w:rPr>
        <w:t xml:space="preserve">The reference, here, is to international standards for project evaluation and measurement, to ensure that projects align with and contribute towards SDG achievement. (See </w:t>
      </w:r>
      <w:hyperlink r:id="rId80" w:history="1">
        <w:r w:rsidRPr="004C3656">
          <w:rPr>
            <w:rStyle w:val="Hyperlink"/>
            <w:sz w:val="16"/>
            <w:szCs w:val="16"/>
            <w:lang w:val="en-CA"/>
          </w:rPr>
          <w:t>https://unece.org/ppp/em</w:t>
        </w:r>
      </w:hyperlink>
      <w:r w:rsidRPr="004C3656">
        <w:rPr>
          <w:sz w:val="16"/>
          <w:szCs w:val="16"/>
          <w:lang w:val="en-CA"/>
        </w:rPr>
        <w:t>)</w:t>
      </w:r>
      <w:r>
        <w:rPr>
          <w:lang w:val="en-CA"/>
        </w:rPr>
        <w:t xml:space="preserve"> </w:t>
      </w:r>
    </w:p>
  </w:footnote>
  <w:footnote w:id="220">
    <w:p w14:paraId="6EDB3CE8" w14:textId="02386F5F" w:rsidR="00970E93" w:rsidRPr="002A4AC8" w:rsidRDefault="00970E93">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See Final project report, March 2025</w:t>
      </w:r>
    </w:p>
  </w:footnote>
  <w:footnote w:id="221">
    <w:p w14:paraId="06B32D15" w14:textId="1B6AB6DA" w:rsidR="0059264E" w:rsidRPr="002A4AC8" w:rsidRDefault="0059264E">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Final project report, March 2025</w:t>
      </w:r>
    </w:p>
  </w:footnote>
  <w:footnote w:id="222">
    <w:p w14:paraId="42693094" w14:textId="7503E336" w:rsidR="00E65447" w:rsidRPr="002A4AC8" w:rsidRDefault="00E65447">
      <w:pPr>
        <w:pStyle w:val="FootnoteText"/>
        <w:rPr>
          <w:sz w:val="16"/>
          <w:szCs w:val="16"/>
          <w:lang w:val="en-CA"/>
        </w:rPr>
      </w:pPr>
      <w:r w:rsidRPr="002A4AC8">
        <w:rPr>
          <w:rStyle w:val="FootnoteReference"/>
          <w:sz w:val="16"/>
          <w:szCs w:val="16"/>
        </w:rPr>
        <w:footnoteRef/>
      </w:r>
      <w:r w:rsidRPr="002A4AC8">
        <w:rPr>
          <w:sz w:val="16"/>
          <w:szCs w:val="16"/>
        </w:rPr>
        <w:t xml:space="preserve"> </w:t>
      </w:r>
      <w:r w:rsidR="00621A43" w:rsidRPr="002A4AC8">
        <w:rPr>
          <w:sz w:val="16"/>
          <w:szCs w:val="16"/>
        </w:rPr>
        <w:t>See Theory of Change/ Results fram</w:t>
      </w:r>
      <w:r w:rsidR="003F3F7E" w:rsidRPr="002A4AC8">
        <w:rPr>
          <w:sz w:val="16"/>
          <w:szCs w:val="16"/>
        </w:rPr>
        <w:t>e</w:t>
      </w:r>
      <w:r w:rsidR="00621A43" w:rsidRPr="002A4AC8">
        <w:rPr>
          <w:sz w:val="16"/>
          <w:szCs w:val="16"/>
        </w:rPr>
        <w:t>work OP2.2</w:t>
      </w:r>
    </w:p>
  </w:footnote>
  <w:footnote w:id="223">
    <w:p w14:paraId="00B56C94" w14:textId="77777777" w:rsidR="00C924CA" w:rsidRPr="002A4AC8" w:rsidRDefault="00C924CA" w:rsidP="00C924CA">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 xml:space="preserve">ibid </w:t>
      </w:r>
    </w:p>
  </w:footnote>
  <w:footnote w:id="224">
    <w:p w14:paraId="57F20FE8" w14:textId="5D9B4988" w:rsidR="00A95C0D" w:rsidRPr="002A4AC8" w:rsidRDefault="00A95C0D">
      <w:pPr>
        <w:pStyle w:val="FootnoteText"/>
        <w:rPr>
          <w:sz w:val="16"/>
          <w:szCs w:val="16"/>
          <w:lang w:val="en-CA"/>
        </w:rPr>
      </w:pPr>
      <w:r w:rsidRPr="002A4AC8">
        <w:rPr>
          <w:rStyle w:val="FootnoteReference"/>
          <w:sz w:val="16"/>
          <w:szCs w:val="16"/>
        </w:rPr>
        <w:footnoteRef/>
      </w:r>
      <w:r w:rsidRPr="002A4AC8">
        <w:rPr>
          <w:sz w:val="16"/>
          <w:szCs w:val="16"/>
        </w:rPr>
        <w:t xml:space="preserve"> </w:t>
      </w:r>
      <w:r w:rsidR="00750FEE" w:rsidRPr="002A4AC8">
        <w:rPr>
          <w:sz w:val="16"/>
          <w:szCs w:val="16"/>
        </w:rPr>
        <w:t xml:space="preserve">See Finding </w:t>
      </w:r>
      <w:r w:rsidR="002950B8" w:rsidRPr="002A4AC8">
        <w:rPr>
          <w:sz w:val="16"/>
          <w:szCs w:val="16"/>
        </w:rPr>
        <w:t>3</w:t>
      </w:r>
    </w:p>
  </w:footnote>
  <w:footnote w:id="225">
    <w:p w14:paraId="16C29CDA" w14:textId="0F9FB38C" w:rsidR="004D55F8" w:rsidRPr="002A4AC8" w:rsidRDefault="004D55F8">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Sevilla Commitment, para.24</w:t>
      </w:r>
    </w:p>
  </w:footnote>
  <w:footnote w:id="226">
    <w:p w14:paraId="1A5F0373" w14:textId="33F9983E" w:rsidR="004D55F8" w:rsidRPr="0083792B" w:rsidRDefault="004D55F8">
      <w:pPr>
        <w:pStyle w:val="FootnoteText"/>
        <w:rPr>
          <w:lang w:val="es-ES"/>
        </w:rPr>
      </w:pPr>
      <w:r w:rsidRPr="002A4AC8">
        <w:rPr>
          <w:rStyle w:val="FootnoteReference"/>
          <w:sz w:val="16"/>
          <w:szCs w:val="16"/>
        </w:rPr>
        <w:footnoteRef/>
      </w:r>
      <w:r w:rsidRPr="002A4AC8">
        <w:rPr>
          <w:sz w:val="16"/>
          <w:szCs w:val="16"/>
          <w:lang w:val="es-ES"/>
        </w:rPr>
        <w:t xml:space="preserve"> </w:t>
      </w:r>
      <w:r w:rsidR="00A633D5" w:rsidRPr="002A4AC8">
        <w:rPr>
          <w:sz w:val="16"/>
          <w:szCs w:val="16"/>
          <w:lang w:val="es-ES"/>
        </w:rPr>
        <w:t>i</w:t>
      </w:r>
      <w:r w:rsidRPr="002A4AC8">
        <w:rPr>
          <w:sz w:val="16"/>
          <w:szCs w:val="16"/>
          <w:lang w:val="es-ES"/>
        </w:rPr>
        <w:t>bid, para.15</w:t>
      </w:r>
    </w:p>
  </w:footnote>
  <w:footnote w:id="227">
    <w:p w14:paraId="729F8E27" w14:textId="277ED119" w:rsidR="008C0555" w:rsidRPr="002A4AC8" w:rsidRDefault="008C0555">
      <w:pPr>
        <w:pStyle w:val="FootnoteText"/>
        <w:rPr>
          <w:sz w:val="16"/>
          <w:szCs w:val="16"/>
          <w:lang w:val="es-ES"/>
        </w:rPr>
      </w:pPr>
      <w:r w:rsidRPr="002A4AC8">
        <w:rPr>
          <w:rStyle w:val="FootnoteReference"/>
          <w:sz w:val="16"/>
          <w:szCs w:val="16"/>
        </w:rPr>
        <w:footnoteRef/>
      </w:r>
      <w:r w:rsidRPr="002A4AC8">
        <w:rPr>
          <w:sz w:val="16"/>
          <w:szCs w:val="16"/>
          <w:lang w:val="es-ES"/>
        </w:rPr>
        <w:t xml:space="preserve"> ibid, para.</w:t>
      </w:r>
      <w:r w:rsidR="005E63FF" w:rsidRPr="002A4AC8">
        <w:rPr>
          <w:sz w:val="16"/>
          <w:szCs w:val="16"/>
          <w:lang w:val="es-ES"/>
        </w:rPr>
        <w:t>40</w:t>
      </w:r>
      <w:r w:rsidR="00E908A8" w:rsidRPr="002A4AC8">
        <w:rPr>
          <w:sz w:val="16"/>
          <w:szCs w:val="16"/>
          <w:lang w:val="es-ES"/>
        </w:rPr>
        <w:t>(</w:t>
      </w:r>
      <w:r w:rsidR="005E63FF" w:rsidRPr="002A4AC8">
        <w:rPr>
          <w:sz w:val="16"/>
          <w:szCs w:val="16"/>
          <w:lang w:val="es-ES"/>
        </w:rPr>
        <w:t>a)</w:t>
      </w:r>
    </w:p>
  </w:footnote>
  <w:footnote w:id="228">
    <w:p w14:paraId="1F54ADC5" w14:textId="1DCDFD76" w:rsidR="0052086C" w:rsidRPr="002A4AC8" w:rsidRDefault="0052086C">
      <w:pPr>
        <w:pStyle w:val="FootnoteText"/>
        <w:rPr>
          <w:sz w:val="16"/>
          <w:szCs w:val="16"/>
          <w:lang w:val="es-ES"/>
        </w:rPr>
      </w:pPr>
      <w:r w:rsidRPr="002A4AC8">
        <w:rPr>
          <w:rStyle w:val="FootnoteReference"/>
          <w:sz w:val="16"/>
          <w:szCs w:val="16"/>
        </w:rPr>
        <w:footnoteRef/>
      </w:r>
      <w:r w:rsidRPr="002A4AC8">
        <w:rPr>
          <w:sz w:val="16"/>
          <w:szCs w:val="16"/>
          <w:lang w:val="es-ES"/>
        </w:rPr>
        <w:t xml:space="preserve"> Sevilla Commitment, para</w:t>
      </w:r>
      <w:r w:rsidR="00CE17C2" w:rsidRPr="002A4AC8">
        <w:rPr>
          <w:sz w:val="16"/>
          <w:szCs w:val="16"/>
          <w:lang w:val="es-ES"/>
        </w:rPr>
        <w:t>.40.</w:t>
      </w:r>
      <w:r w:rsidR="00E908A8" w:rsidRPr="002A4AC8">
        <w:rPr>
          <w:sz w:val="16"/>
          <w:szCs w:val="16"/>
          <w:lang w:val="es-ES"/>
        </w:rPr>
        <w:t>(</w:t>
      </w:r>
      <w:r w:rsidR="00CE17C2" w:rsidRPr="002A4AC8">
        <w:rPr>
          <w:sz w:val="16"/>
          <w:szCs w:val="16"/>
          <w:lang w:val="es-ES"/>
        </w:rPr>
        <w:t>d)</w:t>
      </w:r>
    </w:p>
  </w:footnote>
  <w:footnote w:id="229">
    <w:p w14:paraId="7EDC36EA" w14:textId="77777777" w:rsidR="00173155" w:rsidRPr="002A4AC8" w:rsidRDefault="00173155" w:rsidP="00173155">
      <w:pPr>
        <w:pStyle w:val="FootnoteText"/>
        <w:rPr>
          <w:sz w:val="16"/>
          <w:szCs w:val="16"/>
          <w:lang w:val="es-ES"/>
        </w:rPr>
      </w:pPr>
      <w:r w:rsidRPr="002A4AC8">
        <w:rPr>
          <w:rStyle w:val="FootnoteReference"/>
          <w:sz w:val="16"/>
          <w:szCs w:val="16"/>
        </w:rPr>
        <w:footnoteRef/>
      </w:r>
      <w:r w:rsidRPr="002A4AC8">
        <w:rPr>
          <w:sz w:val="16"/>
          <w:szCs w:val="16"/>
          <w:lang w:val="es-ES"/>
        </w:rPr>
        <w:t xml:space="preserve"> ibid, para.41(a)</w:t>
      </w:r>
    </w:p>
  </w:footnote>
  <w:footnote w:id="230">
    <w:p w14:paraId="53748F4C" w14:textId="4A4A70A5" w:rsidR="00EA7C16" w:rsidRPr="002A4AC8" w:rsidRDefault="00EA7C16">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 xml:space="preserve">See </w:t>
      </w:r>
      <w:r w:rsidR="008F2D54" w:rsidRPr="002A4AC8">
        <w:rPr>
          <w:sz w:val="16"/>
          <w:szCs w:val="16"/>
          <w:lang w:val="en-CA"/>
        </w:rPr>
        <w:t>sub-Section 2.6</w:t>
      </w:r>
    </w:p>
  </w:footnote>
  <w:footnote w:id="231">
    <w:p w14:paraId="2EB0F4BE" w14:textId="0B146A73" w:rsidR="00255F64" w:rsidRPr="002A4AC8" w:rsidRDefault="00255F64">
      <w:pPr>
        <w:pStyle w:val="FootnoteText"/>
        <w:rPr>
          <w:sz w:val="16"/>
          <w:szCs w:val="16"/>
          <w:lang w:val="en-CA"/>
        </w:rPr>
      </w:pPr>
      <w:r w:rsidRPr="002A4AC8">
        <w:rPr>
          <w:rStyle w:val="FootnoteReference"/>
          <w:sz w:val="16"/>
          <w:szCs w:val="16"/>
        </w:rPr>
        <w:footnoteRef/>
      </w:r>
      <w:r w:rsidRPr="002A4AC8">
        <w:rPr>
          <w:sz w:val="16"/>
          <w:szCs w:val="16"/>
        </w:rPr>
        <w:t xml:space="preserve"> </w:t>
      </w:r>
      <w:r w:rsidR="00413A49" w:rsidRPr="002A4AC8">
        <w:rPr>
          <w:sz w:val="16"/>
          <w:szCs w:val="16"/>
          <w:lang w:val="en-CA"/>
        </w:rPr>
        <w:t>See Annex 2: Theory of Change/ Results Target OP1.2</w:t>
      </w:r>
    </w:p>
  </w:footnote>
  <w:footnote w:id="232">
    <w:p w14:paraId="514DBD8C" w14:textId="62691380" w:rsidR="00A1753D" w:rsidRPr="00A1753D" w:rsidRDefault="00A1753D">
      <w:pPr>
        <w:pStyle w:val="FootnoteText"/>
        <w:rPr>
          <w:lang w:val="en-CA"/>
        </w:rPr>
      </w:pPr>
      <w:r w:rsidRPr="002A4AC8">
        <w:rPr>
          <w:rStyle w:val="FootnoteReference"/>
          <w:sz w:val="16"/>
          <w:szCs w:val="16"/>
        </w:rPr>
        <w:footnoteRef/>
      </w:r>
      <w:r w:rsidRPr="002A4AC8">
        <w:rPr>
          <w:sz w:val="16"/>
          <w:szCs w:val="16"/>
        </w:rPr>
        <w:t xml:space="preserve"> </w:t>
      </w:r>
      <w:r w:rsidR="008410B6">
        <w:rPr>
          <w:sz w:val="16"/>
          <w:szCs w:val="16"/>
          <w:lang w:val="en-CA"/>
        </w:rPr>
        <w:t>Draft project document</w:t>
      </w:r>
      <w:r w:rsidRPr="002A4AC8">
        <w:rPr>
          <w:sz w:val="16"/>
          <w:szCs w:val="16"/>
          <w:lang w:val="en-CA"/>
        </w:rPr>
        <w:t xml:space="preserve">, </w:t>
      </w:r>
      <w:r w:rsidR="00916BCD" w:rsidRPr="002A4AC8">
        <w:rPr>
          <w:sz w:val="16"/>
          <w:szCs w:val="16"/>
          <w:lang w:val="en-CA"/>
        </w:rPr>
        <w:t>sub-Section 4.1, p.19</w:t>
      </w:r>
    </w:p>
  </w:footnote>
  <w:footnote w:id="233">
    <w:p w14:paraId="5A9FAC50" w14:textId="77777777" w:rsidR="00FC73CE" w:rsidRPr="002A4AC8" w:rsidRDefault="00FC73CE" w:rsidP="00FC73CE">
      <w:pPr>
        <w:pStyle w:val="FootnoteText"/>
        <w:rPr>
          <w:sz w:val="16"/>
          <w:szCs w:val="16"/>
          <w:lang w:val="en-CA"/>
        </w:rPr>
      </w:pPr>
      <w:r w:rsidRPr="002A4AC8">
        <w:rPr>
          <w:rStyle w:val="FootnoteReference"/>
          <w:sz w:val="16"/>
          <w:szCs w:val="16"/>
        </w:rPr>
        <w:footnoteRef/>
      </w:r>
      <w:r w:rsidRPr="002A4AC8">
        <w:rPr>
          <w:sz w:val="16"/>
          <w:szCs w:val="16"/>
        </w:rPr>
        <w:t xml:space="preserve"> </w:t>
      </w:r>
      <w:r>
        <w:rPr>
          <w:sz w:val="16"/>
          <w:szCs w:val="16"/>
          <w:lang w:val="en-CA"/>
        </w:rPr>
        <w:t>Draft project document</w:t>
      </w:r>
      <w:r w:rsidRPr="002A4AC8">
        <w:rPr>
          <w:sz w:val="16"/>
          <w:szCs w:val="16"/>
          <w:lang w:val="en-CA"/>
        </w:rPr>
        <w:t>, sub-Section 2.5, p.11</w:t>
      </w:r>
    </w:p>
  </w:footnote>
  <w:footnote w:id="234">
    <w:p w14:paraId="65E8EA93" w14:textId="72121F8D" w:rsidR="00916BCD" w:rsidRPr="002A4AC8" w:rsidRDefault="00916BCD">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 xml:space="preserve">The </w:t>
      </w:r>
      <w:r w:rsidRPr="002A4AC8">
        <w:rPr>
          <w:sz w:val="16"/>
          <w:szCs w:val="16"/>
        </w:rPr>
        <w:t xml:space="preserve"> </w:t>
      </w:r>
      <w:r w:rsidR="000C5C2F" w:rsidRPr="002A4AC8">
        <w:rPr>
          <w:sz w:val="16"/>
          <w:szCs w:val="16"/>
          <w:lang w:val="en-CA"/>
        </w:rPr>
        <w:t>Minister of Finance and National Planning</w:t>
      </w:r>
      <w:r w:rsidR="005A7C78" w:rsidRPr="002A4AC8">
        <w:rPr>
          <w:sz w:val="16"/>
          <w:szCs w:val="16"/>
          <w:lang w:val="en-CA"/>
        </w:rPr>
        <w:t>/ PPP Council Chairperson</w:t>
      </w:r>
      <w:r w:rsidR="000C5C2F" w:rsidRPr="002A4AC8">
        <w:rPr>
          <w:sz w:val="16"/>
          <w:szCs w:val="16"/>
          <w:lang w:val="en-CA"/>
        </w:rPr>
        <w:t>; Minister of Infrastru</w:t>
      </w:r>
      <w:r w:rsidR="00303AD6" w:rsidRPr="002A4AC8">
        <w:rPr>
          <w:sz w:val="16"/>
          <w:szCs w:val="16"/>
          <w:lang w:val="en-CA"/>
        </w:rPr>
        <w:t>cture</w:t>
      </w:r>
      <w:r w:rsidR="00DE41F7" w:rsidRPr="002A4AC8">
        <w:rPr>
          <w:sz w:val="16"/>
          <w:szCs w:val="16"/>
          <w:lang w:val="en-CA"/>
        </w:rPr>
        <w:t>/ PPP Council Vice Chairperson</w:t>
      </w:r>
      <w:r w:rsidR="00303AD6" w:rsidRPr="002A4AC8">
        <w:rPr>
          <w:sz w:val="16"/>
          <w:szCs w:val="16"/>
          <w:lang w:val="en-CA"/>
        </w:rPr>
        <w:t xml:space="preserve">, Housing and Urban Development; Minister of Commerce Trade and Industry; </w:t>
      </w:r>
      <w:r w:rsidR="00DE41F7" w:rsidRPr="002A4AC8">
        <w:rPr>
          <w:sz w:val="16"/>
          <w:szCs w:val="16"/>
          <w:lang w:val="en-CA"/>
        </w:rPr>
        <w:t xml:space="preserve"> and </w:t>
      </w:r>
      <w:r w:rsidR="005A7C78" w:rsidRPr="002A4AC8">
        <w:rPr>
          <w:sz w:val="16"/>
          <w:szCs w:val="16"/>
          <w:lang w:val="en-CA"/>
        </w:rPr>
        <w:t>Minister of Transport and Logistics.</w:t>
      </w:r>
    </w:p>
  </w:footnote>
  <w:footnote w:id="235">
    <w:p w14:paraId="6C9C3001" w14:textId="49F173CD" w:rsidR="00AB201C" w:rsidRPr="002A4AC8" w:rsidRDefault="00AB201C">
      <w:pPr>
        <w:pStyle w:val="FootnoteText"/>
        <w:rPr>
          <w:sz w:val="16"/>
          <w:szCs w:val="16"/>
          <w:lang w:val="en-CA"/>
        </w:rPr>
      </w:pPr>
      <w:r w:rsidRPr="002A4AC8">
        <w:rPr>
          <w:rStyle w:val="FootnoteReference"/>
          <w:sz w:val="16"/>
          <w:szCs w:val="16"/>
        </w:rPr>
        <w:footnoteRef/>
      </w:r>
      <w:r w:rsidRPr="002A4AC8">
        <w:rPr>
          <w:sz w:val="16"/>
          <w:szCs w:val="16"/>
        </w:rPr>
        <w:t xml:space="preserve"> </w:t>
      </w:r>
      <w:hyperlink r:id="rId81" w:history="1">
        <w:r w:rsidR="00502E1B" w:rsidRPr="002A4AC8">
          <w:rPr>
            <w:rStyle w:val="Hyperlink"/>
            <w:sz w:val="16"/>
            <w:szCs w:val="16"/>
          </w:rPr>
          <w:t>https://www.unescwa.org/arab-finance-for-development-gateway</w:t>
        </w:r>
      </w:hyperlink>
      <w:r w:rsidR="00502E1B" w:rsidRPr="002A4AC8">
        <w:rPr>
          <w:sz w:val="16"/>
          <w:szCs w:val="16"/>
        </w:rPr>
        <w:t xml:space="preserve"> </w:t>
      </w:r>
    </w:p>
  </w:footnote>
  <w:footnote w:id="236">
    <w:p w14:paraId="76F4A81A" w14:textId="24350171" w:rsidR="0015735E" w:rsidRPr="002A4AC8" w:rsidRDefault="0015735E">
      <w:pPr>
        <w:pStyle w:val="FootnoteText"/>
        <w:rPr>
          <w:sz w:val="16"/>
          <w:szCs w:val="16"/>
          <w:lang w:val="en-CA"/>
        </w:rPr>
      </w:pPr>
      <w:r w:rsidRPr="002A4AC8">
        <w:rPr>
          <w:rStyle w:val="FootnoteReference"/>
          <w:sz w:val="16"/>
          <w:szCs w:val="16"/>
        </w:rPr>
        <w:footnoteRef/>
      </w:r>
      <w:r w:rsidRPr="002A4AC8">
        <w:rPr>
          <w:sz w:val="16"/>
          <w:szCs w:val="16"/>
        </w:rPr>
        <w:t xml:space="preserve"> </w:t>
      </w:r>
      <w:r w:rsidR="00521FB9" w:rsidRPr="002A4AC8">
        <w:rPr>
          <w:sz w:val="16"/>
          <w:szCs w:val="16"/>
          <w:lang w:val="en-CA"/>
        </w:rPr>
        <w:t>Consultations with UNESCWA indicated that there was one participant with a disability in Jordan.</w:t>
      </w:r>
    </w:p>
  </w:footnote>
  <w:footnote w:id="237">
    <w:p w14:paraId="6FDE3DDF" w14:textId="3B884CF5" w:rsidR="00763F77" w:rsidRPr="002A4AC8" w:rsidRDefault="00763F77">
      <w:pPr>
        <w:pStyle w:val="FootnoteText"/>
        <w:rPr>
          <w:sz w:val="16"/>
          <w:szCs w:val="16"/>
          <w:lang w:val="es-ES"/>
        </w:rPr>
      </w:pPr>
      <w:r w:rsidRPr="002A4AC8">
        <w:rPr>
          <w:rStyle w:val="FootnoteReference"/>
          <w:sz w:val="16"/>
          <w:szCs w:val="16"/>
        </w:rPr>
        <w:footnoteRef/>
      </w:r>
      <w:r w:rsidRPr="002A4AC8">
        <w:rPr>
          <w:sz w:val="16"/>
          <w:szCs w:val="16"/>
          <w:lang w:val="es-ES"/>
        </w:rPr>
        <w:t xml:space="preserve"> ibid </w:t>
      </w:r>
    </w:p>
  </w:footnote>
  <w:footnote w:id="238">
    <w:p w14:paraId="1CA37069" w14:textId="5900EA99" w:rsidR="004430E8" w:rsidRPr="002A4AC8" w:rsidRDefault="004430E8">
      <w:pPr>
        <w:pStyle w:val="FootnoteText"/>
        <w:rPr>
          <w:sz w:val="16"/>
          <w:szCs w:val="16"/>
          <w:lang w:val="es-ES"/>
        </w:rPr>
      </w:pPr>
      <w:r w:rsidRPr="002A4AC8">
        <w:rPr>
          <w:rStyle w:val="FootnoteReference"/>
          <w:sz w:val="16"/>
          <w:szCs w:val="16"/>
        </w:rPr>
        <w:footnoteRef/>
      </w:r>
      <w:r w:rsidRPr="002A4AC8">
        <w:rPr>
          <w:sz w:val="16"/>
          <w:szCs w:val="16"/>
          <w:lang w:val="es-ES"/>
        </w:rPr>
        <w:t xml:space="preserve"> </w:t>
      </w:r>
      <w:hyperlink r:id="rId82" w:history="1">
        <w:r w:rsidR="00531802" w:rsidRPr="002A4AC8">
          <w:rPr>
            <w:rStyle w:val="Hyperlink"/>
            <w:sz w:val="16"/>
            <w:szCs w:val="16"/>
            <w:lang w:val="es-ES"/>
          </w:rPr>
          <w:t>https://unece.org/ppp/em</w:t>
        </w:r>
      </w:hyperlink>
      <w:r w:rsidR="00531802" w:rsidRPr="002A4AC8">
        <w:rPr>
          <w:sz w:val="16"/>
          <w:szCs w:val="16"/>
          <w:lang w:val="es-ES"/>
        </w:rPr>
        <w:t xml:space="preserve"> </w:t>
      </w:r>
    </w:p>
  </w:footnote>
  <w:footnote w:id="239">
    <w:p w14:paraId="7140878E" w14:textId="05882C8F" w:rsidR="00A44900" w:rsidRPr="002A4AC8" w:rsidRDefault="00A44900">
      <w:pPr>
        <w:pStyle w:val="FootnoteText"/>
        <w:rPr>
          <w:sz w:val="16"/>
          <w:szCs w:val="16"/>
          <w:lang w:val="en-CA"/>
        </w:rPr>
      </w:pPr>
      <w:r w:rsidRPr="002A4AC8">
        <w:rPr>
          <w:rStyle w:val="FootnoteReference"/>
          <w:sz w:val="16"/>
          <w:szCs w:val="16"/>
        </w:rPr>
        <w:footnoteRef/>
      </w:r>
      <w:r w:rsidRPr="002A4AC8">
        <w:rPr>
          <w:sz w:val="16"/>
          <w:szCs w:val="16"/>
        </w:rPr>
        <w:t xml:space="preserve"> </w:t>
      </w:r>
      <w:r w:rsidR="00F3680E" w:rsidRPr="002A4AC8">
        <w:rPr>
          <w:sz w:val="16"/>
          <w:szCs w:val="16"/>
          <w:lang w:val="en-CA"/>
        </w:rPr>
        <w:t>See sub-Section 2.4.1</w:t>
      </w:r>
    </w:p>
  </w:footnote>
  <w:footnote w:id="240">
    <w:p w14:paraId="0511C028" w14:textId="4BF31B5C" w:rsidR="00694832" w:rsidRPr="002A4AC8" w:rsidRDefault="00694832">
      <w:pPr>
        <w:pStyle w:val="FootnoteText"/>
        <w:rPr>
          <w:sz w:val="16"/>
          <w:szCs w:val="16"/>
          <w:lang w:val="en-CA"/>
        </w:rPr>
      </w:pPr>
      <w:r w:rsidRPr="002A4AC8">
        <w:rPr>
          <w:rStyle w:val="FootnoteReference"/>
          <w:sz w:val="16"/>
          <w:szCs w:val="16"/>
        </w:rPr>
        <w:footnoteRef/>
      </w:r>
      <w:r w:rsidRPr="002A4AC8">
        <w:rPr>
          <w:sz w:val="16"/>
          <w:szCs w:val="16"/>
        </w:rPr>
        <w:t xml:space="preserve"> </w:t>
      </w:r>
      <w:r w:rsidR="008D1C29" w:rsidRPr="002A4AC8">
        <w:rPr>
          <w:sz w:val="16"/>
          <w:szCs w:val="16"/>
          <w:lang w:val="en-CA"/>
        </w:rPr>
        <w:t>See Finding 5 and 6</w:t>
      </w:r>
    </w:p>
  </w:footnote>
  <w:footnote w:id="241">
    <w:p w14:paraId="5E0BCA8E" w14:textId="6C2D7BBE" w:rsidR="008D1C29" w:rsidRPr="002A4AC8" w:rsidRDefault="008D1C29">
      <w:pPr>
        <w:pStyle w:val="FootnoteText"/>
        <w:rPr>
          <w:sz w:val="16"/>
          <w:szCs w:val="16"/>
          <w:lang w:val="en-CA"/>
        </w:rPr>
      </w:pPr>
      <w:r w:rsidRPr="002A4AC8">
        <w:rPr>
          <w:rStyle w:val="FootnoteReference"/>
          <w:sz w:val="16"/>
          <w:szCs w:val="16"/>
        </w:rPr>
        <w:footnoteRef/>
      </w:r>
      <w:r w:rsidRPr="002A4AC8">
        <w:rPr>
          <w:sz w:val="16"/>
          <w:szCs w:val="16"/>
        </w:rPr>
        <w:t xml:space="preserve"> </w:t>
      </w:r>
      <w:r w:rsidR="00B44BB8" w:rsidRPr="002A4AC8">
        <w:rPr>
          <w:sz w:val="16"/>
          <w:szCs w:val="16"/>
          <w:lang w:val="en-CA"/>
        </w:rPr>
        <w:t>Currently in draft format and under review by the executing entities</w:t>
      </w:r>
    </w:p>
  </w:footnote>
  <w:footnote w:id="242">
    <w:p w14:paraId="45B0EB6C" w14:textId="5D7FF8F4" w:rsidR="00051D43" w:rsidRPr="002A4AC8" w:rsidRDefault="00051D43">
      <w:pPr>
        <w:pStyle w:val="FootnoteText"/>
        <w:rPr>
          <w:sz w:val="16"/>
          <w:szCs w:val="16"/>
          <w:lang w:val="en-CA"/>
        </w:rPr>
      </w:pPr>
      <w:r w:rsidRPr="002A4AC8">
        <w:rPr>
          <w:rStyle w:val="FootnoteReference"/>
          <w:sz w:val="16"/>
          <w:szCs w:val="16"/>
        </w:rPr>
        <w:footnoteRef/>
      </w:r>
      <w:r w:rsidRPr="002A4AC8">
        <w:rPr>
          <w:sz w:val="16"/>
          <w:szCs w:val="16"/>
        </w:rPr>
        <w:t xml:space="preserve"> </w:t>
      </w:r>
      <w:r w:rsidRPr="002A4AC8">
        <w:rPr>
          <w:sz w:val="16"/>
          <w:szCs w:val="16"/>
          <w:lang w:val="en-CA"/>
        </w:rPr>
        <w:t>See sub-Section 4.2.2.4</w:t>
      </w:r>
    </w:p>
  </w:footnote>
  <w:footnote w:id="243">
    <w:p w14:paraId="22462455" w14:textId="1CA352EB" w:rsidR="00341BE4" w:rsidRPr="002A4AC8" w:rsidRDefault="00341BE4">
      <w:pPr>
        <w:pStyle w:val="FootnoteText"/>
        <w:rPr>
          <w:sz w:val="16"/>
          <w:szCs w:val="16"/>
          <w:lang w:val="en-CA"/>
        </w:rPr>
      </w:pPr>
      <w:r w:rsidRPr="002A4AC8">
        <w:rPr>
          <w:rStyle w:val="FootnoteReference"/>
          <w:sz w:val="16"/>
          <w:szCs w:val="16"/>
        </w:rPr>
        <w:footnoteRef/>
      </w:r>
      <w:r w:rsidRPr="002A4AC8">
        <w:rPr>
          <w:sz w:val="16"/>
          <w:szCs w:val="16"/>
        </w:rPr>
        <w:t xml:space="preserve"> </w:t>
      </w:r>
      <w:r w:rsidR="009A5DD1" w:rsidRPr="002A4AC8">
        <w:rPr>
          <w:sz w:val="16"/>
          <w:szCs w:val="16"/>
          <w:lang w:val="en-CA"/>
        </w:rPr>
        <w:t xml:space="preserve">See </w:t>
      </w:r>
      <w:r w:rsidR="008410B6">
        <w:rPr>
          <w:sz w:val="16"/>
          <w:szCs w:val="16"/>
          <w:lang w:val="en-CA"/>
        </w:rPr>
        <w:t>Draft project document</w:t>
      </w:r>
      <w:r w:rsidR="009A5DD1" w:rsidRPr="002A4AC8">
        <w:rPr>
          <w:sz w:val="16"/>
          <w:szCs w:val="16"/>
          <w:lang w:val="en-CA"/>
        </w:rPr>
        <w:t xml:space="preserve">, sub-Section </w:t>
      </w:r>
      <w:r w:rsidR="003F1397" w:rsidRPr="002A4AC8">
        <w:rPr>
          <w:sz w:val="16"/>
          <w:szCs w:val="16"/>
          <w:lang w:val="en-CA"/>
        </w:rPr>
        <w:t>4.5, p.25</w:t>
      </w:r>
    </w:p>
  </w:footnote>
  <w:footnote w:id="244">
    <w:p w14:paraId="6F3D0596" w14:textId="58174A0B" w:rsidR="00076794" w:rsidRPr="002A4AC8" w:rsidRDefault="00076794">
      <w:pPr>
        <w:pStyle w:val="FootnoteText"/>
        <w:rPr>
          <w:sz w:val="16"/>
          <w:szCs w:val="16"/>
          <w:lang w:val="en-CA"/>
        </w:rPr>
      </w:pPr>
      <w:r w:rsidRPr="002A4AC8">
        <w:rPr>
          <w:rStyle w:val="FootnoteReference"/>
          <w:sz w:val="16"/>
          <w:szCs w:val="16"/>
        </w:rPr>
        <w:footnoteRef/>
      </w:r>
      <w:r w:rsidRPr="002A4AC8">
        <w:rPr>
          <w:sz w:val="16"/>
          <w:szCs w:val="16"/>
        </w:rPr>
        <w:t xml:space="preserve"> </w:t>
      </w:r>
      <w:r w:rsidR="00462DB6" w:rsidRPr="002A4AC8">
        <w:rPr>
          <w:sz w:val="16"/>
          <w:szCs w:val="16"/>
          <w:lang w:val="en-CA"/>
        </w:rPr>
        <w:t xml:space="preserve">Evaluation of INFF </w:t>
      </w:r>
      <w:r w:rsidR="00237484" w:rsidRPr="002A4AC8">
        <w:rPr>
          <w:sz w:val="16"/>
          <w:szCs w:val="16"/>
          <w:lang w:val="en-CA"/>
        </w:rPr>
        <w:t>t</w:t>
      </w:r>
      <w:r w:rsidR="00462DB6" w:rsidRPr="002A4AC8">
        <w:rPr>
          <w:sz w:val="16"/>
          <w:szCs w:val="16"/>
          <w:lang w:val="en-CA"/>
        </w:rPr>
        <w:t>ools developed under Project 2124A</w:t>
      </w:r>
      <w:r w:rsidR="00237484" w:rsidRPr="002A4AC8">
        <w:rPr>
          <w:sz w:val="16"/>
          <w:szCs w:val="16"/>
          <w:lang w:val="en-CA"/>
        </w:rPr>
        <w:t>: Assessing efficacy and potential for</w:t>
      </w:r>
      <w:r w:rsidR="001A67AC" w:rsidRPr="002A4AC8">
        <w:rPr>
          <w:sz w:val="16"/>
          <w:szCs w:val="16"/>
          <w:lang w:val="en-CA"/>
        </w:rPr>
        <w:t xml:space="preserve"> broader application in </w:t>
      </w:r>
      <w:r w:rsidR="00AF45C1" w:rsidRPr="002A4AC8">
        <w:rPr>
          <w:sz w:val="16"/>
          <w:szCs w:val="16"/>
          <w:lang w:val="en-CA"/>
        </w:rPr>
        <w:t>advancing sustainable development, UNDESA, July 2025</w:t>
      </w:r>
    </w:p>
  </w:footnote>
  <w:footnote w:id="245">
    <w:p w14:paraId="0F2B3934" w14:textId="32240E31" w:rsidR="00F01587" w:rsidRPr="002A4AC8" w:rsidRDefault="00F01587">
      <w:pPr>
        <w:pStyle w:val="FootnoteText"/>
        <w:rPr>
          <w:sz w:val="16"/>
          <w:szCs w:val="16"/>
          <w:lang w:val="en-CA"/>
        </w:rPr>
      </w:pPr>
      <w:r w:rsidRPr="002A4AC8">
        <w:rPr>
          <w:rStyle w:val="FootnoteReference"/>
          <w:sz w:val="16"/>
          <w:szCs w:val="16"/>
        </w:rPr>
        <w:footnoteRef/>
      </w:r>
      <w:r w:rsidRPr="002A4AC8">
        <w:rPr>
          <w:sz w:val="16"/>
          <w:szCs w:val="16"/>
        </w:rPr>
        <w:t xml:space="preserve"> </w:t>
      </w:r>
      <w:r w:rsidR="00591D65" w:rsidRPr="002A4AC8">
        <w:rPr>
          <w:sz w:val="16"/>
          <w:szCs w:val="16"/>
          <w:lang w:val="en-CA"/>
        </w:rPr>
        <w:t>See sub-Section 2.4.1</w:t>
      </w:r>
    </w:p>
  </w:footnote>
  <w:footnote w:id="246">
    <w:p w14:paraId="686C6F04" w14:textId="77777777" w:rsidR="00311E0D" w:rsidRPr="004C7F98" w:rsidRDefault="00311E0D" w:rsidP="00311E0D">
      <w:pPr>
        <w:pStyle w:val="FootnoteText"/>
        <w:rPr>
          <w:sz w:val="16"/>
          <w:szCs w:val="16"/>
          <w:lang w:val="en-CA"/>
        </w:rPr>
      </w:pPr>
      <w:r w:rsidRPr="002A4AC8">
        <w:rPr>
          <w:rStyle w:val="FootnoteReference"/>
          <w:sz w:val="16"/>
          <w:szCs w:val="16"/>
        </w:rPr>
        <w:footnoteRef/>
      </w:r>
      <w:r w:rsidRPr="002A4AC8">
        <w:rPr>
          <w:sz w:val="16"/>
          <w:szCs w:val="16"/>
        </w:rPr>
        <w:t xml:space="preserve"> </w:t>
      </w:r>
      <w:r w:rsidRPr="004C7F98">
        <w:rPr>
          <w:sz w:val="16"/>
          <w:szCs w:val="16"/>
        </w:rPr>
        <w:t>Final project report, March 2025</w:t>
      </w:r>
    </w:p>
  </w:footnote>
  <w:footnote w:id="247">
    <w:p w14:paraId="4255774E" w14:textId="5F87F141" w:rsidR="001D541A" w:rsidRPr="004C7F98" w:rsidRDefault="001D541A">
      <w:pPr>
        <w:pStyle w:val="FootnoteText"/>
        <w:rPr>
          <w:sz w:val="16"/>
          <w:szCs w:val="16"/>
          <w:lang w:val="en-CA"/>
        </w:rPr>
      </w:pPr>
      <w:r w:rsidRPr="004C7F98">
        <w:rPr>
          <w:rStyle w:val="FootnoteReference"/>
          <w:sz w:val="16"/>
          <w:szCs w:val="16"/>
        </w:rPr>
        <w:footnoteRef/>
      </w:r>
      <w:r w:rsidRPr="004C7F98">
        <w:rPr>
          <w:sz w:val="16"/>
          <w:szCs w:val="16"/>
        </w:rPr>
        <w:t xml:space="preserve"> </w:t>
      </w:r>
      <w:r w:rsidR="00C878E1" w:rsidRPr="004C7F98">
        <w:rPr>
          <w:sz w:val="16"/>
          <w:szCs w:val="16"/>
          <w:lang w:val="en-CA"/>
        </w:rPr>
        <w:t>ibid</w:t>
      </w:r>
    </w:p>
  </w:footnote>
  <w:footnote w:id="248">
    <w:p w14:paraId="7BE46FA2" w14:textId="37FA7F1E" w:rsidR="00055BB7" w:rsidRPr="00055BB7" w:rsidRDefault="00055BB7">
      <w:pPr>
        <w:pStyle w:val="FootnoteText"/>
        <w:rPr>
          <w:lang w:val="en-CA"/>
        </w:rPr>
      </w:pPr>
      <w:r w:rsidRPr="004C7F98">
        <w:rPr>
          <w:rStyle w:val="FootnoteReference"/>
          <w:sz w:val="16"/>
          <w:szCs w:val="16"/>
        </w:rPr>
        <w:footnoteRef/>
      </w:r>
      <w:r w:rsidRPr="004C7F98">
        <w:rPr>
          <w:sz w:val="16"/>
          <w:szCs w:val="16"/>
        </w:rPr>
        <w:t xml:space="preserve"> </w:t>
      </w:r>
      <w:r w:rsidR="004C7F98" w:rsidRPr="004C7F98">
        <w:rPr>
          <w:sz w:val="16"/>
          <w:szCs w:val="16"/>
          <w:lang w:val="en-CA"/>
        </w:rPr>
        <w:t>See Finding 3</w:t>
      </w:r>
    </w:p>
  </w:footnote>
  <w:footnote w:id="249">
    <w:p w14:paraId="30BE5525" w14:textId="5ACE0430" w:rsidR="005B666E" w:rsidRPr="00671474" w:rsidRDefault="005B666E">
      <w:pPr>
        <w:pStyle w:val="FootnoteText"/>
        <w:rPr>
          <w:sz w:val="16"/>
          <w:szCs w:val="16"/>
          <w:lang w:val="en-CA"/>
        </w:rPr>
      </w:pPr>
      <w:r w:rsidRPr="00671474">
        <w:rPr>
          <w:rStyle w:val="FootnoteReference"/>
          <w:sz w:val="16"/>
          <w:szCs w:val="16"/>
        </w:rPr>
        <w:footnoteRef/>
      </w:r>
      <w:r w:rsidRPr="00671474">
        <w:rPr>
          <w:sz w:val="16"/>
          <w:szCs w:val="16"/>
        </w:rPr>
        <w:t xml:space="preserve"> </w:t>
      </w:r>
      <w:r w:rsidR="008410B6">
        <w:rPr>
          <w:sz w:val="16"/>
          <w:szCs w:val="16"/>
          <w:lang w:val="en-CA"/>
        </w:rPr>
        <w:t>Draft project document</w:t>
      </w:r>
      <w:r w:rsidR="00BF2CC8" w:rsidRPr="00671474">
        <w:rPr>
          <w:sz w:val="16"/>
          <w:szCs w:val="16"/>
          <w:lang w:val="en-CA"/>
        </w:rPr>
        <w:t>, Annex 3</w:t>
      </w:r>
      <w:r w:rsidR="005F1C42" w:rsidRPr="00671474">
        <w:rPr>
          <w:sz w:val="16"/>
          <w:szCs w:val="16"/>
          <w:lang w:val="en-CA"/>
        </w:rPr>
        <w:t xml:space="preserve">; Final </w:t>
      </w:r>
      <w:r w:rsidR="005F1C42" w:rsidRPr="00671474">
        <w:rPr>
          <w:sz w:val="16"/>
          <w:szCs w:val="16"/>
        </w:rPr>
        <w:t>project report, March 2025</w:t>
      </w:r>
    </w:p>
  </w:footnote>
  <w:footnote w:id="250">
    <w:p w14:paraId="135B4A7E" w14:textId="5B86A166" w:rsidR="000E2833" w:rsidRPr="00671474" w:rsidRDefault="000E2833">
      <w:pPr>
        <w:pStyle w:val="FootnoteText"/>
        <w:rPr>
          <w:sz w:val="16"/>
          <w:szCs w:val="16"/>
          <w:lang w:val="en-CA"/>
        </w:rPr>
      </w:pPr>
      <w:r w:rsidRPr="00671474">
        <w:rPr>
          <w:rStyle w:val="FootnoteReference"/>
          <w:sz w:val="16"/>
          <w:szCs w:val="16"/>
        </w:rPr>
        <w:footnoteRef/>
      </w:r>
      <w:r w:rsidRPr="00671474">
        <w:rPr>
          <w:sz w:val="16"/>
          <w:szCs w:val="16"/>
        </w:rPr>
        <w:t xml:space="preserve"> </w:t>
      </w:r>
      <w:r w:rsidRPr="00671474">
        <w:rPr>
          <w:sz w:val="16"/>
          <w:szCs w:val="16"/>
          <w:lang w:val="en-CA"/>
        </w:rPr>
        <w:t>See Finding 3</w:t>
      </w:r>
    </w:p>
  </w:footnote>
  <w:footnote w:id="251">
    <w:p w14:paraId="7179B824" w14:textId="2CACA826" w:rsidR="00156813" w:rsidRPr="00156813" w:rsidRDefault="00156813">
      <w:pPr>
        <w:pStyle w:val="FootnoteText"/>
        <w:rPr>
          <w:sz w:val="16"/>
          <w:szCs w:val="16"/>
          <w:lang w:val="en-CA"/>
        </w:rPr>
      </w:pPr>
      <w:r w:rsidRPr="00156813">
        <w:rPr>
          <w:rStyle w:val="FootnoteReference"/>
          <w:sz w:val="16"/>
          <w:szCs w:val="16"/>
        </w:rPr>
        <w:footnoteRef/>
      </w:r>
      <w:r w:rsidRPr="00156813">
        <w:rPr>
          <w:sz w:val="16"/>
          <w:szCs w:val="16"/>
        </w:rPr>
        <w:t xml:space="preserve"> </w:t>
      </w:r>
      <w:hyperlink r:id="rId83" w:history="1">
        <w:r w:rsidRPr="00156813">
          <w:rPr>
            <w:rStyle w:val="Hyperlink"/>
            <w:sz w:val="16"/>
            <w:szCs w:val="16"/>
          </w:rPr>
          <w:t>https://www.un.org/development/desa/dpad/wp-content/uploads/sites/45/WESP_2024_Web.pdf</w:t>
        </w:r>
      </w:hyperlink>
      <w:r w:rsidRPr="00156813">
        <w:rPr>
          <w:sz w:val="16"/>
          <w:szCs w:val="16"/>
        </w:rPr>
        <w:t xml:space="preserve"> </w:t>
      </w:r>
    </w:p>
  </w:footnote>
  <w:footnote w:id="252">
    <w:p w14:paraId="0426881B" w14:textId="7DB25B82" w:rsidR="0084649E" w:rsidRPr="0084649E" w:rsidRDefault="0084649E">
      <w:pPr>
        <w:pStyle w:val="FootnoteText"/>
        <w:rPr>
          <w:sz w:val="16"/>
          <w:szCs w:val="16"/>
          <w:lang w:val="en-CA"/>
        </w:rPr>
      </w:pPr>
      <w:r w:rsidRPr="0084649E">
        <w:rPr>
          <w:rStyle w:val="FootnoteReference"/>
          <w:sz w:val="16"/>
          <w:szCs w:val="16"/>
        </w:rPr>
        <w:footnoteRef/>
      </w:r>
      <w:r w:rsidRPr="0084649E">
        <w:rPr>
          <w:sz w:val="16"/>
          <w:szCs w:val="16"/>
        </w:rPr>
        <w:t xml:space="preserve"> </w:t>
      </w:r>
      <w:hyperlink r:id="rId84" w:history="1">
        <w:r w:rsidRPr="0084649E">
          <w:rPr>
            <w:rStyle w:val="Hyperlink"/>
            <w:sz w:val="16"/>
            <w:szCs w:val="16"/>
          </w:rPr>
          <w:t>https://www.un.org/ohrlls/content/about-small-island-developing-states</w:t>
        </w:r>
      </w:hyperlink>
      <w:r w:rsidRPr="0084649E">
        <w:rPr>
          <w:sz w:val="16"/>
          <w:szCs w:val="16"/>
        </w:rPr>
        <w:t xml:space="preserve"> </w:t>
      </w:r>
    </w:p>
  </w:footnote>
  <w:footnote w:id="253">
    <w:p w14:paraId="43258966" w14:textId="5B2DC111" w:rsidR="00220F4D" w:rsidRPr="00220F4D" w:rsidRDefault="00220F4D">
      <w:pPr>
        <w:pStyle w:val="FootnoteText"/>
        <w:rPr>
          <w:lang w:val="en-CA"/>
        </w:rPr>
      </w:pPr>
      <w:r>
        <w:rPr>
          <w:rStyle w:val="FootnoteReference"/>
        </w:rPr>
        <w:footnoteRef/>
      </w:r>
      <w:r>
        <w:t xml:space="preserve"> </w:t>
      </w:r>
      <w:r w:rsidRPr="00220F4D">
        <w:rPr>
          <w:sz w:val="16"/>
          <w:szCs w:val="16"/>
          <w:lang w:val="en-CA"/>
        </w:rPr>
        <w:t>ibid</w:t>
      </w:r>
    </w:p>
  </w:footnote>
  <w:footnote w:id="254">
    <w:p w14:paraId="4AE551CA" w14:textId="06664F67" w:rsidR="00511482" w:rsidRPr="009845F7" w:rsidRDefault="00511482">
      <w:pPr>
        <w:pStyle w:val="FootnoteText"/>
        <w:rPr>
          <w:sz w:val="16"/>
          <w:szCs w:val="16"/>
          <w:lang w:val="en-CA"/>
        </w:rPr>
      </w:pPr>
      <w:r w:rsidRPr="009845F7">
        <w:rPr>
          <w:rStyle w:val="FootnoteReference"/>
          <w:sz w:val="16"/>
          <w:szCs w:val="16"/>
        </w:rPr>
        <w:footnoteRef/>
      </w:r>
      <w:r w:rsidRPr="009845F7">
        <w:rPr>
          <w:sz w:val="16"/>
          <w:szCs w:val="16"/>
        </w:rPr>
        <w:t xml:space="preserve"> </w:t>
      </w:r>
      <w:r w:rsidR="00425C01" w:rsidRPr="009845F7">
        <w:rPr>
          <w:sz w:val="16"/>
          <w:szCs w:val="16"/>
        </w:rPr>
        <w:t xml:space="preserve">International Monetary Fund, </w:t>
      </w:r>
      <w:r w:rsidR="00B80780" w:rsidRPr="009845F7">
        <w:rPr>
          <w:sz w:val="16"/>
          <w:szCs w:val="16"/>
        </w:rPr>
        <w:t xml:space="preserve">2024. Dominican Republic: 2024 Article IV Consultation </w:t>
      </w:r>
      <w:r w:rsidR="001761F1" w:rsidRPr="009845F7">
        <w:rPr>
          <w:sz w:val="16"/>
          <w:szCs w:val="16"/>
        </w:rPr>
        <w:t xml:space="preserve">-Press Release and Staff Report. IMF Country Reports </w:t>
      </w:r>
      <w:r w:rsidR="009845F7" w:rsidRPr="009845F7">
        <w:rPr>
          <w:sz w:val="16"/>
          <w:szCs w:val="16"/>
        </w:rPr>
        <w:t>24/294.</w:t>
      </w:r>
    </w:p>
  </w:footnote>
  <w:footnote w:id="255">
    <w:p w14:paraId="5D9C56C6" w14:textId="22C2716E" w:rsidR="00927E86" w:rsidRPr="00927E86" w:rsidRDefault="00927E86">
      <w:pPr>
        <w:pStyle w:val="FootnoteText"/>
        <w:rPr>
          <w:lang w:val="en-CA"/>
        </w:rPr>
      </w:pPr>
      <w:r w:rsidRPr="009845F7">
        <w:rPr>
          <w:rStyle w:val="FootnoteReference"/>
          <w:sz w:val="16"/>
          <w:szCs w:val="16"/>
        </w:rPr>
        <w:footnoteRef/>
      </w:r>
      <w:r w:rsidRPr="009845F7">
        <w:rPr>
          <w:sz w:val="16"/>
          <w:szCs w:val="16"/>
        </w:rPr>
        <w:t xml:space="preserve"> </w:t>
      </w:r>
      <w:r w:rsidR="00B80780" w:rsidRPr="009845F7">
        <w:rPr>
          <w:sz w:val="16"/>
          <w:szCs w:val="16"/>
        </w:rPr>
        <w:t>ibid</w:t>
      </w:r>
    </w:p>
  </w:footnote>
  <w:footnote w:id="256">
    <w:p w14:paraId="7975134C" w14:textId="008015EE" w:rsidR="006F2D1C" w:rsidRPr="006F2D1C" w:rsidRDefault="006F2D1C">
      <w:pPr>
        <w:pStyle w:val="FootnoteText"/>
        <w:rPr>
          <w:lang w:val="en-CA"/>
        </w:rPr>
      </w:pPr>
      <w:r>
        <w:rPr>
          <w:rStyle w:val="FootnoteReference"/>
        </w:rPr>
        <w:footnoteRef/>
      </w:r>
      <w:r>
        <w:t xml:space="preserve"> </w:t>
      </w:r>
      <w:r w:rsidR="00BC230B" w:rsidRPr="000B0790">
        <w:rPr>
          <w:sz w:val="16"/>
          <w:szCs w:val="16"/>
          <w:lang w:val="en-CA"/>
        </w:rPr>
        <w:t xml:space="preserve">World Bank Group, 2023. </w:t>
      </w:r>
      <w:r w:rsidR="004D163E" w:rsidRPr="000B0790">
        <w:rPr>
          <w:sz w:val="16"/>
          <w:szCs w:val="16"/>
          <w:lang w:val="en-CA"/>
        </w:rPr>
        <w:t xml:space="preserve">Dominican Republic </w:t>
      </w:r>
      <w:r w:rsidR="00BC230B" w:rsidRPr="000B0790">
        <w:rPr>
          <w:sz w:val="16"/>
          <w:szCs w:val="16"/>
          <w:lang w:val="en-CA"/>
        </w:rPr>
        <w:t xml:space="preserve">Country Climate and Development Report. </w:t>
      </w:r>
      <w:r w:rsidR="009B185A" w:rsidRPr="000B0790">
        <w:rPr>
          <w:sz w:val="16"/>
          <w:szCs w:val="16"/>
          <w:lang w:val="en-CA"/>
        </w:rPr>
        <w:t xml:space="preserve">Available at: </w:t>
      </w:r>
      <w:hyperlink r:id="rId85" w:history="1">
        <w:r w:rsidR="009B185A" w:rsidRPr="000B0790">
          <w:rPr>
            <w:rStyle w:val="Hyperlink"/>
            <w:sz w:val="16"/>
            <w:szCs w:val="16"/>
            <w:lang w:val="en-CA"/>
          </w:rPr>
          <w:t>https://openknowledge.worldbank.org/entities/publication/92ff46b2-650d-4395-b1d4-9c51dcdc6448</w:t>
        </w:r>
      </w:hyperlink>
      <w:r w:rsidR="009B185A" w:rsidRPr="000B0790">
        <w:rPr>
          <w:sz w:val="16"/>
          <w:szCs w:val="16"/>
          <w:lang w:val="en-CA"/>
        </w:rPr>
        <w:t xml:space="preserve"> Accessed </w:t>
      </w:r>
      <w:r w:rsidR="000B0790" w:rsidRPr="000B0790">
        <w:rPr>
          <w:sz w:val="16"/>
          <w:szCs w:val="16"/>
          <w:lang w:val="en-CA"/>
        </w:rPr>
        <w:t>18 September 2025</w:t>
      </w:r>
    </w:p>
  </w:footnote>
  <w:footnote w:id="257">
    <w:p w14:paraId="1355263F" w14:textId="47161F0B" w:rsidR="003B1A10" w:rsidRPr="003B1A10" w:rsidRDefault="003B1A10">
      <w:pPr>
        <w:pStyle w:val="FootnoteText"/>
        <w:rPr>
          <w:lang w:val="en-CA"/>
        </w:rPr>
      </w:pPr>
      <w:r>
        <w:rPr>
          <w:rStyle w:val="FootnoteReference"/>
        </w:rPr>
        <w:footnoteRef/>
      </w:r>
      <w:r>
        <w:t xml:space="preserve"> </w:t>
      </w:r>
      <w:r w:rsidR="00075B73" w:rsidRPr="00075B73">
        <w:rPr>
          <w:sz w:val="16"/>
          <w:szCs w:val="16"/>
          <w:lang w:val="en-CA"/>
        </w:rPr>
        <w:t xml:space="preserve">ibid </w:t>
      </w:r>
    </w:p>
  </w:footnote>
  <w:footnote w:id="258">
    <w:p w14:paraId="4DDB5673" w14:textId="04D0DB5F" w:rsidR="007B66AE" w:rsidRPr="007B66AE" w:rsidRDefault="007B66AE">
      <w:pPr>
        <w:pStyle w:val="FootnoteText"/>
        <w:rPr>
          <w:lang w:val="en-CA"/>
        </w:rPr>
      </w:pPr>
      <w:r>
        <w:rPr>
          <w:rStyle w:val="FootnoteReference"/>
        </w:rPr>
        <w:footnoteRef/>
      </w:r>
      <w:r>
        <w:t xml:space="preserve"> </w:t>
      </w:r>
      <w:r>
        <w:rPr>
          <w:lang w:val="en-CA"/>
        </w:rPr>
        <w:t>2025 Dominican Republic VNR</w:t>
      </w:r>
    </w:p>
  </w:footnote>
  <w:footnote w:id="259">
    <w:p w14:paraId="78AFD323" w14:textId="38FCC430" w:rsidR="007B66AE" w:rsidRPr="007B66AE" w:rsidRDefault="007B66AE">
      <w:pPr>
        <w:pStyle w:val="FootnoteText"/>
        <w:rPr>
          <w:lang w:val="en-CA"/>
        </w:rPr>
      </w:pPr>
      <w:r>
        <w:rPr>
          <w:rStyle w:val="FootnoteReference"/>
        </w:rPr>
        <w:footnoteRef/>
      </w:r>
      <w:r>
        <w:t xml:space="preserve"> </w:t>
      </w:r>
      <w:r w:rsidR="00486ECB">
        <w:rPr>
          <w:lang w:val="en-CA"/>
        </w:rPr>
        <w:t xml:space="preserve">ibid </w:t>
      </w:r>
    </w:p>
  </w:footnote>
  <w:footnote w:id="260">
    <w:p w14:paraId="0BF27FCE" w14:textId="4D9683F0" w:rsidR="00E27A63" w:rsidRPr="00E27A63" w:rsidRDefault="00E27A63">
      <w:pPr>
        <w:pStyle w:val="FootnoteText"/>
        <w:rPr>
          <w:lang w:val="en-CA"/>
        </w:rPr>
      </w:pPr>
      <w:r>
        <w:rPr>
          <w:rStyle w:val="FootnoteReference"/>
        </w:rPr>
        <w:footnoteRef/>
      </w:r>
      <w:r>
        <w:t xml:space="preserve"> </w:t>
      </w:r>
      <w:r w:rsidR="00271033" w:rsidRPr="00271033">
        <w:rPr>
          <w:i/>
          <w:iCs/>
          <w:lang w:val="en-CA"/>
        </w:rPr>
        <w:t xml:space="preserve">Final </w:t>
      </w:r>
      <w:r w:rsidR="004E63CB">
        <w:rPr>
          <w:i/>
          <w:iCs/>
          <w:lang w:val="en-CA"/>
        </w:rPr>
        <w:t>p</w:t>
      </w:r>
      <w:r w:rsidR="00271033" w:rsidRPr="00271033">
        <w:rPr>
          <w:i/>
          <w:iCs/>
          <w:lang w:val="en-CA"/>
        </w:rPr>
        <w:t>roject report, Towards INFF Project, March 2025</w:t>
      </w:r>
    </w:p>
  </w:footnote>
  <w:footnote w:id="261">
    <w:p w14:paraId="5F94CE6D" w14:textId="77777777" w:rsidR="00DB57EB" w:rsidRPr="007D2FAC" w:rsidRDefault="00DB57EB" w:rsidP="00DB57EB">
      <w:pPr>
        <w:pStyle w:val="FootnoteText"/>
        <w:rPr>
          <w:lang w:val="en-CA"/>
        </w:rPr>
      </w:pPr>
      <w:r>
        <w:rPr>
          <w:rStyle w:val="FootnoteReference"/>
        </w:rPr>
        <w:footnoteRef/>
      </w:r>
      <w:r>
        <w:t xml:space="preserve"> </w:t>
      </w:r>
      <w:r>
        <w:rPr>
          <w:lang w:val="en-CA"/>
        </w:rPr>
        <w:t xml:space="preserve">ibid </w:t>
      </w:r>
    </w:p>
  </w:footnote>
  <w:footnote w:id="262">
    <w:p w14:paraId="3382509F" w14:textId="77777777" w:rsidR="00D55BEA" w:rsidRPr="004E6CA0" w:rsidRDefault="00D55BEA" w:rsidP="00D55BEA">
      <w:pPr>
        <w:pStyle w:val="FootnoteText"/>
        <w:rPr>
          <w:lang w:val="en-CA"/>
        </w:rPr>
      </w:pPr>
      <w:r>
        <w:rPr>
          <w:rStyle w:val="FootnoteReference"/>
        </w:rPr>
        <w:footnoteRef/>
      </w:r>
      <w:r>
        <w:t xml:space="preserve"> </w:t>
      </w:r>
      <w:r>
        <w:rPr>
          <w:lang w:val="en-CA"/>
        </w:rPr>
        <w:t>2025 Dominican Republic VNR, p.60</w:t>
      </w:r>
    </w:p>
  </w:footnote>
  <w:footnote w:id="263">
    <w:p w14:paraId="6ABAFC9B" w14:textId="6BD94E87" w:rsidR="004E6CA0" w:rsidRPr="004E6CA0" w:rsidRDefault="004E6CA0">
      <w:pPr>
        <w:pStyle w:val="FootnoteText"/>
        <w:rPr>
          <w:lang w:val="en-CA"/>
        </w:rPr>
      </w:pPr>
      <w:r>
        <w:rPr>
          <w:rStyle w:val="FootnoteReference"/>
        </w:rPr>
        <w:footnoteRef/>
      </w:r>
      <w:r>
        <w:t xml:space="preserve"> </w:t>
      </w:r>
      <w:r w:rsidR="000E1BC2">
        <w:t>ibid</w:t>
      </w:r>
      <w:r w:rsidR="0068021C">
        <w:rPr>
          <w:lang w:val="en-CA"/>
        </w:rPr>
        <w:t>, p.60</w:t>
      </w:r>
    </w:p>
  </w:footnote>
  <w:footnote w:id="264">
    <w:p w14:paraId="26E8BCFF" w14:textId="77777777" w:rsidR="00B72E81" w:rsidRPr="005D7590" w:rsidRDefault="00B72E81" w:rsidP="00B72E81">
      <w:pPr>
        <w:pStyle w:val="FootnoteText"/>
        <w:rPr>
          <w:sz w:val="16"/>
          <w:szCs w:val="16"/>
          <w:lang w:val="en-CA"/>
        </w:rPr>
      </w:pPr>
      <w:r w:rsidRPr="005D7590">
        <w:rPr>
          <w:rStyle w:val="FootnoteReference"/>
          <w:sz w:val="16"/>
          <w:szCs w:val="16"/>
        </w:rPr>
        <w:footnoteRef/>
      </w:r>
      <w:r w:rsidRPr="005D7590">
        <w:rPr>
          <w:sz w:val="16"/>
          <w:szCs w:val="16"/>
        </w:rPr>
        <w:t xml:space="preserve"> </w:t>
      </w:r>
      <w:hyperlink r:id="rId86" w:history="1">
        <w:r w:rsidRPr="005D7590">
          <w:rPr>
            <w:rStyle w:val="Hyperlink"/>
            <w:sz w:val="16"/>
            <w:szCs w:val="16"/>
          </w:rPr>
          <w:t>https://www.un.org/development/desa/dpad/wp-content/uploads/sites/45/WESP_2024_Web.pdf</w:t>
        </w:r>
      </w:hyperlink>
      <w:r w:rsidRPr="005D7590">
        <w:rPr>
          <w:sz w:val="16"/>
          <w:szCs w:val="16"/>
        </w:rPr>
        <w:t xml:space="preserve"> </w:t>
      </w:r>
    </w:p>
  </w:footnote>
  <w:footnote w:id="265">
    <w:p w14:paraId="57151D79" w14:textId="51C8C20A" w:rsidR="00350E88" w:rsidRPr="00350E88" w:rsidRDefault="00350E88">
      <w:pPr>
        <w:pStyle w:val="FootnoteText"/>
        <w:rPr>
          <w:lang w:val="en-CA"/>
        </w:rPr>
      </w:pPr>
      <w:r w:rsidRPr="005D7590">
        <w:rPr>
          <w:rStyle w:val="FootnoteReference"/>
          <w:sz w:val="16"/>
          <w:szCs w:val="16"/>
        </w:rPr>
        <w:footnoteRef/>
      </w:r>
      <w:r w:rsidRPr="005D7590">
        <w:rPr>
          <w:sz w:val="16"/>
          <w:szCs w:val="16"/>
        </w:rPr>
        <w:t xml:space="preserve"> </w:t>
      </w:r>
      <w:r w:rsidR="005D7590" w:rsidRPr="005D7590">
        <w:rPr>
          <w:sz w:val="16"/>
          <w:szCs w:val="16"/>
          <w:lang w:val="en-CA"/>
        </w:rPr>
        <w:t>Vision 2030 (Update), Egypt, p.21</w:t>
      </w:r>
    </w:p>
  </w:footnote>
  <w:footnote w:id="266">
    <w:p w14:paraId="11D978C2" w14:textId="536B39F5" w:rsidR="007F1A03" w:rsidRPr="007F1A03" w:rsidRDefault="007F1A03">
      <w:pPr>
        <w:pStyle w:val="FootnoteText"/>
        <w:rPr>
          <w:lang w:val="en-CA"/>
        </w:rPr>
      </w:pPr>
      <w:r>
        <w:rPr>
          <w:rStyle w:val="FootnoteReference"/>
        </w:rPr>
        <w:footnoteRef/>
      </w:r>
      <w:r>
        <w:t xml:space="preserve"> </w:t>
      </w:r>
      <w:r w:rsidR="009B388F" w:rsidRPr="00E54EE2">
        <w:rPr>
          <w:sz w:val="16"/>
          <w:szCs w:val="16"/>
        </w:rPr>
        <w:t>2018 Egypt Voluntary National Review</w:t>
      </w:r>
      <w:r w:rsidR="009B388F">
        <w:rPr>
          <w:sz w:val="16"/>
          <w:szCs w:val="16"/>
        </w:rPr>
        <w:t>. The four challenges are: financing; data; governance; and population growth.</w:t>
      </w:r>
    </w:p>
  </w:footnote>
  <w:footnote w:id="267">
    <w:p w14:paraId="42CC7C6D" w14:textId="532731B7" w:rsidR="00054C01" w:rsidRPr="00E54EE2" w:rsidRDefault="00054C01">
      <w:pPr>
        <w:pStyle w:val="FootnoteText"/>
        <w:rPr>
          <w:sz w:val="16"/>
          <w:szCs w:val="16"/>
          <w:lang w:val="en-CA"/>
        </w:rPr>
      </w:pPr>
      <w:r w:rsidRPr="00E54EE2">
        <w:rPr>
          <w:rStyle w:val="FootnoteReference"/>
          <w:sz w:val="16"/>
          <w:szCs w:val="16"/>
        </w:rPr>
        <w:footnoteRef/>
      </w:r>
      <w:r w:rsidRPr="00E54EE2">
        <w:rPr>
          <w:sz w:val="16"/>
          <w:szCs w:val="16"/>
        </w:rPr>
        <w:t xml:space="preserve"> </w:t>
      </w:r>
      <w:r w:rsidR="000A2F2F">
        <w:rPr>
          <w:sz w:val="16"/>
          <w:szCs w:val="16"/>
        </w:rPr>
        <w:t xml:space="preserve">ibid </w:t>
      </w:r>
    </w:p>
  </w:footnote>
  <w:footnote w:id="268">
    <w:p w14:paraId="707C6DC2" w14:textId="1664762A" w:rsidR="00E54EE2" w:rsidRPr="00E71E80" w:rsidRDefault="00E54EE2">
      <w:pPr>
        <w:pStyle w:val="FootnoteText"/>
        <w:rPr>
          <w:sz w:val="16"/>
          <w:szCs w:val="16"/>
          <w:lang w:val="en-CA"/>
        </w:rPr>
      </w:pPr>
      <w:r w:rsidRPr="00E54EE2">
        <w:rPr>
          <w:rStyle w:val="FootnoteReference"/>
          <w:sz w:val="16"/>
          <w:szCs w:val="16"/>
        </w:rPr>
        <w:footnoteRef/>
      </w:r>
      <w:r w:rsidRPr="00E54EE2">
        <w:rPr>
          <w:sz w:val="16"/>
          <w:szCs w:val="16"/>
        </w:rPr>
        <w:t xml:space="preserve"> </w:t>
      </w:r>
      <w:hyperlink r:id="rId87" w:history="1">
        <w:r w:rsidRPr="00E71E80">
          <w:rPr>
            <w:rStyle w:val="Hyperlink"/>
            <w:sz w:val="16"/>
            <w:szCs w:val="16"/>
          </w:rPr>
          <w:t>https://wts.com/global/publishing-article/20250708-egypt-egypt-announces-new-incentives-for-msmes~publishing-article</w:t>
        </w:r>
      </w:hyperlink>
      <w:r w:rsidRPr="00E71E80">
        <w:rPr>
          <w:sz w:val="16"/>
          <w:szCs w:val="16"/>
        </w:rPr>
        <w:t xml:space="preserve"> </w:t>
      </w:r>
    </w:p>
  </w:footnote>
  <w:footnote w:id="269">
    <w:p w14:paraId="5318D2E8" w14:textId="5807FA5B" w:rsidR="009C634D" w:rsidRPr="009C634D" w:rsidRDefault="009C634D">
      <w:pPr>
        <w:pStyle w:val="FootnoteText"/>
        <w:rPr>
          <w:lang w:val="en-CA"/>
        </w:rPr>
      </w:pPr>
      <w:r w:rsidRPr="00E71E80">
        <w:rPr>
          <w:rStyle w:val="FootnoteReference"/>
          <w:sz w:val="16"/>
          <w:szCs w:val="16"/>
        </w:rPr>
        <w:footnoteRef/>
      </w:r>
      <w:r w:rsidRPr="00E71E80">
        <w:rPr>
          <w:sz w:val="16"/>
          <w:szCs w:val="16"/>
        </w:rPr>
        <w:t xml:space="preserve"> </w:t>
      </w:r>
      <w:hyperlink r:id="rId88" w:history="1">
        <w:r w:rsidR="00E71E80" w:rsidRPr="00E71E80">
          <w:rPr>
            <w:rStyle w:val="Hyperlink"/>
            <w:sz w:val="16"/>
            <w:szCs w:val="16"/>
          </w:rPr>
          <w:t>https://tsfe.com/AtAGlance.html</w:t>
        </w:r>
      </w:hyperlink>
      <w:r w:rsidR="00E71E80">
        <w:t xml:space="preserve"> </w:t>
      </w:r>
    </w:p>
  </w:footnote>
  <w:footnote w:id="270">
    <w:p w14:paraId="20FE4B5D" w14:textId="77777777" w:rsidR="00532969" w:rsidRPr="0087385A" w:rsidRDefault="00532969" w:rsidP="00532969">
      <w:pPr>
        <w:pStyle w:val="FootnoteText"/>
        <w:rPr>
          <w:sz w:val="16"/>
          <w:szCs w:val="16"/>
          <w:lang w:val="en-CA"/>
        </w:rPr>
      </w:pPr>
      <w:r w:rsidRPr="00F4063A">
        <w:rPr>
          <w:rStyle w:val="FootnoteReference"/>
          <w:sz w:val="16"/>
          <w:szCs w:val="16"/>
        </w:rPr>
        <w:footnoteRef/>
      </w:r>
      <w:r w:rsidRPr="00F4063A">
        <w:rPr>
          <w:sz w:val="16"/>
          <w:szCs w:val="16"/>
        </w:rPr>
        <w:t xml:space="preserve"> </w:t>
      </w:r>
      <w:r w:rsidRPr="0087385A">
        <w:rPr>
          <w:sz w:val="16"/>
          <w:szCs w:val="16"/>
          <w:lang w:val="en-CA"/>
        </w:rPr>
        <w:t xml:space="preserve">Final project report, </w:t>
      </w:r>
      <w:r w:rsidRPr="0087385A">
        <w:rPr>
          <w:i/>
          <w:iCs/>
          <w:sz w:val="16"/>
          <w:szCs w:val="16"/>
          <w:lang w:val="en-CA"/>
        </w:rPr>
        <w:t>Towards INFF Project</w:t>
      </w:r>
      <w:r w:rsidRPr="0087385A">
        <w:rPr>
          <w:sz w:val="16"/>
          <w:szCs w:val="16"/>
          <w:lang w:val="en-CA"/>
        </w:rPr>
        <w:t>, March 2025</w:t>
      </w:r>
    </w:p>
  </w:footnote>
  <w:footnote w:id="271">
    <w:p w14:paraId="16CAA4A2" w14:textId="1FCB6C8E" w:rsidR="00F81532" w:rsidRPr="0087385A" w:rsidRDefault="00F81532">
      <w:pPr>
        <w:pStyle w:val="FootnoteText"/>
        <w:rPr>
          <w:sz w:val="16"/>
          <w:szCs w:val="16"/>
          <w:lang w:val="en-CA"/>
        </w:rPr>
      </w:pPr>
      <w:r w:rsidRPr="0087385A">
        <w:rPr>
          <w:rStyle w:val="FootnoteReference"/>
          <w:sz w:val="16"/>
          <w:szCs w:val="16"/>
        </w:rPr>
        <w:footnoteRef/>
      </w:r>
      <w:r w:rsidRPr="0087385A">
        <w:rPr>
          <w:sz w:val="16"/>
          <w:szCs w:val="16"/>
        </w:rPr>
        <w:t xml:space="preserve"> </w:t>
      </w:r>
      <w:r w:rsidR="00714FC8" w:rsidRPr="0087385A">
        <w:rPr>
          <w:sz w:val="16"/>
          <w:szCs w:val="16"/>
          <w:lang w:val="en-CA"/>
        </w:rPr>
        <w:t>2021 Egypt VNR</w:t>
      </w:r>
    </w:p>
  </w:footnote>
  <w:footnote w:id="272">
    <w:p w14:paraId="4D4A76A6" w14:textId="345EADBA" w:rsidR="00062C29" w:rsidRPr="0087385A" w:rsidRDefault="00062C29">
      <w:pPr>
        <w:pStyle w:val="FootnoteText"/>
        <w:rPr>
          <w:sz w:val="16"/>
          <w:szCs w:val="16"/>
          <w:lang w:val="en-CA"/>
        </w:rPr>
      </w:pPr>
      <w:r w:rsidRPr="0087385A">
        <w:rPr>
          <w:rStyle w:val="FootnoteReference"/>
          <w:sz w:val="16"/>
          <w:szCs w:val="16"/>
        </w:rPr>
        <w:footnoteRef/>
      </w:r>
      <w:r w:rsidRPr="0087385A">
        <w:rPr>
          <w:sz w:val="16"/>
          <w:szCs w:val="16"/>
        </w:rPr>
        <w:t xml:space="preserve"> </w:t>
      </w:r>
      <w:r w:rsidR="006B2042" w:rsidRPr="0087385A">
        <w:rPr>
          <w:sz w:val="16"/>
          <w:szCs w:val="16"/>
          <w:lang w:val="en-CA"/>
        </w:rPr>
        <w:t>E-FINS, 2024, p.14</w:t>
      </w:r>
    </w:p>
  </w:footnote>
  <w:footnote w:id="273">
    <w:p w14:paraId="1B5D6919" w14:textId="3C278BB7" w:rsidR="007E67EB" w:rsidRPr="007E67EB" w:rsidRDefault="007E67EB">
      <w:pPr>
        <w:pStyle w:val="FootnoteText"/>
        <w:rPr>
          <w:lang w:val="en-CA"/>
        </w:rPr>
      </w:pPr>
      <w:r w:rsidRPr="0087385A">
        <w:rPr>
          <w:rStyle w:val="FootnoteReference"/>
          <w:sz w:val="16"/>
          <w:szCs w:val="16"/>
        </w:rPr>
        <w:footnoteRef/>
      </w:r>
      <w:r w:rsidRPr="0087385A">
        <w:rPr>
          <w:sz w:val="16"/>
          <w:szCs w:val="16"/>
        </w:rPr>
        <w:t xml:space="preserve"> </w:t>
      </w:r>
      <w:r w:rsidR="0087385A" w:rsidRPr="0087385A">
        <w:rPr>
          <w:sz w:val="16"/>
          <w:szCs w:val="16"/>
          <w:lang w:val="en-CA"/>
        </w:rPr>
        <w:t>ibid</w:t>
      </w:r>
      <w:r w:rsidR="0087385A">
        <w:rPr>
          <w:lang w:val="en-CA"/>
        </w:rPr>
        <w:t xml:space="preserve"> </w:t>
      </w:r>
    </w:p>
  </w:footnote>
  <w:footnote w:id="274">
    <w:p w14:paraId="576134D1" w14:textId="670F6897" w:rsidR="00CC6A1F" w:rsidRPr="00CC6A1F" w:rsidRDefault="00CC6A1F">
      <w:pPr>
        <w:pStyle w:val="FootnoteText"/>
        <w:rPr>
          <w:lang w:val="en-CA"/>
        </w:rPr>
      </w:pPr>
      <w:r>
        <w:rPr>
          <w:rStyle w:val="FootnoteReference"/>
        </w:rPr>
        <w:footnoteRef/>
      </w:r>
      <w:r>
        <w:t xml:space="preserve"> </w:t>
      </w:r>
      <w:r w:rsidR="00E41AD7">
        <w:rPr>
          <w:lang w:val="en-CA"/>
        </w:rPr>
        <w:t xml:space="preserve">Adapted from </w:t>
      </w:r>
      <w:r w:rsidR="00E41AD7" w:rsidRPr="0087385A">
        <w:rPr>
          <w:sz w:val="16"/>
          <w:szCs w:val="16"/>
          <w:lang w:val="en-CA"/>
        </w:rPr>
        <w:t>E-FINS, 2024, p.1</w:t>
      </w:r>
      <w:r w:rsidR="00E41AD7">
        <w:rPr>
          <w:sz w:val="16"/>
          <w:szCs w:val="16"/>
          <w:lang w:val="en-CA"/>
        </w:rPr>
        <w:t>3</w:t>
      </w:r>
    </w:p>
  </w:footnote>
  <w:footnote w:id="275">
    <w:p w14:paraId="03B8A689" w14:textId="77777777" w:rsidR="00E26B78" w:rsidRPr="00576F42" w:rsidRDefault="00E26B78" w:rsidP="00E26B78">
      <w:pPr>
        <w:pStyle w:val="FootnoteText"/>
        <w:rPr>
          <w:sz w:val="16"/>
          <w:szCs w:val="16"/>
          <w:lang w:val="en-CA"/>
        </w:rPr>
      </w:pPr>
      <w:r w:rsidRPr="0093621A">
        <w:rPr>
          <w:rStyle w:val="FootnoteReference"/>
          <w:sz w:val="16"/>
          <w:szCs w:val="16"/>
        </w:rPr>
        <w:footnoteRef/>
      </w:r>
      <w:r w:rsidRPr="0093621A">
        <w:rPr>
          <w:sz w:val="16"/>
          <w:szCs w:val="16"/>
        </w:rPr>
        <w:t xml:space="preserve"> </w:t>
      </w:r>
      <w:hyperlink r:id="rId89" w:history="1">
        <w:r w:rsidRPr="00576F42">
          <w:rPr>
            <w:rStyle w:val="Hyperlink"/>
            <w:sz w:val="16"/>
            <w:szCs w:val="16"/>
          </w:rPr>
          <w:t>https://www.un.org/development/desa/dpad/wp-content/uploads/sites/45/WESP_2024_Web.pdf</w:t>
        </w:r>
      </w:hyperlink>
      <w:r w:rsidRPr="00576F42">
        <w:rPr>
          <w:sz w:val="16"/>
          <w:szCs w:val="16"/>
        </w:rPr>
        <w:t xml:space="preserve"> </w:t>
      </w:r>
    </w:p>
  </w:footnote>
  <w:footnote w:id="276">
    <w:p w14:paraId="386AB695" w14:textId="6C0FA759" w:rsidR="00D43072" w:rsidRPr="00576F42" w:rsidRDefault="00D43072">
      <w:pPr>
        <w:pStyle w:val="FootnoteText"/>
        <w:rPr>
          <w:sz w:val="16"/>
          <w:szCs w:val="16"/>
          <w:lang w:val="en-CA"/>
        </w:rPr>
      </w:pPr>
      <w:r w:rsidRPr="00576F42">
        <w:rPr>
          <w:rStyle w:val="FootnoteReference"/>
          <w:sz w:val="16"/>
          <w:szCs w:val="16"/>
        </w:rPr>
        <w:footnoteRef/>
      </w:r>
      <w:r w:rsidRPr="00576F42">
        <w:rPr>
          <w:sz w:val="16"/>
          <w:szCs w:val="16"/>
        </w:rPr>
        <w:t xml:space="preserve"> </w:t>
      </w:r>
      <w:r w:rsidR="008357FA" w:rsidRPr="00576F42">
        <w:rPr>
          <w:sz w:val="16"/>
          <w:szCs w:val="16"/>
          <w:lang w:val="en-CA"/>
        </w:rPr>
        <w:t>2025</w:t>
      </w:r>
      <w:r w:rsidR="00031CB6" w:rsidRPr="00576F42">
        <w:rPr>
          <w:sz w:val="16"/>
          <w:szCs w:val="16"/>
          <w:lang w:val="en-CA"/>
        </w:rPr>
        <w:t xml:space="preserve"> Kyrgyzstan Voluntary National Review</w:t>
      </w:r>
    </w:p>
  </w:footnote>
  <w:footnote w:id="277">
    <w:p w14:paraId="28284C38" w14:textId="1AA76B06" w:rsidR="00D42CBF" w:rsidRPr="00576F42" w:rsidRDefault="00D42CBF" w:rsidP="00D42CBF">
      <w:pPr>
        <w:pStyle w:val="FootnoteText"/>
        <w:rPr>
          <w:sz w:val="16"/>
          <w:szCs w:val="16"/>
          <w:lang w:val="en-CA"/>
        </w:rPr>
      </w:pPr>
      <w:r w:rsidRPr="00576F42">
        <w:rPr>
          <w:rStyle w:val="FootnoteReference"/>
          <w:sz w:val="16"/>
          <w:szCs w:val="16"/>
        </w:rPr>
        <w:footnoteRef/>
      </w:r>
      <w:r w:rsidRPr="00576F42">
        <w:rPr>
          <w:sz w:val="16"/>
          <w:szCs w:val="16"/>
        </w:rPr>
        <w:t xml:space="preserve"> </w:t>
      </w:r>
      <w:r w:rsidR="001B1FCE" w:rsidRPr="00576F42">
        <w:rPr>
          <w:sz w:val="16"/>
          <w:szCs w:val="16"/>
        </w:rPr>
        <w:t>NDS 2018-2040</w:t>
      </w:r>
      <w:r w:rsidRPr="00576F42">
        <w:rPr>
          <w:sz w:val="16"/>
          <w:szCs w:val="16"/>
        </w:rPr>
        <w:t xml:space="preserve"> </w:t>
      </w:r>
    </w:p>
  </w:footnote>
  <w:footnote w:id="278">
    <w:p w14:paraId="3D5099E8" w14:textId="6ED6DB42" w:rsidR="004709CF" w:rsidRPr="00576F42" w:rsidRDefault="004709CF" w:rsidP="004709CF">
      <w:pPr>
        <w:pStyle w:val="FootnoteText"/>
        <w:rPr>
          <w:sz w:val="16"/>
          <w:szCs w:val="16"/>
          <w:lang w:val="en-CA"/>
        </w:rPr>
      </w:pPr>
      <w:r w:rsidRPr="00576F42">
        <w:rPr>
          <w:rStyle w:val="FootnoteReference"/>
          <w:sz w:val="16"/>
          <w:szCs w:val="16"/>
        </w:rPr>
        <w:footnoteRef/>
      </w:r>
      <w:r w:rsidRPr="00576F42">
        <w:rPr>
          <w:sz w:val="16"/>
          <w:szCs w:val="16"/>
        </w:rPr>
        <w:t xml:space="preserve"> </w:t>
      </w:r>
      <w:r w:rsidR="00895968" w:rsidRPr="00576F42">
        <w:rPr>
          <w:sz w:val="16"/>
          <w:szCs w:val="16"/>
          <w:lang w:val="en-CA"/>
        </w:rPr>
        <w:t>2025</w:t>
      </w:r>
      <w:r w:rsidR="0093621A" w:rsidRPr="00576F42">
        <w:rPr>
          <w:sz w:val="16"/>
          <w:szCs w:val="16"/>
          <w:lang w:val="en-CA"/>
        </w:rPr>
        <w:t xml:space="preserve"> Kyrgyzstan VNR</w:t>
      </w:r>
      <w:r w:rsidRPr="00576F42">
        <w:rPr>
          <w:sz w:val="16"/>
          <w:szCs w:val="16"/>
          <w:lang w:val="en-CA"/>
        </w:rPr>
        <w:t xml:space="preserve"> </w:t>
      </w:r>
    </w:p>
  </w:footnote>
  <w:footnote w:id="279">
    <w:p w14:paraId="63B17FDB" w14:textId="438DDE53" w:rsidR="00224F6F" w:rsidRPr="00576F42" w:rsidRDefault="00224F6F" w:rsidP="00224F6F">
      <w:pPr>
        <w:pStyle w:val="FootnoteText"/>
        <w:rPr>
          <w:lang w:val="en-CA"/>
        </w:rPr>
      </w:pPr>
      <w:r w:rsidRPr="00576F42">
        <w:rPr>
          <w:rStyle w:val="FootnoteReference"/>
          <w:sz w:val="16"/>
          <w:szCs w:val="16"/>
        </w:rPr>
        <w:footnoteRef/>
      </w:r>
      <w:r w:rsidRPr="00576F42">
        <w:rPr>
          <w:sz w:val="16"/>
          <w:szCs w:val="16"/>
        </w:rPr>
        <w:t xml:space="preserve"> </w:t>
      </w:r>
      <w:r>
        <w:rPr>
          <w:sz w:val="16"/>
          <w:szCs w:val="16"/>
        </w:rPr>
        <w:t>NDP 2030; 2025 Kyrgyzstan VNR</w:t>
      </w:r>
    </w:p>
  </w:footnote>
  <w:footnote w:id="280">
    <w:p w14:paraId="737755B2" w14:textId="66AAA797" w:rsidR="00007E56" w:rsidRPr="00007E56" w:rsidRDefault="00007E56">
      <w:pPr>
        <w:pStyle w:val="FootnoteText"/>
        <w:rPr>
          <w:lang w:val="en-CA"/>
        </w:rPr>
      </w:pPr>
      <w:r w:rsidRPr="0093621A">
        <w:rPr>
          <w:rStyle w:val="FootnoteReference"/>
          <w:sz w:val="16"/>
          <w:szCs w:val="16"/>
        </w:rPr>
        <w:footnoteRef/>
      </w:r>
      <w:r w:rsidRPr="0093621A">
        <w:rPr>
          <w:sz w:val="16"/>
          <w:szCs w:val="16"/>
        </w:rPr>
        <w:t xml:space="preserve"> </w:t>
      </w:r>
      <w:hyperlink r:id="rId90" w:history="1">
        <w:r w:rsidR="00D42CBF" w:rsidRPr="0093621A">
          <w:rPr>
            <w:rStyle w:val="Hyperlink"/>
            <w:sz w:val="16"/>
            <w:szCs w:val="16"/>
          </w:rPr>
          <w:t>https://cfc.gov.kg/en/about</w:t>
        </w:r>
      </w:hyperlink>
      <w:r w:rsidR="000C1B5F">
        <w:t xml:space="preserve"> </w:t>
      </w:r>
    </w:p>
  </w:footnote>
  <w:footnote w:id="281">
    <w:p w14:paraId="20E6536D" w14:textId="065E6C09" w:rsidR="00C656C1" w:rsidRPr="005C580B" w:rsidRDefault="00C656C1" w:rsidP="00C656C1">
      <w:pPr>
        <w:pStyle w:val="FootnoteText"/>
        <w:rPr>
          <w:sz w:val="16"/>
          <w:szCs w:val="16"/>
          <w:lang w:val="en-CA"/>
        </w:rPr>
      </w:pPr>
      <w:r w:rsidRPr="005C580B">
        <w:rPr>
          <w:rStyle w:val="FootnoteReference"/>
          <w:sz w:val="16"/>
          <w:szCs w:val="16"/>
        </w:rPr>
        <w:footnoteRef/>
      </w:r>
      <w:r w:rsidRPr="005C580B">
        <w:rPr>
          <w:sz w:val="16"/>
          <w:szCs w:val="16"/>
        </w:rPr>
        <w:t xml:space="preserve"> </w:t>
      </w:r>
      <w:r w:rsidR="005C580B" w:rsidRPr="005C580B">
        <w:rPr>
          <w:sz w:val="16"/>
          <w:szCs w:val="16"/>
        </w:rPr>
        <w:t xml:space="preserve">ibid </w:t>
      </w:r>
    </w:p>
  </w:footnote>
  <w:footnote w:id="282">
    <w:p w14:paraId="0E2D8038" w14:textId="1B2582AC" w:rsidR="004752F6" w:rsidRPr="00B5782F" w:rsidRDefault="004752F6" w:rsidP="004752F6">
      <w:pPr>
        <w:pStyle w:val="FootnoteText"/>
        <w:rPr>
          <w:lang w:val="en-CA"/>
        </w:rPr>
      </w:pPr>
      <w:r>
        <w:rPr>
          <w:rStyle w:val="FootnoteReference"/>
        </w:rPr>
        <w:footnoteRef/>
      </w:r>
      <w:r>
        <w:t xml:space="preserve"> </w:t>
      </w:r>
      <w:r w:rsidR="005D03A5">
        <w:rPr>
          <w:sz w:val="16"/>
          <w:szCs w:val="16"/>
        </w:rPr>
        <w:t>2025 Kyrgyzstan VNR</w:t>
      </w:r>
    </w:p>
  </w:footnote>
  <w:footnote w:id="283">
    <w:p w14:paraId="799EE7F4" w14:textId="0C9B54B3" w:rsidR="00294BB0" w:rsidRPr="005D03A5" w:rsidRDefault="00294BB0" w:rsidP="00294BB0">
      <w:pPr>
        <w:pStyle w:val="FootnoteText"/>
        <w:rPr>
          <w:sz w:val="16"/>
          <w:szCs w:val="16"/>
          <w:lang w:val="en-CA"/>
        </w:rPr>
      </w:pPr>
      <w:r w:rsidRPr="005D03A5">
        <w:rPr>
          <w:rStyle w:val="FootnoteReference"/>
          <w:sz w:val="16"/>
          <w:szCs w:val="16"/>
        </w:rPr>
        <w:footnoteRef/>
      </w:r>
      <w:r w:rsidR="005D03A5" w:rsidRPr="005D03A5">
        <w:rPr>
          <w:sz w:val="16"/>
          <w:szCs w:val="16"/>
        </w:rPr>
        <w:t xml:space="preserve">ibid </w:t>
      </w:r>
      <w:r w:rsidRPr="005D03A5">
        <w:rPr>
          <w:sz w:val="16"/>
          <w:szCs w:val="16"/>
          <w:lang w:val="en-CA"/>
        </w:rPr>
        <w:t xml:space="preserve"> </w:t>
      </w:r>
    </w:p>
  </w:footnote>
  <w:footnote w:id="284">
    <w:p w14:paraId="3DEB03D0" w14:textId="3426C557" w:rsidR="003779C5" w:rsidRPr="00C3391B" w:rsidRDefault="003779C5">
      <w:pPr>
        <w:pStyle w:val="FootnoteText"/>
        <w:rPr>
          <w:sz w:val="16"/>
          <w:szCs w:val="16"/>
          <w:lang w:val="en-CA"/>
        </w:rPr>
      </w:pPr>
      <w:r w:rsidRPr="00C3391B">
        <w:rPr>
          <w:rStyle w:val="FootnoteReference"/>
          <w:sz w:val="16"/>
          <w:szCs w:val="16"/>
        </w:rPr>
        <w:footnoteRef/>
      </w:r>
      <w:r w:rsidRPr="00C3391B">
        <w:rPr>
          <w:sz w:val="16"/>
          <w:szCs w:val="16"/>
        </w:rPr>
        <w:t xml:space="preserve"> </w:t>
      </w:r>
      <w:hyperlink r:id="rId91" w:history="1">
        <w:r w:rsidR="00792366" w:rsidRPr="00EB5CBA">
          <w:rPr>
            <w:rStyle w:val="Hyperlink"/>
            <w:sz w:val="16"/>
            <w:szCs w:val="16"/>
          </w:rPr>
          <w:t>https://unctad.org/topic/enterprise-development/Empretec</w:t>
        </w:r>
      </w:hyperlink>
      <w:r w:rsidR="00792366">
        <w:rPr>
          <w:sz w:val="16"/>
          <w:szCs w:val="16"/>
        </w:rPr>
        <w:t xml:space="preserve"> </w:t>
      </w:r>
    </w:p>
  </w:footnote>
  <w:footnote w:id="285">
    <w:p w14:paraId="7722A5CC" w14:textId="175AC6E3" w:rsidR="007D69BB" w:rsidRPr="007D69BB" w:rsidRDefault="007D69BB">
      <w:pPr>
        <w:pStyle w:val="FootnoteText"/>
        <w:rPr>
          <w:lang w:val="en-CA"/>
        </w:rPr>
      </w:pPr>
      <w:r>
        <w:rPr>
          <w:rStyle w:val="FootnoteReference"/>
        </w:rPr>
        <w:footnoteRef/>
      </w:r>
      <w:r>
        <w:t xml:space="preserve"> </w:t>
      </w:r>
      <w:hyperlink r:id="rId92" w:history="1">
        <w:r w:rsidR="006415D9" w:rsidRPr="006415D9">
          <w:rPr>
            <w:rStyle w:val="Hyperlink"/>
            <w:sz w:val="16"/>
            <w:szCs w:val="16"/>
          </w:rPr>
          <w:t>https://www.un.org/development/desa/dpad/wp-content/uploads/sites/45/WESP_2024_Web.pdf</w:t>
        </w:r>
      </w:hyperlink>
      <w:r w:rsidR="006415D9">
        <w:t xml:space="preserve"> </w:t>
      </w:r>
    </w:p>
  </w:footnote>
  <w:footnote w:id="286">
    <w:p w14:paraId="0B818D66" w14:textId="77777777" w:rsidR="006D2AD6" w:rsidRPr="00705616" w:rsidRDefault="006D2AD6" w:rsidP="006D2AD6">
      <w:pPr>
        <w:pStyle w:val="FootnoteText"/>
        <w:rPr>
          <w:lang w:val="en-CA"/>
        </w:rPr>
      </w:pPr>
      <w:r>
        <w:rPr>
          <w:rStyle w:val="FootnoteReference"/>
        </w:rPr>
        <w:footnoteRef/>
      </w:r>
      <w:r>
        <w:t xml:space="preserve"> </w:t>
      </w:r>
      <w:r>
        <w:rPr>
          <w:lang w:val="en-CA"/>
        </w:rPr>
        <w:t>2022 Pakistan VNR</w:t>
      </w:r>
    </w:p>
  </w:footnote>
  <w:footnote w:id="287">
    <w:p w14:paraId="51F0C9CE" w14:textId="09CD1E23" w:rsidR="0076220B" w:rsidRPr="0076220B" w:rsidRDefault="0076220B">
      <w:pPr>
        <w:pStyle w:val="FootnoteText"/>
        <w:rPr>
          <w:lang w:val="en-CA"/>
        </w:rPr>
      </w:pPr>
      <w:r>
        <w:rPr>
          <w:rStyle w:val="FootnoteReference"/>
        </w:rPr>
        <w:footnoteRef/>
      </w:r>
      <w:r>
        <w:t xml:space="preserve"> </w:t>
      </w:r>
      <w:r>
        <w:rPr>
          <w:lang w:val="en-CA"/>
        </w:rPr>
        <w:t>Uraan Pakistan,</w:t>
      </w:r>
      <w:r w:rsidR="005677E5">
        <w:rPr>
          <w:lang w:val="en-CA"/>
        </w:rPr>
        <w:t xml:space="preserve"> p.16; </w:t>
      </w:r>
      <w:r>
        <w:rPr>
          <w:lang w:val="en-CA"/>
        </w:rPr>
        <w:t xml:space="preserve"> p,57</w:t>
      </w:r>
    </w:p>
  </w:footnote>
  <w:footnote w:id="288">
    <w:p w14:paraId="73A05C46" w14:textId="32DE91ED" w:rsidR="0080409C" w:rsidRPr="0080409C" w:rsidRDefault="0080409C">
      <w:pPr>
        <w:pStyle w:val="FootnoteText"/>
        <w:rPr>
          <w:lang w:val="en-CA"/>
        </w:rPr>
      </w:pPr>
      <w:r>
        <w:rPr>
          <w:rStyle w:val="FootnoteReference"/>
        </w:rPr>
        <w:footnoteRef/>
      </w:r>
      <w:r>
        <w:t xml:space="preserve"> </w:t>
      </w:r>
      <w:r>
        <w:rPr>
          <w:lang w:val="en-CA"/>
        </w:rPr>
        <w:t>Uraan Pakistan, p.21.</w:t>
      </w:r>
    </w:p>
  </w:footnote>
  <w:footnote w:id="289">
    <w:p w14:paraId="455BD2F1" w14:textId="6C6072D8" w:rsidR="00705616" w:rsidRPr="00705616" w:rsidRDefault="00705616">
      <w:pPr>
        <w:pStyle w:val="FootnoteText"/>
        <w:rPr>
          <w:lang w:val="en-CA"/>
        </w:rPr>
      </w:pPr>
      <w:r>
        <w:rPr>
          <w:rStyle w:val="FootnoteReference"/>
        </w:rPr>
        <w:footnoteRef/>
      </w:r>
      <w:r>
        <w:t xml:space="preserve"> </w:t>
      </w:r>
      <w:r>
        <w:rPr>
          <w:lang w:val="en-CA"/>
        </w:rPr>
        <w:t>2022 Pakistan VNR</w:t>
      </w:r>
    </w:p>
  </w:footnote>
  <w:footnote w:id="290">
    <w:p w14:paraId="4C940FAD" w14:textId="16B1B13C" w:rsidR="00705616" w:rsidRPr="0080409C" w:rsidRDefault="00705616" w:rsidP="00705616">
      <w:pPr>
        <w:pStyle w:val="FootnoteText"/>
        <w:rPr>
          <w:lang w:val="en-CA"/>
        </w:rPr>
      </w:pPr>
      <w:r>
        <w:rPr>
          <w:rStyle w:val="FootnoteReference"/>
        </w:rPr>
        <w:footnoteRef/>
      </w:r>
      <w:r>
        <w:t xml:space="preserve"> </w:t>
      </w:r>
      <w:r>
        <w:rPr>
          <w:lang w:val="en-CA"/>
        </w:rPr>
        <w:t>Uraan Pakistan, p.68</w:t>
      </w:r>
    </w:p>
  </w:footnote>
  <w:footnote w:id="291">
    <w:p w14:paraId="0ADCA0E3" w14:textId="2395D520" w:rsidR="00714206" w:rsidRPr="00714206" w:rsidRDefault="00714206">
      <w:pPr>
        <w:pStyle w:val="FootnoteText"/>
        <w:rPr>
          <w:lang w:val="en-CA"/>
        </w:rPr>
      </w:pPr>
      <w:r>
        <w:rPr>
          <w:rStyle w:val="FootnoteReference"/>
        </w:rPr>
        <w:footnoteRef/>
      </w:r>
      <w:r>
        <w:t xml:space="preserve"> </w:t>
      </w:r>
      <w:r w:rsidR="00AA3BBA">
        <w:t>Uraan Pakistan, pp.</w:t>
      </w:r>
      <w:r>
        <w:rPr>
          <w:lang w:val="en-CA"/>
        </w:rPr>
        <w:t>2</w:t>
      </w:r>
      <w:r w:rsidR="00AA3BBA">
        <w:rPr>
          <w:lang w:val="en-CA"/>
        </w:rPr>
        <w:t>5-28</w:t>
      </w:r>
    </w:p>
  </w:footnote>
  <w:footnote w:id="292">
    <w:p w14:paraId="617B2EB3" w14:textId="324DCFBE" w:rsidR="004C57CF" w:rsidRPr="00D14EAA" w:rsidRDefault="004C57CF">
      <w:pPr>
        <w:pStyle w:val="FootnoteText"/>
        <w:rPr>
          <w:sz w:val="16"/>
          <w:szCs w:val="16"/>
          <w:lang w:val="en-CA"/>
        </w:rPr>
      </w:pPr>
      <w:r>
        <w:rPr>
          <w:rStyle w:val="FootnoteReference"/>
        </w:rPr>
        <w:footnoteRef/>
      </w:r>
      <w:r>
        <w:t xml:space="preserve"> </w:t>
      </w:r>
      <w:r w:rsidR="00D14EAA" w:rsidRPr="00D14EAA">
        <w:rPr>
          <w:sz w:val="16"/>
          <w:szCs w:val="16"/>
          <w:lang w:val="en-CA"/>
        </w:rPr>
        <w:t>Final project report, March 2025</w:t>
      </w:r>
    </w:p>
  </w:footnote>
  <w:footnote w:id="293">
    <w:p w14:paraId="501B9887" w14:textId="5549E417" w:rsidR="008D113E" w:rsidRPr="008D113E" w:rsidRDefault="008D113E">
      <w:pPr>
        <w:pStyle w:val="FootnoteText"/>
        <w:rPr>
          <w:lang w:val="en-CA"/>
        </w:rPr>
      </w:pPr>
      <w:r w:rsidRPr="00D14EAA">
        <w:rPr>
          <w:rStyle w:val="FootnoteReference"/>
          <w:sz w:val="16"/>
          <w:szCs w:val="16"/>
        </w:rPr>
        <w:footnoteRef/>
      </w:r>
      <w:r w:rsidRPr="00D14EAA">
        <w:rPr>
          <w:sz w:val="16"/>
          <w:szCs w:val="16"/>
        </w:rPr>
        <w:t xml:space="preserve"> </w:t>
      </w:r>
      <w:r w:rsidR="00D14EAA" w:rsidRPr="00D14EAA">
        <w:rPr>
          <w:sz w:val="16"/>
          <w:szCs w:val="16"/>
        </w:rPr>
        <w:t>ibid</w:t>
      </w:r>
      <w:r w:rsidR="00D14EAA">
        <w:t xml:space="preserve"> </w:t>
      </w:r>
    </w:p>
  </w:footnote>
  <w:footnote w:id="294">
    <w:p w14:paraId="731A9AAD" w14:textId="15816236" w:rsidR="00D21CD1" w:rsidRPr="00D21CD1" w:rsidRDefault="00D21CD1" w:rsidP="00D21CD1">
      <w:pPr>
        <w:pStyle w:val="FootnoteText"/>
        <w:rPr>
          <w:lang w:val="en-CA"/>
        </w:rPr>
      </w:pPr>
      <w:r w:rsidRPr="00D21CD1">
        <w:rPr>
          <w:rStyle w:val="FootnoteReference"/>
          <w:sz w:val="16"/>
          <w:szCs w:val="16"/>
        </w:rPr>
        <w:footnoteRef/>
      </w:r>
      <w:r w:rsidRPr="00D21CD1">
        <w:rPr>
          <w:sz w:val="16"/>
          <w:szCs w:val="16"/>
        </w:rPr>
        <w:t xml:space="preserve"> </w:t>
      </w:r>
      <w:r w:rsidRPr="00D21CD1">
        <w:rPr>
          <w:sz w:val="16"/>
          <w:szCs w:val="16"/>
          <w:lang w:val="en-CA"/>
        </w:rPr>
        <w:t>Isgut, Alberto (2024). Towards an Integrated National Financing Framework for Pakistan. Paper presented</w:t>
      </w:r>
      <w:r>
        <w:rPr>
          <w:sz w:val="16"/>
          <w:szCs w:val="16"/>
          <w:lang w:val="en-CA"/>
        </w:rPr>
        <w:t xml:space="preserve"> </w:t>
      </w:r>
      <w:r w:rsidRPr="00D21CD1">
        <w:rPr>
          <w:sz w:val="16"/>
          <w:szCs w:val="16"/>
          <w:lang w:val="en-CA"/>
        </w:rPr>
        <w:t>at an ESCAP workshop on “Public Finance for SDGs in Pakistan: An Integrated National Financing</w:t>
      </w:r>
      <w:r>
        <w:rPr>
          <w:sz w:val="16"/>
          <w:szCs w:val="16"/>
          <w:lang w:val="en-CA"/>
        </w:rPr>
        <w:t xml:space="preserve"> </w:t>
      </w:r>
      <w:r w:rsidRPr="00D21CD1">
        <w:rPr>
          <w:sz w:val="16"/>
          <w:szCs w:val="16"/>
          <w:lang w:val="en-CA"/>
        </w:rPr>
        <w:t>Framework Approach” co-organized with UNDP-Pakistan, SDG Finance Academy, and INFF Facility in</w:t>
      </w:r>
      <w:r>
        <w:rPr>
          <w:sz w:val="16"/>
          <w:szCs w:val="16"/>
          <w:lang w:val="en-CA"/>
        </w:rPr>
        <w:t xml:space="preserve"> </w:t>
      </w:r>
      <w:r w:rsidRPr="00D21CD1">
        <w:rPr>
          <w:sz w:val="16"/>
          <w:szCs w:val="16"/>
          <w:lang w:val="en-CA"/>
        </w:rPr>
        <w:t>Islamabad, Pakistan in February 2024. Bangkok: ESCAP.</w:t>
      </w:r>
    </w:p>
  </w:footnote>
  <w:footnote w:id="295">
    <w:p w14:paraId="0DCBFF11" w14:textId="78017D0C" w:rsidR="005272E5" w:rsidRPr="00711C69" w:rsidRDefault="005272E5">
      <w:pPr>
        <w:pStyle w:val="FootnoteText"/>
        <w:rPr>
          <w:sz w:val="16"/>
          <w:szCs w:val="16"/>
          <w:lang w:val="en-CA"/>
        </w:rPr>
      </w:pPr>
      <w:r w:rsidRPr="00711C69">
        <w:rPr>
          <w:rStyle w:val="FootnoteReference"/>
          <w:sz w:val="16"/>
          <w:szCs w:val="16"/>
        </w:rPr>
        <w:footnoteRef/>
      </w:r>
      <w:r w:rsidRPr="00711C69">
        <w:rPr>
          <w:sz w:val="16"/>
          <w:szCs w:val="16"/>
        </w:rPr>
        <w:t xml:space="preserve"> </w:t>
      </w:r>
      <w:r w:rsidR="002006CF" w:rsidRPr="00711C69">
        <w:rPr>
          <w:sz w:val="16"/>
          <w:szCs w:val="16"/>
          <w:lang w:val="en-CA"/>
        </w:rPr>
        <w:t>Vision 2030, para.2.2</w:t>
      </w:r>
    </w:p>
  </w:footnote>
  <w:footnote w:id="296">
    <w:p w14:paraId="5828ED18" w14:textId="77777777" w:rsidR="00BA1A08" w:rsidRPr="00711C69" w:rsidRDefault="00BA1A08" w:rsidP="00BA1A08">
      <w:pPr>
        <w:pStyle w:val="FootnoteText"/>
        <w:rPr>
          <w:sz w:val="16"/>
          <w:szCs w:val="16"/>
          <w:lang w:val="en-CA"/>
        </w:rPr>
      </w:pPr>
      <w:r w:rsidRPr="00711C69">
        <w:rPr>
          <w:rStyle w:val="FootnoteReference"/>
          <w:sz w:val="16"/>
          <w:szCs w:val="16"/>
        </w:rPr>
        <w:footnoteRef/>
      </w:r>
      <w:r w:rsidRPr="00711C69">
        <w:rPr>
          <w:sz w:val="16"/>
          <w:szCs w:val="16"/>
        </w:rPr>
        <w:t xml:space="preserve"> </w:t>
      </w:r>
      <w:r w:rsidRPr="00711C69">
        <w:rPr>
          <w:sz w:val="16"/>
          <w:szCs w:val="16"/>
          <w:lang w:val="en-CA"/>
        </w:rPr>
        <w:t>ibid, para.2.1</w:t>
      </w:r>
    </w:p>
  </w:footnote>
  <w:footnote w:id="297">
    <w:p w14:paraId="3DC9C4EE" w14:textId="24D210A9" w:rsidR="00261975" w:rsidRPr="00711C69" w:rsidRDefault="00261975">
      <w:pPr>
        <w:pStyle w:val="FootnoteText"/>
        <w:rPr>
          <w:sz w:val="16"/>
          <w:szCs w:val="16"/>
          <w:lang w:val="en-CA"/>
        </w:rPr>
      </w:pPr>
      <w:r w:rsidRPr="00711C69">
        <w:rPr>
          <w:rStyle w:val="FootnoteReference"/>
          <w:sz w:val="16"/>
          <w:szCs w:val="16"/>
        </w:rPr>
        <w:footnoteRef/>
      </w:r>
      <w:r w:rsidRPr="00711C69">
        <w:rPr>
          <w:sz w:val="16"/>
          <w:szCs w:val="16"/>
        </w:rPr>
        <w:t xml:space="preserve"> </w:t>
      </w:r>
      <w:r w:rsidR="00A72C5D" w:rsidRPr="00711C69">
        <w:rPr>
          <w:sz w:val="16"/>
          <w:szCs w:val="16"/>
          <w:lang w:val="en-CA"/>
        </w:rPr>
        <w:t>8NDP (2022-2026), pp.</w:t>
      </w:r>
      <w:r w:rsidR="00C53119" w:rsidRPr="00711C69">
        <w:rPr>
          <w:sz w:val="16"/>
          <w:szCs w:val="16"/>
          <w:lang w:val="en-CA"/>
        </w:rPr>
        <w:t>84-86</w:t>
      </w:r>
    </w:p>
  </w:footnote>
  <w:footnote w:id="298">
    <w:p w14:paraId="5C75D2D9" w14:textId="42C104E2" w:rsidR="004D322F" w:rsidRPr="004D322F" w:rsidRDefault="004D322F">
      <w:pPr>
        <w:pStyle w:val="FootnoteText"/>
        <w:rPr>
          <w:lang w:val="en-CA"/>
        </w:rPr>
      </w:pPr>
      <w:r>
        <w:rPr>
          <w:rStyle w:val="FootnoteReference"/>
        </w:rPr>
        <w:footnoteRef/>
      </w:r>
      <w:r>
        <w:t xml:space="preserve"> </w:t>
      </w:r>
      <w:r>
        <w:rPr>
          <w:lang w:val="en-CA"/>
        </w:rPr>
        <w:t xml:space="preserve">DFA for Zambia 2023, </w:t>
      </w:r>
    </w:p>
  </w:footnote>
  <w:footnote w:id="299">
    <w:p w14:paraId="11825606" w14:textId="04FC3097" w:rsidR="005739BB" w:rsidRPr="005739BB" w:rsidRDefault="005739BB">
      <w:pPr>
        <w:pStyle w:val="FootnoteText"/>
        <w:rPr>
          <w:lang w:val="en-CA"/>
        </w:rPr>
      </w:pPr>
      <w:r>
        <w:rPr>
          <w:rStyle w:val="FootnoteReference"/>
        </w:rPr>
        <w:footnoteRef/>
      </w:r>
      <w:r>
        <w:t xml:space="preserve"> </w:t>
      </w:r>
      <w:r>
        <w:rPr>
          <w:lang w:val="en-CA"/>
        </w:rPr>
        <w:t>Final project report, March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D21F" w14:textId="77777777" w:rsidR="00941F93" w:rsidRDefault="00941F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EEB99" w14:textId="77777777" w:rsidR="006344C8" w:rsidRPr="00663BAE" w:rsidRDefault="006344C8" w:rsidP="00663B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AF4A334"/>
    <w:lvl w:ilvl="0">
      <w:start w:val="1"/>
      <w:numFmt w:val="decimal"/>
      <w:pStyle w:val="ListNumber"/>
      <w:lvlText w:val="%1."/>
      <w:lvlJc w:val="left"/>
      <w:pPr>
        <w:tabs>
          <w:tab w:val="num" w:pos="644"/>
        </w:tabs>
        <w:ind w:left="644" w:hanging="360"/>
      </w:pPr>
    </w:lvl>
  </w:abstractNum>
  <w:abstractNum w:abstractNumId="1" w15:restartNumberingAfterBreak="0">
    <w:nsid w:val="02221355"/>
    <w:multiLevelType w:val="hybridMultilevel"/>
    <w:tmpl w:val="5FA6B896"/>
    <w:lvl w:ilvl="0" w:tplc="10090019">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02786054"/>
    <w:multiLevelType w:val="hybridMultilevel"/>
    <w:tmpl w:val="99AE3A5C"/>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35F09CC"/>
    <w:multiLevelType w:val="hybridMultilevel"/>
    <w:tmpl w:val="F23C8082"/>
    <w:lvl w:ilvl="0" w:tplc="B8E81744">
      <w:numFmt w:val="bullet"/>
      <w:lvlText w:val="-"/>
      <w:lvlJc w:val="left"/>
      <w:pPr>
        <w:ind w:left="519" w:hanging="360"/>
      </w:pPr>
      <w:rPr>
        <w:rFonts w:ascii="Calibri" w:eastAsia="Calibri" w:hAnsi="Calibri" w:cs="Calibri" w:hint="default"/>
      </w:rPr>
    </w:lvl>
    <w:lvl w:ilvl="1" w:tplc="10090003" w:tentative="1">
      <w:start w:val="1"/>
      <w:numFmt w:val="bullet"/>
      <w:lvlText w:val="o"/>
      <w:lvlJc w:val="left"/>
      <w:pPr>
        <w:ind w:left="1520" w:hanging="360"/>
      </w:pPr>
      <w:rPr>
        <w:rFonts w:ascii="Courier New" w:hAnsi="Courier New" w:cs="Courier New" w:hint="default"/>
      </w:rPr>
    </w:lvl>
    <w:lvl w:ilvl="2" w:tplc="10090005" w:tentative="1">
      <w:start w:val="1"/>
      <w:numFmt w:val="bullet"/>
      <w:lvlText w:val=""/>
      <w:lvlJc w:val="left"/>
      <w:pPr>
        <w:ind w:left="2240" w:hanging="360"/>
      </w:pPr>
      <w:rPr>
        <w:rFonts w:ascii="Wingdings" w:hAnsi="Wingdings" w:hint="default"/>
      </w:rPr>
    </w:lvl>
    <w:lvl w:ilvl="3" w:tplc="10090001" w:tentative="1">
      <w:start w:val="1"/>
      <w:numFmt w:val="bullet"/>
      <w:lvlText w:val=""/>
      <w:lvlJc w:val="left"/>
      <w:pPr>
        <w:ind w:left="2960" w:hanging="360"/>
      </w:pPr>
      <w:rPr>
        <w:rFonts w:ascii="Symbol" w:hAnsi="Symbol" w:hint="default"/>
      </w:rPr>
    </w:lvl>
    <w:lvl w:ilvl="4" w:tplc="10090003" w:tentative="1">
      <w:start w:val="1"/>
      <w:numFmt w:val="bullet"/>
      <w:lvlText w:val="o"/>
      <w:lvlJc w:val="left"/>
      <w:pPr>
        <w:ind w:left="3680" w:hanging="360"/>
      </w:pPr>
      <w:rPr>
        <w:rFonts w:ascii="Courier New" w:hAnsi="Courier New" w:cs="Courier New" w:hint="default"/>
      </w:rPr>
    </w:lvl>
    <w:lvl w:ilvl="5" w:tplc="10090005" w:tentative="1">
      <w:start w:val="1"/>
      <w:numFmt w:val="bullet"/>
      <w:lvlText w:val=""/>
      <w:lvlJc w:val="left"/>
      <w:pPr>
        <w:ind w:left="4400" w:hanging="360"/>
      </w:pPr>
      <w:rPr>
        <w:rFonts w:ascii="Wingdings" w:hAnsi="Wingdings" w:hint="default"/>
      </w:rPr>
    </w:lvl>
    <w:lvl w:ilvl="6" w:tplc="10090001" w:tentative="1">
      <w:start w:val="1"/>
      <w:numFmt w:val="bullet"/>
      <w:lvlText w:val=""/>
      <w:lvlJc w:val="left"/>
      <w:pPr>
        <w:ind w:left="5120" w:hanging="360"/>
      </w:pPr>
      <w:rPr>
        <w:rFonts w:ascii="Symbol" w:hAnsi="Symbol" w:hint="default"/>
      </w:rPr>
    </w:lvl>
    <w:lvl w:ilvl="7" w:tplc="10090003" w:tentative="1">
      <w:start w:val="1"/>
      <w:numFmt w:val="bullet"/>
      <w:lvlText w:val="o"/>
      <w:lvlJc w:val="left"/>
      <w:pPr>
        <w:ind w:left="5840" w:hanging="360"/>
      </w:pPr>
      <w:rPr>
        <w:rFonts w:ascii="Courier New" w:hAnsi="Courier New" w:cs="Courier New" w:hint="default"/>
      </w:rPr>
    </w:lvl>
    <w:lvl w:ilvl="8" w:tplc="10090005" w:tentative="1">
      <w:start w:val="1"/>
      <w:numFmt w:val="bullet"/>
      <w:lvlText w:val=""/>
      <w:lvlJc w:val="left"/>
      <w:pPr>
        <w:ind w:left="6560" w:hanging="360"/>
      </w:pPr>
      <w:rPr>
        <w:rFonts w:ascii="Wingdings" w:hAnsi="Wingdings" w:hint="default"/>
      </w:rPr>
    </w:lvl>
  </w:abstractNum>
  <w:abstractNum w:abstractNumId="4" w15:restartNumberingAfterBreak="0">
    <w:nsid w:val="04270AAE"/>
    <w:multiLevelType w:val="hybridMultilevel"/>
    <w:tmpl w:val="E0BC1F10"/>
    <w:lvl w:ilvl="0" w:tplc="1EA298A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8D7A52"/>
    <w:multiLevelType w:val="hybridMultilevel"/>
    <w:tmpl w:val="CF466EF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704583B"/>
    <w:multiLevelType w:val="multilevel"/>
    <w:tmpl w:val="8D22EE0A"/>
    <w:lvl w:ilvl="0">
      <w:start w:val="1"/>
      <w:numFmt w:val="bullet"/>
      <w:pStyle w:val="Question"/>
      <w:lvlText w:val=""/>
      <w:lvlJc w:val="left"/>
      <w:pPr>
        <w:tabs>
          <w:tab w:val="num" w:pos="720"/>
        </w:tabs>
        <w:ind w:left="720" w:hanging="720"/>
      </w:pPr>
      <w:rPr>
        <w:rFonts w:ascii="Symbol" w:hAnsi="Symbol" w:hint="default"/>
      </w:rPr>
    </w:lvl>
    <w:lvl w:ilvl="1">
      <w:start w:val="1"/>
      <w:numFmt w:val="lowerLetter"/>
      <w:lvlRestart w:val="0"/>
      <w:pStyle w:val="Answer"/>
      <w:lvlText w:val="%2."/>
      <w:lvlJc w:val="left"/>
      <w:pPr>
        <w:tabs>
          <w:tab w:val="num" w:pos="1797"/>
        </w:tabs>
        <w:ind w:left="1797" w:hanging="720"/>
      </w:pPr>
      <w:rPr>
        <w:rFonts w:hint="default"/>
      </w:rPr>
    </w:lvl>
    <w:lvl w:ilvl="2">
      <w:start w:val="1"/>
      <w:numFmt w:val="lowerRoman"/>
      <w:lvlText w:val="%3."/>
      <w:lvlJc w:val="right"/>
      <w:pPr>
        <w:tabs>
          <w:tab w:val="num" w:pos="2874"/>
        </w:tabs>
        <w:ind w:left="2874" w:hanging="720"/>
      </w:pPr>
      <w:rPr>
        <w:rFonts w:hint="default"/>
      </w:rPr>
    </w:lvl>
    <w:lvl w:ilvl="3">
      <w:start w:val="1"/>
      <w:numFmt w:val="decimal"/>
      <w:lvlText w:val="%4."/>
      <w:lvlJc w:val="left"/>
      <w:pPr>
        <w:tabs>
          <w:tab w:val="num" w:pos="3951"/>
        </w:tabs>
        <w:ind w:left="3951" w:hanging="720"/>
      </w:pPr>
      <w:rPr>
        <w:rFonts w:hint="default"/>
      </w:rPr>
    </w:lvl>
    <w:lvl w:ilvl="4">
      <w:start w:val="1"/>
      <w:numFmt w:val="lowerLetter"/>
      <w:lvlText w:val="%5."/>
      <w:lvlJc w:val="left"/>
      <w:pPr>
        <w:tabs>
          <w:tab w:val="num" w:pos="5028"/>
        </w:tabs>
        <w:ind w:left="5028" w:hanging="720"/>
      </w:pPr>
      <w:rPr>
        <w:rFonts w:hint="default"/>
      </w:rPr>
    </w:lvl>
    <w:lvl w:ilvl="5">
      <w:start w:val="1"/>
      <w:numFmt w:val="lowerRoman"/>
      <w:lvlText w:val="%6."/>
      <w:lvlJc w:val="right"/>
      <w:pPr>
        <w:tabs>
          <w:tab w:val="num" w:pos="6105"/>
        </w:tabs>
        <w:ind w:left="6105" w:hanging="720"/>
      </w:pPr>
      <w:rPr>
        <w:rFonts w:hint="default"/>
      </w:rPr>
    </w:lvl>
    <w:lvl w:ilvl="6">
      <w:start w:val="1"/>
      <w:numFmt w:val="decimal"/>
      <w:lvlText w:val="%7."/>
      <w:lvlJc w:val="left"/>
      <w:pPr>
        <w:tabs>
          <w:tab w:val="num" w:pos="7182"/>
        </w:tabs>
        <w:ind w:left="7182" w:hanging="720"/>
      </w:pPr>
      <w:rPr>
        <w:rFonts w:hint="default"/>
      </w:rPr>
    </w:lvl>
    <w:lvl w:ilvl="7">
      <w:start w:val="1"/>
      <w:numFmt w:val="lowerLetter"/>
      <w:lvlText w:val="%8."/>
      <w:lvlJc w:val="left"/>
      <w:pPr>
        <w:tabs>
          <w:tab w:val="num" w:pos="8259"/>
        </w:tabs>
        <w:ind w:left="8259" w:hanging="720"/>
      </w:pPr>
      <w:rPr>
        <w:rFonts w:hint="default"/>
      </w:rPr>
    </w:lvl>
    <w:lvl w:ilvl="8">
      <w:start w:val="1"/>
      <w:numFmt w:val="lowerRoman"/>
      <w:lvlText w:val="%9."/>
      <w:lvlJc w:val="right"/>
      <w:pPr>
        <w:tabs>
          <w:tab w:val="num" w:pos="9336"/>
        </w:tabs>
        <w:ind w:left="9336" w:hanging="720"/>
      </w:pPr>
      <w:rPr>
        <w:rFonts w:hint="default"/>
      </w:rPr>
    </w:lvl>
  </w:abstractNum>
  <w:abstractNum w:abstractNumId="7" w15:restartNumberingAfterBreak="0">
    <w:nsid w:val="09E66B93"/>
    <w:multiLevelType w:val="hybridMultilevel"/>
    <w:tmpl w:val="5652FD0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0AC43720"/>
    <w:multiLevelType w:val="multilevel"/>
    <w:tmpl w:val="10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864D7C"/>
    <w:multiLevelType w:val="hybridMultilevel"/>
    <w:tmpl w:val="97DA0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0BAC0681"/>
    <w:multiLevelType w:val="multilevel"/>
    <w:tmpl w:val="41B41992"/>
    <w:styleLink w:val="BodyBullets"/>
    <w:lvl w:ilvl="0">
      <w:start w:val="1"/>
      <w:numFmt w:val="bullet"/>
      <w:pStyle w:val="ListBullet"/>
      <w:lvlText w:val=""/>
      <w:lvlJc w:val="left"/>
      <w:pPr>
        <w:ind w:left="567" w:hanging="340"/>
      </w:pPr>
      <w:rPr>
        <w:rFonts w:ascii="Symbol" w:hAnsi="Symbol" w:hint="default"/>
        <w:color w:val="0F243E" w:themeColor="text2" w:themeShade="80"/>
        <w:sz w:val="16"/>
      </w:rPr>
    </w:lvl>
    <w:lvl w:ilvl="1">
      <w:start w:val="1"/>
      <w:numFmt w:val="bullet"/>
      <w:pStyle w:val="ListBullet2"/>
      <w:lvlText w:val=""/>
      <w:lvlJc w:val="left"/>
      <w:pPr>
        <w:ind w:left="907" w:hanging="340"/>
      </w:pPr>
      <w:rPr>
        <w:rFonts w:ascii="Symbol" w:hAnsi="Symbol" w:hint="default"/>
      </w:rPr>
    </w:lvl>
    <w:lvl w:ilvl="2">
      <w:start w:val="1"/>
      <w:numFmt w:val="bullet"/>
      <w:pStyle w:val="ListBullet3"/>
      <w:lvlText w:val=""/>
      <w:lvlJc w:val="left"/>
      <w:pPr>
        <w:ind w:left="1247" w:hanging="340"/>
      </w:pPr>
      <w:rPr>
        <w:rFonts w:ascii="Wingdings" w:hAnsi="Wingdings" w:hint="default"/>
      </w:rPr>
    </w:lvl>
    <w:lvl w:ilvl="3">
      <w:start w:val="1"/>
      <w:numFmt w:val="bullet"/>
      <w:lvlText w:val=""/>
      <w:lvlJc w:val="left"/>
      <w:pPr>
        <w:ind w:left="1587" w:hanging="340"/>
      </w:pPr>
      <w:rPr>
        <w:rFonts w:ascii="Symbol" w:hAnsi="Symbol" w:hint="default"/>
      </w:rPr>
    </w:lvl>
    <w:lvl w:ilvl="4">
      <w:start w:val="1"/>
      <w:numFmt w:val="bullet"/>
      <w:lvlText w:val="o"/>
      <w:lvlJc w:val="left"/>
      <w:pPr>
        <w:ind w:left="1927" w:hanging="340"/>
      </w:pPr>
      <w:rPr>
        <w:rFonts w:ascii="Courier New" w:hAnsi="Courier New" w:cs="Courier New" w:hint="default"/>
      </w:rPr>
    </w:lvl>
    <w:lvl w:ilvl="5">
      <w:start w:val="1"/>
      <w:numFmt w:val="bullet"/>
      <w:lvlText w:val=""/>
      <w:lvlJc w:val="left"/>
      <w:pPr>
        <w:ind w:left="2267" w:hanging="340"/>
      </w:pPr>
      <w:rPr>
        <w:rFonts w:ascii="Wingdings" w:hAnsi="Wingdings" w:hint="default"/>
      </w:rPr>
    </w:lvl>
    <w:lvl w:ilvl="6">
      <w:start w:val="1"/>
      <w:numFmt w:val="bullet"/>
      <w:lvlText w:val=""/>
      <w:lvlJc w:val="left"/>
      <w:pPr>
        <w:ind w:left="2607" w:hanging="340"/>
      </w:pPr>
      <w:rPr>
        <w:rFonts w:ascii="Symbol" w:hAnsi="Symbol" w:hint="default"/>
      </w:rPr>
    </w:lvl>
    <w:lvl w:ilvl="7">
      <w:start w:val="1"/>
      <w:numFmt w:val="bullet"/>
      <w:lvlText w:val="o"/>
      <w:lvlJc w:val="left"/>
      <w:pPr>
        <w:ind w:left="2947" w:hanging="340"/>
      </w:pPr>
      <w:rPr>
        <w:rFonts w:ascii="Courier New" w:hAnsi="Courier New" w:cs="Courier New" w:hint="default"/>
      </w:rPr>
    </w:lvl>
    <w:lvl w:ilvl="8">
      <w:start w:val="1"/>
      <w:numFmt w:val="bullet"/>
      <w:lvlText w:val=""/>
      <w:lvlJc w:val="left"/>
      <w:pPr>
        <w:ind w:left="3287" w:hanging="340"/>
      </w:pPr>
      <w:rPr>
        <w:rFonts w:ascii="Wingdings" w:hAnsi="Wingdings" w:hint="default"/>
      </w:rPr>
    </w:lvl>
  </w:abstractNum>
  <w:abstractNum w:abstractNumId="11" w15:restartNumberingAfterBreak="0">
    <w:nsid w:val="0DF352B0"/>
    <w:multiLevelType w:val="hybridMultilevel"/>
    <w:tmpl w:val="D7AEDF38"/>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10861DE2"/>
    <w:multiLevelType w:val="hybridMultilevel"/>
    <w:tmpl w:val="473C30B6"/>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146466C8"/>
    <w:multiLevelType w:val="hybridMultilevel"/>
    <w:tmpl w:val="9356CDC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4A4127F"/>
    <w:multiLevelType w:val="hybridMultilevel"/>
    <w:tmpl w:val="86B8D2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15D55235"/>
    <w:multiLevelType w:val="hybridMultilevel"/>
    <w:tmpl w:val="24AC2F2A"/>
    <w:lvl w:ilvl="0" w:tplc="FFFFFFFF">
      <w:start w:val="1"/>
      <w:numFmt w:val="lowerRoman"/>
      <w:lvlText w:val="(%1)"/>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2" w:tplc="91CE28BA">
      <w:numFmt w:val="bullet"/>
      <w:lvlText w:val="o"/>
      <w:lvlJc w:val="left"/>
      <w:pPr>
        <w:ind w:left="1441" w:hanging="360"/>
      </w:pPr>
      <w:rPr>
        <w:rFonts w:ascii="Courier New" w:eastAsia="Courier New" w:hAnsi="Courier New" w:cs="Courier New" w:hint="default"/>
        <w:b w:val="0"/>
        <w:bCs w:val="0"/>
        <w:i w:val="0"/>
        <w:iCs w:val="0"/>
        <w:spacing w:val="0"/>
        <w:w w:val="100"/>
        <w:sz w:val="22"/>
        <w:szCs w:val="22"/>
        <w:lang w:val="en-US" w:eastAsia="en-US" w:bidi="ar-SA"/>
      </w:rPr>
    </w:lvl>
    <w:lvl w:ilvl="3" w:tplc="FFFFFFFF">
      <w:numFmt w:val="bullet"/>
      <w:lvlText w:val="•"/>
      <w:lvlJc w:val="left"/>
      <w:pPr>
        <w:ind w:left="2565" w:hanging="360"/>
      </w:pPr>
      <w:rPr>
        <w:lang w:val="en-US" w:eastAsia="en-US" w:bidi="ar-SA"/>
      </w:rPr>
    </w:lvl>
    <w:lvl w:ilvl="4" w:tplc="FFFFFFFF">
      <w:numFmt w:val="bullet"/>
      <w:lvlText w:val="•"/>
      <w:lvlJc w:val="left"/>
      <w:pPr>
        <w:ind w:left="3690" w:hanging="360"/>
      </w:pPr>
      <w:rPr>
        <w:lang w:val="en-US" w:eastAsia="en-US" w:bidi="ar-SA"/>
      </w:rPr>
    </w:lvl>
    <w:lvl w:ilvl="5" w:tplc="FFFFFFFF">
      <w:numFmt w:val="bullet"/>
      <w:lvlText w:val="•"/>
      <w:lvlJc w:val="left"/>
      <w:pPr>
        <w:ind w:left="4815" w:hanging="360"/>
      </w:pPr>
      <w:rPr>
        <w:lang w:val="en-US" w:eastAsia="en-US" w:bidi="ar-SA"/>
      </w:rPr>
    </w:lvl>
    <w:lvl w:ilvl="6" w:tplc="FFFFFFFF">
      <w:numFmt w:val="bullet"/>
      <w:lvlText w:val="•"/>
      <w:lvlJc w:val="left"/>
      <w:pPr>
        <w:ind w:left="5940" w:hanging="360"/>
      </w:pPr>
      <w:rPr>
        <w:lang w:val="en-US" w:eastAsia="en-US" w:bidi="ar-SA"/>
      </w:rPr>
    </w:lvl>
    <w:lvl w:ilvl="7" w:tplc="FFFFFFFF">
      <w:numFmt w:val="bullet"/>
      <w:lvlText w:val="•"/>
      <w:lvlJc w:val="left"/>
      <w:pPr>
        <w:ind w:left="7065" w:hanging="360"/>
      </w:pPr>
      <w:rPr>
        <w:lang w:val="en-US" w:eastAsia="en-US" w:bidi="ar-SA"/>
      </w:rPr>
    </w:lvl>
    <w:lvl w:ilvl="8" w:tplc="FFFFFFFF">
      <w:numFmt w:val="bullet"/>
      <w:lvlText w:val="•"/>
      <w:lvlJc w:val="left"/>
      <w:pPr>
        <w:ind w:left="8190" w:hanging="360"/>
      </w:pPr>
      <w:rPr>
        <w:lang w:val="en-US" w:eastAsia="en-US" w:bidi="ar-SA"/>
      </w:rPr>
    </w:lvl>
  </w:abstractNum>
  <w:abstractNum w:abstractNumId="16" w15:restartNumberingAfterBreak="0">
    <w:nsid w:val="16A61054"/>
    <w:multiLevelType w:val="hybridMultilevel"/>
    <w:tmpl w:val="173A786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16C70DB0"/>
    <w:multiLevelType w:val="hybridMultilevel"/>
    <w:tmpl w:val="6924FBC4"/>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173C02D5"/>
    <w:multiLevelType w:val="hybridMultilevel"/>
    <w:tmpl w:val="ABC2CF80"/>
    <w:lvl w:ilvl="0" w:tplc="6DFE3050">
      <w:start w:val="4"/>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17973EC5"/>
    <w:multiLevelType w:val="hybridMultilevel"/>
    <w:tmpl w:val="89E81CA6"/>
    <w:lvl w:ilvl="0" w:tplc="808E39BA">
      <w:start w:val="1"/>
      <w:numFmt w:val="lowerRoman"/>
      <w:lvlText w:val="(%1)"/>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1EA298A8">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2" w:tplc="E87696F2">
      <w:numFmt w:val="bullet"/>
      <w:lvlText w:val="-"/>
      <w:lvlJc w:val="left"/>
      <w:pPr>
        <w:ind w:left="1441" w:hanging="360"/>
      </w:pPr>
      <w:rPr>
        <w:rFonts w:ascii="Calibri" w:eastAsia="Calibri" w:hAnsi="Calibri" w:cs="Calibri" w:hint="default"/>
        <w:b w:val="0"/>
        <w:bCs w:val="0"/>
        <w:i w:val="0"/>
        <w:iCs w:val="0"/>
        <w:spacing w:val="0"/>
        <w:w w:val="100"/>
        <w:sz w:val="22"/>
        <w:szCs w:val="22"/>
        <w:lang w:val="en-US" w:eastAsia="en-US" w:bidi="ar-SA"/>
      </w:rPr>
    </w:lvl>
    <w:lvl w:ilvl="3" w:tplc="41106670">
      <w:numFmt w:val="bullet"/>
      <w:lvlText w:val="•"/>
      <w:lvlJc w:val="left"/>
      <w:pPr>
        <w:ind w:left="2565" w:hanging="360"/>
      </w:pPr>
      <w:rPr>
        <w:lang w:val="en-US" w:eastAsia="en-US" w:bidi="ar-SA"/>
      </w:rPr>
    </w:lvl>
    <w:lvl w:ilvl="4" w:tplc="48D210E6">
      <w:numFmt w:val="bullet"/>
      <w:lvlText w:val="•"/>
      <w:lvlJc w:val="left"/>
      <w:pPr>
        <w:ind w:left="3690" w:hanging="360"/>
      </w:pPr>
      <w:rPr>
        <w:lang w:val="en-US" w:eastAsia="en-US" w:bidi="ar-SA"/>
      </w:rPr>
    </w:lvl>
    <w:lvl w:ilvl="5" w:tplc="B7164746">
      <w:numFmt w:val="bullet"/>
      <w:lvlText w:val="•"/>
      <w:lvlJc w:val="left"/>
      <w:pPr>
        <w:ind w:left="4815" w:hanging="360"/>
      </w:pPr>
      <w:rPr>
        <w:lang w:val="en-US" w:eastAsia="en-US" w:bidi="ar-SA"/>
      </w:rPr>
    </w:lvl>
    <w:lvl w:ilvl="6" w:tplc="C3C4C10E">
      <w:numFmt w:val="bullet"/>
      <w:lvlText w:val="•"/>
      <w:lvlJc w:val="left"/>
      <w:pPr>
        <w:ind w:left="5940" w:hanging="360"/>
      </w:pPr>
      <w:rPr>
        <w:lang w:val="en-US" w:eastAsia="en-US" w:bidi="ar-SA"/>
      </w:rPr>
    </w:lvl>
    <w:lvl w:ilvl="7" w:tplc="DA547E30">
      <w:numFmt w:val="bullet"/>
      <w:lvlText w:val="•"/>
      <w:lvlJc w:val="left"/>
      <w:pPr>
        <w:ind w:left="7065" w:hanging="360"/>
      </w:pPr>
      <w:rPr>
        <w:lang w:val="en-US" w:eastAsia="en-US" w:bidi="ar-SA"/>
      </w:rPr>
    </w:lvl>
    <w:lvl w:ilvl="8" w:tplc="736ED05E">
      <w:numFmt w:val="bullet"/>
      <w:lvlText w:val="•"/>
      <w:lvlJc w:val="left"/>
      <w:pPr>
        <w:ind w:left="8190" w:hanging="360"/>
      </w:pPr>
      <w:rPr>
        <w:lang w:val="en-US" w:eastAsia="en-US" w:bidi="ar-SA"/>
      </w:rPr>
    </w:lvl>
  </w:abstractNum>
  <w:abstractNum w:abstractNumId="20" w15:restartNumberingAfterBreak="0">
    <w:nsid w:val="19EF2960"/>
    <w:multiLevelType w:val="hybridMultilevel"/>
    <w:tmpl w:val="007262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1A2545CD"/>
    <w:multiLevelType w:val="hybridMultilevel"/>
    <w:tmpl w:val="3CA27E1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1AC416BD"/>
    <w:multiLevelType w:val="hybridMultilevel"/>
    <w:tmpl w:val="523AFB32"/>
    <w:lvl w:ilvl="0" w:tplc="1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BAB2C57"/>
    <w:multiLevelType w:val="hybridMultilevel"/>
    <w:tmpl w:val="A3FEB5E8"/>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1C454ABB"/>
    <w:multiLevelType w:val="hybridMultilevel"/>
    <w:tmpl w:val="7F240E4E"/>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1C895AB7"/>
    <w:multiLevelType w:val="hybridMultilevel"/>
    <w:tmpl w:val="ABEE46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1E107A3C"/>
    <w:multiLevelType w:val="hybridMultilevel"/>
    <w:tmpl w:val="5246985A"/>
    <w:lvl w:ilvl="0" w:tplc="1EA298A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1E224710"/>
    <w:multiLevelType w:val="hybridMultilevel"/>
    <w:tmpl w:val="176859EA"/>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1EA84AC5"/>
    <w:multiLevelType w:val="hybridMultilevel"/>
    <w:tmpl w:val="6AA26838"/>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1F3F7B78"/>
    <w:multiLevelType w:val="hybridMultilevel"/>
    <w:tmpl w:val="59186C6E"/>
    <w:lvl w:ilvl="0" w:tplc="1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1F633F0B"/>
    <w:multiLevelType w:val="hybridMultilevel"/>
    <w:tmpl w:val="A872A6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201F7762"/>
    <w:multiLevelType w:val="hybridMultilevel"/>
    <w:tmpl w:val="03B44DEC"/>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21061EA6"/>
    <w:multiLevelType w:val="hybridMultilevel"/>
    <w:tmpl w:val="57C239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23332714"/>
    <w:multiLevelType w:val="singleLevel"/>
    <w:tmpl w:val="6A3E563E"/>
    <w:lvl w:ilvl="0">
      <w:start w:val="1"/>
      <w:numFmt w:val="bullet"/>
      <w:pStyle w:val="Bullets"/>
      <w:lvlText w:val=""/>
      <w:lvlJc w:val="left"/>
      <w:pPr>
        <w:tabs>
          <w:tab w:val="num" w:pos="360"/>
        </w:tabs>
        <w:ind w:left="216" w:hanging="216"/>
      </w:pPr>
      <w:rPr>
        <w:rFonts w:ascii="Symbol" w:hAnsi="Symbol" w:hint="default"/>
        <w:sz w:val="22"/>
        <w:szCs w:val="22"/>
      </w:rPr>
    </w:lvl>
  </w:abstractNum>
  <w:abstractNum w:abstractNumId="34" w15:restartNumberingAfterBreak="0">
    <w:nsid w:val="23D845CE"/>
    <w:multiLevelType w:val="hybridMultilevel"/>
    <w:tmpl w:val="434C21D4"/>
    <w:lvl w:ilvl="0" w:tplc="10090015">
      <w:start w:val="1"/>
      <w:numFmt w:val="upperLetter"/>
      <w:lvlText w:val="%1."/>
      <w:lvlJc w:val="left"/>
      <w:pPr>
        <w:ind w:left="833" w:hanging="360"/>
      </w:pPr>
    </w:lvl>
    <w:lvl w:ilvl="1" w:tplc="10090019" w:tentative="1">
      <w:start w:val="1"/>
      <w:numFmt w:val="lowerLetter"/>
      <w:lvlText w:val="%2."/>
      <w:lvlJc w:val="left"/>
      <w:pPr>
        <w:ind w:left="1553" w:hanging="360"/>
      </w:pPr>
    </w:lvl>
    <w:lvl w:ilvl="2" w:tplc="1009001B" w:tentative="1">
      <w:start w:val="1"/>
      <w:numFmt w:val="lowerRoman"/>
      <w:lvlText w:val="%3."/>
      <w:lvlJc w:val="right"/>
      <w:pPr>
        <w:ind w:left="2273" w:hanging="180"/>
      </w:pPr>
    </w:lvl>
    <w:lvl w:ilvl="3" w:tplc="1009000F" w:tentative="1">
      <w:start w:val="1"/>
      <w:numFmt w:val="decimal"/>
      <w:lvlText w:val="%4."/>
      <w:lvlJc w:val="left"/>
      <w:pPr>
        <w:ind w:left="2993" w:hanging="360"/>
      </w:pPr>
    </w:lvl>
    <w:lvl w:ilvl="4" w:tplc="10090019" w:tentative="1">
      <w:start w:val="1"/>
      <w:numFmt w:val="lowerLetter"/>
      <w:lvlText w:val="%5."/>
      <w:lvlJc w:val="left"/>
      <w:pPr>
        <w:ind w:left="3713" w:hanging="360"/>
      </w:pPr>
    </w:lvl>
    <w:lvl w:ilvl="5" w:tplc="1009001B" w:tentative="1">
      <w:start w:val="1"/>
      <w:numFmt w:val="lowerRoman"/>
      <w:lvlText w:val="%6."/>
      <w:lvlJc w:val="right"/>
      <w:pPr>
        <w:ind w:left="4433" w:hanging="180"/>
      </w:pPr>
    </w:lvl>
    <w:lvl w:ilvl="6" w:tplc="1009000F" w:tentative="1">
      <w:start w:val="1"/>
      <w:numFmt w:val="decimal"/>
      <w:lvlText w:val="%7."/>
      <w:lvlJc w:val="left"/>
      <w:pPr>
        <w:ind w:left="5153" w:hanging="360"/>
      </w:pPr>
    </w:lvl>
    <w:lvl w:ilvl="7" w:tplc="10090019" w:tentative="1">
      <w:start w:val="1"/>
      <w:numFmt w:val="lowerLetter"/>
      <w:lvlText w:val="%8."/>
      <w:lvlJc w:val="left"/>
      <w:pPr>
        <w:ind w:left="5873" w:hanging="360"/>
      </w:pPr>
    </w:lvl>
    <w:lvl w:ilvl="8" w:tplc="1009001B" w:tentative="1">
      <w:start w:val="1"/>
      <w:numFmt w:val="lowerRoman"/>
      <w:lvlText w:val="%9."/>
      <w:lvlJc w:val="right"/>
      <w:pPr>
        <w:ind w:left="6593" w:hanging="180"/>
      </w:pPr>
    </w:lvl>
  </w:abstractNum>
  <w:abstractNum w:abstractNumId="35" w15:restartNumberingAfterBreak="0">
    <w:nsid w:val="243666FB"/>
    <w:multiLevelType w:val="hybridMultilevel"/>
    <w:tmpl w:val="05C4A5A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245D4EA1"/>
    <w:multiLevelType w:val="hybridMultilevel"/>
    <w:tmpl w:val="7F22AA2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25607DB1"/>
    <w:multiLevelType w:val="hybridMultilevel"/>
    <w:tmpl w:val="82626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268A3B1A"/>
    <w:multiLevelType w:val="hybridMultilevel"/>
    <w:tmpl w:val="2286F90E"/>
    <w:lvl w:ilvl="0" w:tplc="D0283B34">
      <w:start w:val="1"/>
      <w:numFmt w:val="bullet"/>
      <w:lvlText w:val="-"/>
      <w:lvlJc w:val="left"/>
      <w:pPr>
        <w:ind w:left="519" w:hanging="360"/>
      </w:pPr>
      <w:rPr>
        <w:rFonts w:ascii="Calibri" w:eastAsia="Times New Roman" w:hAnsi="Calibri" w:cs="Calibri" w:hint="default"/>
      </w:rPr>
    </w:lvl>
    <w:lvl w:ilvl="1" w:tplc="10090003">
      <w:start w:val="1"/>
      <w:numFmt w:val="bullet"/>
      <w:lvlText w:val="o"/>
      <w:lvlJc w:val="left"/>
      <w:pPr>
        <w:ind w:left="927" w:hanging="360"/>
      </w:pPr>
      <w:rPr>
        <w:rFonts w:ascii="Courier New" w:hAnsi="Courier New" w:cs="Courier New" w:hint="default"/>
      </w:rPr>
    </w:lvl>
    <w:lvl w:ilvl="2" w:tplc="10090005" w:tentative="1">
      <w:start w:val="1"/>
      <w:numFmt w:val="bullet"/>
      <w:lvlText w:val=""/>
      <w:lvlJc w:val="left"/>
      <w:pPr>
        <w:ind w:left="1959" w:hanging="360"/>
      </w:pPr>
      <w:rPr>
        <w:rFonts w:ascii="Wingdings" w:hAnsi="Wingdings" w:hint="default"/>
      </w:rPr>
    </w:lvl>
    <w:lvl w:ilvl="3" w:tplc="10090001" w:tentative="1">
      <w:start w:val="1"/>
      <w:numFmt w:val="bullet"/>
      <w:lvlText w:val=""/>
      <w:lvlJc w:val="left"/>
      <w:pPr>
        <w:ind w:left="2679" w:hanging="360"/>
      </w:pPr>
      <w:rPr>
        <w:rFonts w:ascii="Symbol" w:hAnsi="Symbol" w:hint="default"/>
      </w:rPr>
    </w:lvl>
    <w:lvl w:ilvl="4" w:tplc="10090003" w:tentative="1">
      <w:start w:val="1"/>
      <w:numFmt w:val="bullet"/>
      <w:lvlText w:val="o"/>
      <w:lvlJc w:val="left"/>
      <w:pPr>
        <w:ind w:left="3399" w:hanging="360"/>
      </w:pPr>
      <w:rPr>
        <w:rFonts w:ascii="Courier New" w:hAnsi="Courier New" w:cs="Courier New" w:hint="default"/>
      </w:rPr>
    </w:lvl>
    <w:lvl w:ilvl="5" w:tplc="10090005" w:tentative="1">
      <w:start w:val="1"/>
      <w:numFmt w:val="bullet"/>
      <w:lvlText w:val=""/>
      <w:lvlJc w:val="left"/>
      <w:pPr>
        <w:ind w:left="4119" w:hanging="360"/>
      </w:pPr>
      <w:rPr>
        <w:rFonts w:ascii="Wingdings" w:hAnsi="Wingdings" w:hint="default"/>
      </w:rPr>
    </w:lvl>
    <w:lvl w:ilvl="6" w:tplc="10090001" w:tentative="1">
      <w:start w:val="1"/>
      <w:numFmt w:val="bullet"/>
      <w:lvlText w:val=""/>
      <w:lvlJc w:val="left"/>
      <w:pPr>
        <w:ind w:left="4839" w:hanging="360"/>
      </w:pPr>
      <w:rPr>
        <w:rFonts w:ascii="Symbol" w:hAnsi="Symbol" w:hint="default"/>
      </w:rPr>
    </w:lvl>
    <w:lvl w:ilvl="7" w:tplc="10090003" w:tentative="1">
      <w:start w:val="1"/>
      <w:numFmt w:val="bullet"/>
      <w:lvlText w:val="o"/>
      <w:lvlJc w:val="left"/>
      <w:pPr>
        <w:ind w:left="5559" w:hanging="360"/>
      </w:pPr>
      <w:rPr>
        <w:rFonts w:ascii="Courier New" w:hAnsi="Courier New" w:cs="Courier New" w:hint="default"/>
      </w:rPr>
    </w:lvl>
    <w:lvl w:ilvl="8" w:tplc="10090005" w:tentative="1">
      <w:start w:val="1"/>
      <w:numFmt w:val="bullet"/>
      <w:lvlText w:val=""/>
      <w:lvlJc w:val="left"/>
      <w:pPr>
        <w:ind w:left="6279" w:hanging="360"/>
      </w:pPr>
      <w:rPr>
        <w:rFonts w:ascii="Wingdings" w:hAnsi="Wingdings" w:hint="default"/>
      </w:rPr>
    </w:lvl>
  </w:abstractNum>
  <w:abstractNum w:abstractNumId="39" w15:restartNumberingAfterBreak="0">
    <w:nsid w:val="272E4F0B"/>
    <w:multiLevelType w:val="hybridMultilevel"/>
    <w:tmpl w:val="2AF663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29403C74"/>
    <w:multiLevelType w:val="hybridMultilevel"/>
    <w:tmpl w:val="B868259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2AA11344"/>
    <w:multiLevelType w:val="hybridMultilevel"/>
    <w:tmpl w:val="ACF83AE0"/>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2ADB4DB7"/>
    <w:multiLevelType w:val="hybridMultilevel"/>
    <w:tmpl w:val="463A8B58"/>
    <w:lvl w:ilvl="0" w:tplc="53869408">
      <w:start w:val="2"/>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2AF413C4"/>
    <w:multiLevelType w:val="hybridMultilevel"/>
    <w:tmpl w:val="0DDE81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2B297DDE"/>
    <w:multiLevelType w:val="hybridMultilevel"/>
    <w:tmpl w:val="6B5E5FE0"/>
    <w:lvl w:ilvl="0" w:tplc="D5465B7C">
      <w:start w:val="1"/>
      <w:numFmt w:val="bullet"/>
      <w:pStyle w:val="TableDashes"/>
      <w:lvlText w:val=""/>
      <w:lvlJc w:val="left"/>
      <w:pPr>
        <w:ind w:left="340" w:hanging="17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2C6B44BD"/>
    <w:multiLevelType w:val="hybridMultilevel"/>
    <w:tmpl w:val="9E3C11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2C8E72A5"/>
    <w:multiLevelType w:val="multilevel"/>
    <w:tmpl w:val="41B41992"/>
    <w:numStyleLink w:val="BodyBullets"/>
  </w:abstractNum>
  <w:abstractNum w:abstractNumId="47" w15:restartNumberingAfterBreak="0">
    <w:nsid w:val="2F0758D3"/>
    <w:multiLevelType w:val="hybridMultilevel"/>
    <w:tmpl w:val="BBC27C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300D2E8D"/>
    <w:multiLevelType w:val="hybridMultilevel"/>
    <w:tmpl w:val="0B70494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30E75894"/>
    <w:multiLevelType w:val="hybridMultilevel"/>
    <w:tmpl w:val="034A7EA6"/>
    <w:lvl w:ilvl="0" w:tplc="BAA82FC2">
      <w:start w:val="1"/>
      <w:numFmt w:val="bullet"/>
      <w:pStyle w:val="Normal-sizedTableDashes"/>
      <w:lvlText w:val="–"/>
      <w:lvlJc w:val="left"/>
      <w:pPr>
        <w:ind w:left="890" w:hanging="170"/>
      </w:pPr>
      <w:rPr>
        <w:rFonts w:ascii="NeueHaasGroteskDisp Pro" w:hAnsi="NeueHaasGroteskDisp Pro" w:hint="default"/>
      </w:rPr>
    </w:lvl>
    <w:lvl w:ilvl="1" w:tplc="10090003" w:tentative="1">
      <w:start w:val="1"/>
      <w:numFmt w:val="bullet"/>
      <w:lvlText w:val="o"/>
      <w:lvlJc w:val="left"/>
      <w:pPr>
        <w:ind w:left="1990" w:hanging="360"/>
      </w:pPr>
      <w:rPr>
        <w:rFonts w:ascii="Courier New" w:hAnsi="Courier New" w:cs="Courier New" w:hint="default"/>
      </w:rPr>
    </w:lvl>
    <w:lvl w:ilvl="2" w:tplc="10090005" w:tentative="1">
      <w:start w:val="1"/>
      <w:numFmt w:val="bullet"/>
      <w:lvlText w:val=""/>
      <w:lvlJc w:val="left"/>
      <w:pPr>
        <w:ind w:left="2710" w:hanging="360"/>
      </w:pPr>
      <w:rPr>
        <w:rFonts w:ascii="Wingdings" w:hAnsi="Wingdings" w:hint="default"/>
      </w:rPr>
    </w:lvl>
    <w:lvl w:ilvl="3" w:tplc="10090001" w:tentative="1">
      <w:start w:val="1"/>
      <w:numFmt w:val="bullet"/>
      <w:lvlText w:val=""/>
      <w:lvlJc w:val="left"/>
      <w:pPr>
        <w:ind w:left="3430" w:hanging="360"/>
      </w:pPr>
      <w:rPr>
        <w:rFonts w:ascii="Symbol" w:hAnsi="Symbol" w:hint="default"/>
      </w:rPr>
    </w:lvl>
    <w:lvl w:ilvl="4" w:tplc="10090003" w:tentative="1">
      <w:start w:val="1"/>
      <w:numFmt w:val="bullet"/>
      <w:lvlText w:val="o"/>
      <w:lvlJc w:val="left"/>
      <w:pPr>
        <w:ind w:left="4150" w:hanging="360"/>
      </w:pPr>
      <w:rPr>
        <w:rFonts w:ascii="Courier New" w:hAnsi="Courier New" w:cs="Courier New" w:hint="default"/>
      </w:rPr>
    </w:lvl>
    <w:lvl w:ilvl="5" w:tplc="10090005" w:tentative="1">
      <w:start w:val="1"/>
      <w:numFmt w:val="bullet"/>
      <w:lvlText w:val=""/>
      <w:lvlJc w:val="left"/>
      <w:pPr>
        <w:ind w:left="4870" w:hanging="360"/>
      </w:pPr>
      <w:rPr>
        <w:rFonts w:ascii="Wingdings" w:hAnsi="Wingdings" w:hint="default"/>
      </w:rPr>
    </w:lvl>
    <w:lvl w:ilvl="6" w:tplc="10090001" w:tentative="1">
      <w:start w:val="1"/>
      <w:numFmt w:val="bullet"/>
      <w:lvlText w:val=""/>
      <w:lvlJc w:val="left"/>
      <w:pPr>
        <w:ind w:left="5590" w:hanging="360"/>
      </w:pPr>
      <w:rPr>
        <w:rFonts w:ascii="Symbol" w:hAnsi="Symbol" w:hint="default"/>
      </w:rPr>
    </w:lvl>
    <w:lvl w:ilvl="7" w:tplc="10090003" w:tentative="1">
      <w:start w:val="1"/>
      <w:numFmt w:val="bullet"/>
      <w:lvlText w:val="o"/>
      <w:lvlJc w:val="left"/>
      <w:pPr>
        <w:ind w:left="6310" w:hanging="360"/>
      </w:pPr>
      <w:rPr>
        <w:rFonts w:ascii="Courier New" w:hAnsi="Courier New" w:cs="Courier New" w:hint="default"/>
      </w:rPr>
    </w:lvl>
    <w:lvl w:ilvl="8" w:tplc="10090005" w:tentative="1">
      <w:start w:val="1"/>
      <w:numFmt w:val="bullet"/>
      <w:lvlText w:val=""/>
      <w:lvlJc w:val="left"/>
      <w:pPr>
        <w:ind w:left="7030" w:hanging="360"/>
      </w:pPr>
      <w:rPr>
        <w:rFonts w:ascii="Wingdings" w:hAnsi="Wingdings" w:hint="default"/>
      </w:rPr>
    </w:lvl>
  </w:abstractNum>
  <w:abstractNum w:abstractNumId="50" w15:restartNumberingAfterBreak="0">
    <w:nsid w:val="317E7164"/>
    <w:multiLevelType w:val="hybridMultilevel"/>
    <w:tmpl w:val="D352AE3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31EC6596"/>
    <w:multiLevelType w:val="hybridMultilevel"/>
    <w:tmpl w:val="0BDEB9A8"/>
    <w:lvl w:ilvl="0" w:tplc="10090001">
      <w:start w:val="1"/>
      <w:numFmt w:val="bullet"/>
      <w:lvlText w:val=""/>
      <w:lvlJc w:val="left"/>
      <w:pPr>
        <w:ind w:left="360" w:hanging="360"/>
      </w:pPr>
      <w:rPr>
        <w:rFonts w:ascii="Symbol" w:hAnsi="Symbol"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327855B9"/>
    <w:multiLevelType w:val="hybridMultilevel"/>
    <w:tmpl w:val="A70299B4"/>
    <w:lvl w:ilvl="0" w:tplc="1EA298A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34752AC3"/>
    <w:multiLevelType w:val="hybridMultilevel"/>
    <w:tmpl w:val="7C1E20DE"/>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4" w15:restartNumberingAfterBreak="0">
    <w:nsid w:val="354308A8"/>
    <w:multiLevelType w:val="hybridMultilevel"/>
    <w:tmpl w:val="0894951C"/>
    <w:lvl w:ilvl="0" w:tplc="9424ACB4">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5" w15:restartNumberingAfterBreak="0">
    <w:nsid w:val="3793353E"/>
    <w:multiLevelType w:val="hybridMultilevel"/>
    <w:tmpl w:val="9320DA0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39B106D9"/>
    <w:multiLevelType w:val="hybridMultilevel"/>
    <w:tmpl w:val="D8C217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7" w15:restartNumberingAfterBreak="0">
    <w:nsid w:val="3B5901A1"/>
    <w:multiLevelType w:val="hybridMultilevel"/>
    <w:tmpl w:val="3FE6B3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8" w15:restartNumberingAfterBreak="0">
    <w:nsid w:val="3C0C4706"/>
    <w:multiLevelType w:val="hybridMultilevel"/>
    <w:tmpl w:val="7EF893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9" w15:restartNumberingAfterBreak="0">
    <w:nsid w:val="3E340E3D"/>
    <w:multiLevelType w:val="hybridMultilevel"/>
    <w:tmpl w:val="B4E425D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3F8F1A19"/>
    <w:multiLevelType w:val="hybridMultilevel"/>
    <w:tmpl w:val="BDB69C1A"/>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1" w15:restartNumberingAfterBreak="0">
    <w:nsid w:val="3FDB7808"/>
    <w:multiLevelType w:val="hybridMultilevel"/>
    <w:tmpl w:val="5274A45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2" w15:restartNumberingAfterBreak="0">
    <w:nsid w:val="404561EE"/>
    <w:multiLevelType w:val="hybridMultilevel"/>
    <w:tmpl w:val="67B4D0FA"/>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42F61468"/>
    <w:multiLevelType w:val="hybridMultilevel"/>
    <w:tmpl w:val="DA520E82"/>
    <w:lvl w:ilvl="0" w:tplc="11BA6852">
      <w:numFmt w:val="bullet"/>
      <w:lvlText w:val="-"/>
      <w:lvlJc w:val="left"/>
      <w:pPr>
        <w:ind w:left="361" w:hanging="361"/>
      </w:pPr>
      <w:rPr>
        <w:rFonts w:ascii="Calibri" w:eastAsia="Calibri" w:hAnsi="Calibri" w:cs="Calibri" w:hint="default"/>
        <w:b w:val="0"/>
        <w:bCs w:val="0"/>
        <w:i w:val="0"/>
        <w:iCs w:val="0"/>
        <w:spacing w:val="0"/>
        <w:w w:val="100"/>
        <w:sz w:val="22"/>
        <w:szCs w:val="22"/>
        <w:lang w:val="en-US" w:eastAsia="en-US" w:bidi="ar-SA"/>
      </w:rPr>
    </w:lvl>
    <w:lvl w:ilvl="1" w:tplc="D882A066">
      <w:numFmt w:val="bullet"/>
      <w:lvlText w:val=""/>
      <w:lvlJc w:val="left"/>
      <w:pPr>
        <w:ind w:left="1081" w:hanging="360"/>
      </w:pPr>
      <w:rPr>
        <w:rFonts w:ascii="Wingdings" w:eastAsia="Wingdings" w:hAnsi="Wingdings" w:cs="Wingdings" w:hint="default"/>
        <w:b w:val="0"/>
        <w:bCs w:val="0"/>
        <w:i w:val="0"/>
        <w:iCs w:val="0"/>
        <w:spacing w:val="0"/>
        <w:w w:val="100"/>
        <w:sz w:val="16"/>
        <w:szCs w:val="16"/>
        <w:lang w:val="en-US" w:eastAsia="en-US" w:bidi="ar-SA"/>
      </w:rPr>
    </w:lvl>
    <w:lvl w:ilvl="2" w:tplc="3CCCBA08">
      <w:numFmt w:val="bullet"/>
      <w:lvlText w:val="•"/>
      <w:lvlJc w:val="left"/>
      <w:pPr>
        <w:ind w:left="2080" w:hanging="360"/>
      </w:pPr>
      <w:rPr>
        <w:lang w:val="en-US" w:eastAsia="en-US" w:bidi="ar-SA"/>
      </w:rPr>
    </w:lvl>
    <w:lvl w:ilvl="3" w:tplc="427285C2">
      <w:numFmt w:val="bullet"/>
      <w:lvlText w:val="•"/>
      <w:lvlJc w:val="left"/>
      <w:pPr>
        <w:ind w:left="3080" w:hanging="360"/>
      </w:pPr>
      <w:rPr>
        <w:lang w:val="en-US" w:eastAsia="en-US" w:bidi="ar-SA"/>
      </w:rPr>
    </w:lvl>
    <w:lvl w:ilvl="4" w:tplc="F30E254C">
      <w:numFmt w:val="bullet"/>
      <w:lvlText w:val="•"/>
      <w:lvlJc w:val="left"/>
      <w:pPr>
        <w:ind w:left="4080" w:hanging="360"/>
      </w:pPr>
      <w:rPr>
        <w:lang w:val="en-US" w:eastAsia="en-US" w:bidi="ar-SA"/>
      </w:rPr>
    </w:lvl>
    <w:lvl w:ilvl="5" w:tplc="498E1916">
      <w:numFmt w:val="bullet"/>
      <w:lvlText w:val="•"/>
      <w:lvlJc w:val="left"/>
      <w:pPr>
        <w:ind w:left="5080" w:hanging="360"/>
      </w:pPr>
      <w:rPr>
        <w:lang w:val="en-US" w:eastAsia="en-US" w:bidi="ar-SA"/>
      </w:rPr>
    </w:lvl>
    <w:lvl w:ilvl="6" w:tplc="A6A23AEE">
      <w:numFmt w:val="bullet"/>
      <w:lvlText w:val="•"/>
      <w:lvlJc w:val="left"/>
      <w:pPr>
        <w:ind w:left="6080" w:hanging="360"/>
      </w:pPr>
      <w:rPr>
        <w:lang w:val="en-US" w:eastAsia="en-US" w:bidi="ar-SA"/>
      </w:rPr>
    </w:lvl>
    <w:lvl w:ilvl="7" w:tplc="32F09866">
      <w:numFmt w:val="bullet"/>
      <w:lvlText w:val="•"/>
      <w:lvlJc w:val="left"/>
      <w:pPr>
        <w:ind w:left="7080" w:hanging="360"/>
      </w:pPr>
      <w:rPr>
        <w:lang w:val="en-US" w:eastAsia="en-US" w:bidi="ar-SA"/>
      </w:rPr>
    </w:lvl>
    <w:lvl w:ilvl="8" w:tplc="2624A642">
      <w:numFmt w:val="bullet"/>
      <w:lvlText w:val="•"/>
      <w:lvlJc w:val="left"/>
      <w:pPr>
        <w:ind w:left="8080" w:hanging="360"/>
      </w:pPr>
      <w:rPr>
        <w:lang w:val="en-US" w:eastAsia="en-US" w:bidi="ar-SA"/>
      </w:rPr>
    </w:lvl>
  </w:abstractNum>
  <w:abstractNum w:abstractNumId="64" w15:restartNumberingAfterBreak="0">
    <w:nsid w:val="4619782E"/>
    <w:multiLevelType w:val="hybridMultilevel"/>
    <w:tmpl w:val="AF886356"/>
    <w:lvl w:ilvl="0" w:tplc="723E38EC">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146E44AA">
      <w:numFmt w:val="bullet"/>
      <w:lvlText w:val="•"/>
      <w:lvlJc w:val="left"/>
      <w:pPr>
        <w:ind w:left="1692" w:hanging="361"/>
      </w:pPr>
      <w:rPr>
        <w:lang w:val="en-US" w:eastAsia="en-US" w:bidi="ar-SA"/>
      </w:rPr>
    </w:lvl>
    <w:lvl w:ilvl="2" w:tplc="863AC342">
      <w:numFmt w:val="bullet"/>
      <w:lvlText w:val="•"/>
      <w:lvlJc w:val="left"/>
      <w:pPr>
        <w:ind w:left="2664" w:hanging="361"/>
      </w:pPr>
      <w:rPr>
        <w:lang w:val="en-US" w:eastAsia="en-US" w:bidi="ar-SA"/>
      </w:rPr>
    </w:lvl>
    <w:lvl w:ilvl="3" w:tplc="67CED026">
      <w:numFmt w:val="bullet"/>
      <w:lvlText w:val="•"/>
      <w:lvlJc w:val="left"/>
      <w:pPr>
        <w:ind w:left="3636" w:hanging="361"/>
      </w:pPr>
      <w:rPr>
        <w:lang w:val="en-US" w:eastAsia="en-US" w:bidi="ar-SA"/>
      </w:rPr>
    </w:lvl>
    <w:lvl w:ilvl="4" w:tplc="D676FE64">
      <w:numFmt w:val="bullet"/>
      <w:lvlText w:val="•"/>
      <w:lvlJc w:val="left"/>
      <w:pPr>
        <w:ind w:left="4608" w:hanging="361"/>
      </w:pPr>
      <w:rPr>
        <w:lang w:val="en-US" w:eastAsia="en-US" w:bidi="ar-SA"/>
      </w:rPr>
    </w:lvl>
    <w:lvl w:ilvl="5" w:tplc="0EC8888C">
      <w:numFmt w:val="bullet"/>
      <w:lvlText w:val="•"/>
      <w:lvlJc w:val="left"/>
      <w:pPr>
        <w:ind w:left="5580" w:hanging="361"/>
      </w:pPr>
      <w:rPr>
        <w:lang w:val="en-US" w:eastAsia="en-US" w:bidi="ar-SA"/>
      </w:rPr>
    </w:lvl>
    <w:lvl w:ilvl="6" w:tplc="EA241606">
      <w:numFmt w:val="bullet"/>
      <w:lvlText w:val="•"/>
      <w:lvlJc w:val="left"/>
      <w:pPr>
        <w:ind w:left="6552" w:hanging="361"/>
      </w:pPr>
      <w:rPr>
        <w:lang w:val="en-US" w:eastAsia="en-US" w:bidi="ar-SA"/>
      </w:rPr>
    </w:lvl>
    <w:lvl w:ilvl="7" w:tplc="63508BF2">
      <w:numFmt w:val="bullet"/>
      <w:lvlText w:val="•"/>
      <w:lvlJc w:val="left"/>
      <w:pPr>
        <w:ind w:left="7524" w:hanging="361"/>
      </w:pPr>
      <w:rPr>
        <w:lang w:val="en-US" w:eastAsia="en-US" w:bidi="ar-SA"/>
      </w:rPr>
    </w:lvl>
    <w:lvl w:ilvl="8" w:tplc="5D6EC1C2">
      <w:numFmt w:val="bullet"/>
      <w:lvlText w:val="•"/>
      <w:lvlJc w:val="left"/>
      <w:pPr>
        <w:ind w:left="8496" w:hanging="361"/>
      </w:pPr>
      <w:rPr>
        <w:lang w:val="en-US" w:eastAsia="en-US" w:bidi="ar-SA"/>
      </w:rPr>
    </w:lvl>
  </w:abstractNum>
  <w:abstractNum w:abstractNumId="65" w15:restartNumberingAfterBreak="0">
    <w:nsid w:val="47F83D6F"/>
    <w:multiLevelType w:val="hybridMultilevel"/>
    <w:tmpl w:val="F23A2D9E"/>
    <w:lvl w:ilvl="0" w:tplc="1EA298A8">
      <w:numFmt w:val="bullet"/>
      <w:lvlText w:val="-"/>
      <w:lvlJc w:val="left"/>
      <w:pPr>
        <w:ind w:left="720" w:hanging="360"/>
      </w:pPr>
      <w:rPr>
        <w:rFonts w:ascii="Calibri" w:eastAsia="Calibri" w:hAnsi="Calibri" w:cs="Calibri" w:hint="default"/>
        <w:b w:val="0"/>
        <w:bCs w:val="0"/>
        <w:i w:val="0"/>
        <w:iCs w:val="0"/>
        <w:spacing w:val="0"/>
        <w:w w:val="100"/>
        <w:sz w:val="22"/>
        <w:szCs w:val="22"/>
        <w:lang w:val="en-US" w:eastAsia="en-US" w:bidi="ar-SA"/>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48C1496D"/>
    <w:multiLevelType w:val="hybridMultilevel"/>
    <w:tmpl w:val="5860D7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48FC39C7"/>
    <w:multiLevelType w:val="hybridMultilevel"/>
    <w:tmpl w:val="5F86338E"/>
    <w:lvl w:ilvl="0" w:tplc="27C88C30">
      <w:start w:val="1"/>
      <w:numFmt w:val="bullet"/>
      <w:lvlText w:val=""/>
      <w:lvlJc w:val="left"/>
      <w:pPr>
        <w:ind w:left="720" w:hanging="360"/>
      </w:pPr>
      <w:rPr>
        <w:rFonts w:ascii="Symbol" w:hAnsi="Symbol" w:hint="default"/>
        <w:sz w:val="16"/>
        <w:szCs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4A875111"/>
    <w:multiLevelType w:val="hybridMultilevel"/>
    <w:tmpl w:val="9252E56C"/>
    <w:lvl w:ilvl="0" w:tplc="9C2EFD22">
      <w:start w:val="2"/>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9" w15:restartNumberingAfterBreak="0">
    <w:nsid w:val="4A876477"/>
    <w:multiLevelType w:val="hybridMultilevel"/>
    <w:tmpl w:val="DCBA7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4AD634F2"/>
    <w:multiLevelType w:val="hybridMultilevel"/>
    <w:tmpl w:val="B18E311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1" w15:restartNumberingAfterBreak="0">
    <w:nsid w:val="4AF30DD8"/>
    <w:multiLevelType w:val="hybridMultilevel"/>
    <w:tmpl w:val="187814C4"/>
    <w:lvl w:ilvl="0" w:tplc="1EA298A8">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FFFFFFFF">
      <w:numFmt w:val="bullet"/>
      <w:lvlText w:val="•"/>
      <w:lvlJc w:val="left"/>
      <w:pPr>
        <w:ind w:left="1692" w:hanging="361"/>
      </w:pPr>
      <w:rPr>
        <w:lang w:val="en-US" w:eastAsia="en-US" w:bidi="ar-SA"/>
      </w:rPr>
    </w:lvl>
    <w:lvl w:ilvl="2" w:tplc="FFFFFFFF">
      <w:numFmt w:val="bullet"/>
      <w:lvlText w:val="•"/>
      <w:lvlJc w:val="left"/>
      <w:pPr>
        <w:ind w:left="2664" w:hanging="361"/>
      </w:pPr>
      <w:rPr>
        <w:lang w:val="en-US" w:eastAsia="en-US" w:bidi="ar-SA"/>
      </w:rPr>
    </w:lvl>
    <w:lvl w:ilvl="3" w:tplc="FFFFFFFF">
      <w:numFmt w:val="bullet"/>
      <w:lvlText w:val="•"/>
      <w:lvlJc w:val="left"/>
      <w:pPr>
        <w:ind w:left="3636" w:hanging="361"/>
      </w:pPr>
      <w:rPr>
        <w:lang w:val="en-US" w:eastAsia="en-US" w:bidi="ar-SA"/>
      </w:rPr>
    </w:lvl>
    <w:lvl w:ilvl="4" w:tplc="FFFFFFFF">
      <w:numFmt w:val="bullet"/>
      <w:lvlText w:val="•"/>
      <w:lvlJc w:val="left"/>
      <w:pPr>
        <w:ind w:left="4608" w:hanging="361"/>
      </w:pPr>
      <w:rPr>
        <w:lang w:val="en-US" w:eastAsia="en-US" w:bidi="ar-SA"/>
      </w:rPr>
    </w:lvl>
    <w:lvl w:ilvl="5" w:tplc="FFFFFFFF">
      <w:numFmt w:val="bullet"/>
      <w:lvlText w:val="•"/>
      <w:lvlJc w:val="left"/>
      <w:pPr>
        <w:ind w:left="5580" w:hanging="361"/>
      </w:pPr>
      <w:rPr>
        <w:lang w:val="en-US" w:eastAsia="en-US" w:bidi="ar-SA"/>
      </w:rPr>
    </w:lvl>
    <w:lvl w:ilvl="6" w:tplc="FFFFFFFF">
      <w:numFmt w:val="bullet"/>
      <w:lvlText w:val="•"/>
      <w:lvlJc w:val="left"/>
      <w:pPr>
        <w:ind w:left="6552" w:hanging="361"/>
      </w:pPr>
      <w:rPr>
        <w:lang w:val="en-US" w:eastAsia="en-US" w:bidi="ar-SA"/>
      </w:rPr>
    </w:lvl>
    <w:lvl w:ilvl="7" w:tplc="FFFFFFFF">
      <w:numFmt w:val="bullet"/>
      <w:lvlText w:val="•"/>
      <w:lvlJc w:val="left"/>
      <w:pPr>
        <w:ind w:left="7524" w:hanging="361"/>
      </w:pPr>
      <w:rPr>
        <w:lang w:val="en-US" w:eastAsia="en-US" w:bidi="ar-SA"/>
      </w:rPr>
    </w:lvl>
    <w:lvl w:ilvl="8" w:tplc="FFFFFFFF">
      <w:numFmt w:val="bullet"/>
      <w:lvlText w:val="•"/>
      <w:lvlJc w:val="left"/>
      <w:pPr>
        <w:ind w:left="8496" w:hanging="361"/>
      </w:pPr>
      <w:rPr>
        <w:lang w:val="en-US" w:eastAsia="en-US" w:bidi="ar-SA"/>
      </w:rPr>
    </w:lvl>
  </w:abstractNum>
  <w:abstractNum w:abstractNumId="72" w15:restartNumberingAfterBreak="0">
    <w:nsid w:val="4B0C4650"/>
    <w:multiLevelType w:val="multilevel"/>
    <w:tmpl w:val="94668E4C"/>
    <w:lvl w:ilvl="0">
      <w:start w:val="1"/>
      <w:numFmt w:val="upperLetter"/>
      <w:lvlText w:val="%1."/>
      <w:lvlJc w:val="left"/>
      <w:pPr>
        <w:ind w:left="721" w:hanging="721"/>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341" w:hanging="341"/>
      </w:pPr>
      <w:rPr>
        <w:rFonts w:ascii="Calibri" w:eastAsia="Calibri" w:hAnsi="Calibri" w:cs="Calibri" w:hint="default"/>
        <w:b/>
        <w:bCs/>
        <w:i w:val="0"/>
        <w:iCs w:val="0"/>
        <w:spacing w:val="-2"/>
        <w:w w:val="93"/>
        <w:sz w:val="22"/>
        <w:szCs w:val="22"/>
        <w:u w:val="none"/>
        <w:lang w:val="en-US" w:eastAsia="en-US" w:bidi="ar-SA"/>
      </w:rPr>
    </w:lvl>
    <w:lvl w:ilvl="2">
      <w:start w:val="1"/>
      <w:numFmt w:val="lowerRoman"/>
      <w:lvlText w:val="(%3)"/>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2880" w:hanging="361"/>
      </w:pPr>
      <w:rPr>
        <w:lang w:val="en-US" w:eastAsia="en-US" w:bidi="ar-SA"/>
      </w:rPr>
    </w:lvl>
    <w:lvl w:ilvl="4">
      <w:numFmt w:val="bullet"/>
      <w:lvlText w:val="•"/>
      <w:lvlJc w:val="left"/>
      <w:pPr>
        <w:ind w:left="3960" w:hanging="361"/>
      </w:pPr>
      <w:rPr>
        <w:lang w:val="en-US" w:eastAsia="en-US" w:bidi="ar-SA"/>
      </w:rPr>
    </w:lvl>
    <w:lvl w:ilvl="5">
      <w:numFmt w:val="bullet"/>
      <w:lvlText w:val="•"/>
      <w:lvlJc w:val="left"/>
      <w:pPr>
        <w:ind w:left="5040" w:hanging="361"/>
      </w:pPr>
      <w:rPr>
        <w:lang w:val="en-US" w:eastAsia="en-US" w:bidi="ar-SA"/>
      </w:rPr>
    </w:lvl>
    <w:lvl w:ilvl="6">
      <w:numFmt w:val="bullet"/>
      <w:lvlText w:val="•"/>
      <w:lvlJc w:val="left"/>
      <w:pPr>
        <w:ind w:left="6120" w:hanging="361"/>
      </w:pPr>
      <w:rPr>
        <w:lang w:val="en-US" w:eastAsia="en-US" w:bidi="ar-SA"/>
      </w:rPr>
    </w:lvl>
    <w:lvl w:ilvl="7">
      <w:numFmt w:val="bullet"/>
      <w:lvlText w:val="•"/>
      <w:lvlJc w:val="left"/>
      <w:pPr>
        <w:ind w:left="7200" w:hanging="361"/>
      </w:pPr>
      <w:rPr>
        <w:lang w:val="en-US" w:eastAsia="en-US" w:bidi="ar-SA"/>
      </w:rPr>
    </w:lvl>
    <w:lvl w:ilvl="8">
      <w:numFmt w:val="bullet"/>
      <w:lvlText w:val="•"/>
      <w:lvlJc w:val="left"/>
      <w:pPr>
        <w:ind w:left="8280" w:hanging="361"/>
      </w:pPr>
      <w:rPr>
        <w:lang w:val="en-US" w:eastAsia="en-US" w:bidi="ar-SA"/>
      </w:rPr>
    </w:lvl>
  </w:abstractNum>
  <w:abstractNum w:abstractNumId="73" w15:restartNumberingAfterBreak="0">
    <w:nsid w:val="4BD74B6E"/>
    <w:multiLevelType w:val="hybridMultilevel"/>
    <w:tmpl w:val="0E30A2D6"/>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4" w15:restartNumberingAfterBreak="0">
    <w:nsid w:val="4BEE26F3"/>
    <w:multiLevelType w:val="hybridMultilevel"/>
    <w:tmpl w:val="02526D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5" w15:restartNumberingAfterBreak="0">
    <w:nsid w:val="4E165B7D"/>
    <w:multiLevelType w:val="hybridMultilevel"/>
    <w:tmpl w:val="0444E77C"/>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6" w15:restartNumberingAfterBreak="0">
    <w:nsid w:val="4F343D4A"/>
    <w:multiLevelType w:val="hybridMultilevel"/>
    <w:tmpl w:val="FB14D142"/>
    <w:lvl w:ilvl="0" w:tplc="D0283B34">
      <w:start w:val="1"/>
      <w:numFmt w:val="bullet"/>
      <w:lvlText w:val="-"/>
      <w:lvlJc w:val="left"/>
      <w:pPr>
        <w:ind w:left="733" w:hanging="360"/>
      </w:pPr>
      <w:rPr>
        <w:rFonts w:ascii="Calibri" w:eastAsia="Times New Roman" w:hAnsi="Calibri" w:cs="Calibri" w:hint="default"/>
      </w:rPr>
    </w:lvl>
    <w:lvl w:ilvl="1" w:tplc="10090003" w:tentative="1">
      <w:start w:val="1"/>
      <w:numFmt w:val="bullet"/>
      <w:lvlText w:val="o"/>
      <w:lvlJc w:val="left"/>
      <w:pPr>
        <w:ind w:left="1453" w:hanging="360"/>
      </w:pPr>
      <w:rPr>
        <w:rFonts w:ascii="Courier New" w:hAnsi="Courier New" w:cs="Courier New" w:hint="default"/>
      </w:rPr>
    </w:lvl>
    <w:lvl w:ilvl="2" w:tplc="10090005" w:tentative="1">
      <w:start w:val="1"/>
      <w:numFmt w:val="bullet"/>
      <w:lvlText w:val=""/>
      <w:lvlJc w:val="left"/>
      <w:pPr>
        <w:ind w:left="2173" w:hanging="360"/>
      </w:pPr>
      <w:rPr>
        <w:rFonts w:ascii="Wingdings" w:hAnsi="Wingdings" w:hint="default"/>
      </w:rPr>
    </w:lvl>
    <w:lvl w:ilvl="3" w:tplc="10090001" w:tentative="1">
      <w:start w:val="1"/>
      <w:numFmt w:val="bullet"/>
      <w:lvlText w:val=""/>
      <w:lvlJc w:val="left"/>
      <w:pPr>
        <w:ind w:left="2893" w:hanging="360"/>
      </w:pPr>
      <w:rPr>
        <w:rFonts w:ascii="Symbol" w:hAnsi="Symbol" w:hint="default"/>
      </w:rPr>
    </w:lvl>
    <w:lvl w:ilvl="4" w:tplc="10090003" w:tentative="1">
      <w:start w:val="1"/>
      <w:numFmt w:val="bullet"/>
      <w:lvlText w:val="o"/>
      <w:lvlJc w:val="left"/>
      <w:pPr>
        <w:ind w:left="3613" w:hanging="360"/>
      </w:pPr>
      <w:rPr>
        <w:rFonts w:ascii="Courier New" w:hAnsi="Courier New" w:cs="Courier New" w:hint="default"/>
      </w:rPr>
    </w:lvl>
    <w:lvl w:ilvl="5" w:tplc="10090005" w:tentative="1">
      <w:start w:val="1"/>
      <w:numFmt w:val="bullet"/>
      <w:lvlText w:val=""/>
      <w:lvlJc w:val="left"/>
      <w:pPr>
        <w:ind w:left="4333" w:hanging="360"/>
      </w:pPr>
      <w:rPr>
        <w:rFonts w:ascii="Wingdings" w:hAnsi="Wingdings" w:hint="default"/>
      </w:rPr>
    </w:lvl>
    <w:lvl w:ilvl="6" w:tplc="10090001" w:tentative="1">
      <w:start w:val="1"/>
      <w:numFmt w:val="bullet"/>
      <w:lvlText w:val=""/>
      <w:lvlJc w:val="left"/>
      <w:pPr>
        <w:ind w:left="5053" w:hanging="360"/>
      </w:pPr>
      <w:rPr>
        <w:rFonts w:ascii="Symbol" w:hAnsi="Symbol" w:hint="default"/>
      </w:rPr>
    </w:lvl>
    <w:lvl w:ilvl="7" w:tplc="10090003" w:tentative="1">
      <w:start w:val="1"/>
      <w:numFmt w:val="bullet"/>
      <w:lvlText w:val="o"/>
      <w:lvlJc w:val="left"/>
      <w:pPr>
        <w:ind w:left="5773" w:hanging="360"/>
      </w:pPr>
      <w:rPr>
        <w:rFonts w:ascii="Courier New" w:hAnsi="Courier New" w:cs="Courier New" w:hint="default"/>
      </w:rPr>
    </w:lvl>
    <w:lvl w:ilvl="8" w:tplc="10090005" w:tentative="1">
      <w:start w:val="1"/>
      <w:numFmt w:val="bullet"/>
      <w:lvlText w:val=""/>
      <w:lvlJc w:val="left"/>
      <w:pPr>
        <w:ind w:left="6493" w:hanging="360"/>
      </w:pPr>
      <w:rPr>
        <w:rFonts w:ascii="Wingdings" w:hAnsi="Wingdings" w:hint="default"/>
      </w:rPr>
    </w:lvl>
  </w:abstractNum>
  <w:abstractNum w:abstractNumId="77" w15:restartNumberingAfterBreak="0">
    <w:nsid w:val="50977C79"/>
    <w:multiLevelType w:val="hybridMultilevel"/>
    <w:tmpl w:val="FF2E2F8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8" w15:restartNumberingAfterBreak="0">
    <w:nsid w:val="51643516"/>
    <w:multiLevelType w:val="hybridMultilevel"/>
    <w:tmpl w:val="B6A8F3CE"/>
    <w:lvl w:ilvl="0" w:tplc="430449B2">
      <w:start w:val="1"/>
      <w:numFmt w:val="bullet"/>
      <w:lvlText w:val=""/>
      <w:lvlJc w:val="left"/>
      <w:pPr>
        <w:ind w:left="760" w:hanging="360"/>
      </w:pPr>
      <w:rPr>
        <w:rFonts w:ascii="Symbol" w:hAnsi="Symbol" w:hint="default"/>
        <w:color w:val="auto"/>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79" w15:restartNumberingAfterBreak="0">
    <w:nsid w:val="52177A44"/>
    <w:multiLevelType w:val="hybridMultilevel"/>
    <w:tmpl w:val="9852F0DE"/>
    <w:lvl w:ilvl="0" w:tplc="10090001">
      <w:start w:val="1"/>
      <w:numFmt w:val="bullet"/>
      <w:lvlText w:val=""/>
      <w:lvlJc w:val="left"/>
      <w:pPr>
        <w:ind w:left="760" w:hanging="360"/>
      </w:pPr>
      <w:rPr>
        <w:rFonts w:ascii="Symbol" w:hAnsi="Symbol" w:hint="default"/>
      </w:rPr>
    </w:lvl>
    <w:lvl w:ilvl="1" w:tplc="10090003" w:tentative="1">
      <w:start w:val="1"/>
      <w:numFmt w:val="bullet"/>
      <w:lvlText w:val="o"/>
      <w:lvlJc w:val="left"/>
      <w:pPr>
        <w:ind w:left="1480" w:hanging="360"/>
      </w:pPr>
      <w:rPr>
        <w:rFonts w:ascii="Courier New" w:hAnsi="Courier New" w:cs="Courier New" w:hint="default"/>
      </w:rPr>
    </w:lvl>
    <w:lvl w:ilvl="2" w:tplc="10090005" w:tentative="1">
      <w:start w:val="1"/>
      <w:numFmt w:val="bullet"/>
      <w:lvlText w:val=""/>
      <w:lvlJc w:val="left"/>
      <w:pPr>
        <w:ind w:left="2200" w:hanging="360"/>
      </w:pPr>
      <w:rPr>
        <w:rFonts w:ascii="Wingdings" w:hAnsi="Wingdings" w:hint="default"/>
      </w:rPr>
    </w:lvl>
    <w:lvl w:ilvl="3" w:tplc="10090001" w:tentative="1">
      <w:start w:val="1"/>
      <w:numFmt w:val="bullet"/>
      <w:lvlText w:val=""/>
      <w:lvlJc w:val="left"/>
      <w:pPr>
        <w:ind w:left="2920" w:hanging="360"/>
      </w:pPr>
      <w:rPr>
        <w:rFonts w:ascii="Symbol" w:hAnsi="Symbol" w:hint="default"/>
      </w:rPr>
    </w:lvl>
    <w:lvl w:ilvl="4" w:tplc="10090003" w:tentative="1">
      <w:start w:val="1"/>
      <w:numFmt w:val="bullet"/>
      <w:lvlText w:val="o"/>
      <w:lvlJc w:val="left"/>
      <w:pPr>
        <w:ind w:left="3640" w:hanging="360"/>
      </w:pPr>
      <w:rPr>
        <w:rFonts w:ascii="Courier New" w:hAnsi="Courier New" w:cs="Courier New" w:hint="default"/>
      </w:rPr>
    </w:lvl>
    <w:lvl w:ilvl="5" w:tplc="10090005" w:tentative="1">
      <w:start w:val="1"/>
      <w:numFmt w:val="bullet"/>
      <w:lvlText w:val=""/>
      <w:lvlJc w:val="left"/>
      <w:pPr>
        <w:ind w:left="4360" w:hanging="360"/>
      </w:pPr>
      <w:rPr>
        <w:rFonts w:ascii="Wingdings" w:hAnsi="Wingdings" w:hint="default"/>
      </w:rPr>
    </w:lvl>
    <w:lvl w:ilvl="6" w:tplc="10090001" w:tentative="1">
      <w:start w:val="1"/>
      <w:numFmt w:val="bullet"/>
      <w:lvlText w:val=""/>
      <w:lvlJc w:val="left"/>
      <w:pPr>
        <w:ind w:left="5080" w:hanging="360"/>
      </w:pPr>
      <w:rPr>
        <w:rFonts w:ascii="Symbol" w:hAnsi="Symbol" w:hint="default"/>
      </w:rPr>
    </w:lvl>
    <w:lvl w:ilvl="7" w:tplc="10090003" w:tentative="1">
      <w:start w:val="1"/>
      <w:numFmt w:val="bullet"/>
      <w:lvlText w:val="o"/>
      <w:lvlJc w:val="left"/>
      <w:pPr>
        <w:ind w:left="5800" w:hanging="360"/>
      </w:pPr>
      <w:rPr>
        <w:rFonts w:ascii="Courier New" w:hAnsi="Courier New" w:cs="Courier New" w:hint="default"/>
      </w:rPr>
    </w:lvl>
    <w:lvl w:ilvl="8" w:tplc="10090005" w:tentative="1">
      <w:start w:val="1"/>
      <w:numFmt w:val="bullet"/>
      <w:lvlText w:val=""/>
      <w:lvlJc w:val="left"/>
      <w:pPr>
        <w:ind w:left="6520" w:hanging="360"/>
      </w:pPr>
      <w:rPr>
        <w:rFonts w:ascii="Wingdings" w:hAnsi="Wingdings" w:hint="default"/>
      </w:rPr>
    </w:lvl>
  </w:abstractNum>
  <w:abstractNum w:abstractNumId="80" w15:restartNumberingAfterBreak="0">
    <w:nsid w:val="53301399"/>
    <w:multiLevelType w:val="hybridMultilevel"/>
    <w:tmpl w:val="2B2454F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1" w15:restartNumberingAfterBreak="0">
    <w:nsid w:val="53C15228"/>
    <w:multiLevelType w:val="hybridMultilevel"/>
    <w:tmpl w:val="00FC45B2"/>
    <w:lvl w:ilvl="0" w:tplc="10090001">
      <w:start w:val="1"/>
      <w:numFmt w:val="bullet"/>
      <w:lvlText w:val=""/>
      <w:lvlJc w:val="left"/>
      <w:pPr>
        <w:ind w:left="761" w:hanging="360"/>
      </w:pPr>
      <w:rPr>
        <w:rFonts w:ascii="Symbol" w:hAnsi="Symbol" w:hint="default"/>
      </w:rPr>
    </w:lvl>
    <w:lvl w:ilvl="1" w:tplc="10090003" w:tentative="1">
      <w:start w:val="1"/>
      <w:numFmt w:val="bullet"/>
      <w:lvlText w:val="o"/>
      <w:lvlJc w:val="left"/>
      <w:pPr>
        <w:ind w:left="1481" w:hanging="360"/>
      </w:pPr>
      <w:rPr>
        <w:rFonts w:ascii="Courier New" w:hAnsi="Courier New" w:cs="Courier New" w:hint="default"/>
      </w:rPr>
    </w:lvl>
    <w:lvl w:ilvl="2" w:tplc="10090005" w:tentative="1">
      <w:start w:val="1"/>
      <w:numFmt w:val="bullet"/>
      <w:lvlText w:val=""/>
      <w:lvlJc w:val="left"/>
      <w:pPr>
        <w:ind w:left="2201" w:hanging="360"/>
      </w:pPr>
      <w:rPr>
        <w:rFonts w:ascii="Wingdings" w:hAnsi="Wingdings" w:hint="default"/>
      </w:rPr>
    </w:lvl>
    <w:lvl w:ilvl="3" w:tplc="10090001" w:tentative="1">
      <w:start w:val="1"/>
      <w:numFmt w:val="bullet"/>
      <w:lvlText w:val=""/>
      <w:lvlJc w:val="left"/>
      <w:pPr>
        <w:ind w:left="2921" w:hanging="360"/>
      </w:pPr>
      <w:rPr>
        <w:rFonts w:ascii="Symbol" w:hAnsi="Symbol" w:hint="default"/>
      </w:rPr>
    </w:lvl>
    <w:lvl w:ilvl="4" w:tplc="10090003" w:tentative="1">
      <w:start w:val="1"/>
      <w:numFmt w:val="bullet"/>
      <w:lvlText w:val="o"/>
      <w:lvlJc w:val="left"/>
      <w:pPr>
        <w:ind w:left="3641" w:hanging="360"/>
      </w:pPr>
      <w:rPr>
        <w:rFonts w:ascii="Courier New" w:hAnsi="Courier New" w:cs="Courier New" w:hint="default"/>
      </w:rPr>
    </w:lvl>
    <w:lvl w:ilvl="5" w:tplc="10090005" w:tentative="1">
      <w:start w:val="1"/>
      <w:numFmt w:val="bullet"/>
      <w:lvlText w:val=""/>
      <w:lvlJc w:val="left"/>
      <w:pPr>
        <w:ind w:left="4361" w:hanging="360"/>
      </w:pPr>
      <w:rPr>
        <w:rFonts w:ascii="Wingdings" w:hAnsi="Wingdings" w:hint="default"/>
      </w:rPr>
    </w:lvl>
    <w:lvl w:ilvl="6" w:tplc="10090001" w:tentative="1">
      <w:start w:val="1"/>
      <w:numFmt w:val="bullet"/>
      <w:lvlText w:val=""/>
      <w:lvlJc w:val="left"/>
      <w:pPr>
        <w:ind w:left="5081" w:hanging="360"/>
      </w:pPr>
      <w:rPr>
        <w:rFonts w:ascii="Symbol" w:hAnsi="Symbol" w:hint="default"/>
      </w:rPr>
    </w:lvl>
    <w:lvl w:ilvl="7" w:tplc="10090003" w:tentative="1">
      <w:start w:val="1"/>
      <w:numFmt w:val="bullet"/>
      <w:lvlText w:val="o"/>
      <w:lvlJc w:val="left"/>
      <w:pPr>
        <w:ind w:left="5801" w:hanging="360"/>
      </w:pPr>
      <w:rPr>
        <w:rFonts w:ascii="Courier New" w:hAnsi="Courier New" w:cs="Courier New" w:hint="default"/>
      </w:rPr>
    </w:lvl>
    <w:lvl w:ilvl="8" w:tplc="10090005" w:tentative="1">
      <w:start w:val="1"/>
      <w:numFmt w:val="bullet"/>
      <w:lvlText w:val=""/>
      <w:lvlJc w:val="left"/>
      <w:pPr>
        <w:ind w:left="6521" w:hanging="360"/>
      </w:pPr>
      <w:rPr>
        <w:rFonts w:ascii="Wingdings" w:hAnsi="Wingdings" w:hint="default"/>
      </w:rPr>
    </w:lvl>
  </w:abstractNum>
  <w:abstractNum w:abstractNumId="82" w15:restartNumberingAfterBreak="0">
    <w:nsid w:val="546A3971"/>
    <w:multiLevelType w:val="hybridMultilevel"/>
    <w:tmpl w:val="5E126916"/>
    <w:lvl w:ilvl="0" w:tplc="FFFFFFFF">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10090005">
      <w:start w:val="1"/>
      <w:numFmt w:val="bullet"/>
      <w:lvlText w:val=""/>
      <w:lvlJc w:val="left"/>
      <w:pPr>
        <w:ind w:left="1441" w:hanging="360"/>
      </w:pPr>
      <w:rPr>
        <w:rFonts w:ascii="Wingdings" w:hAnsi="Wingdings" w:hint="default"/>
      </w:rPr>
    </w:lvl>
    <w:lvl w:ilvl="2" w:tplc="FFFFFFFF">
      <w:numFmt w:val="bullet"/>
      <w:lvlText w:val="•"/>
      <w:lvlJc w:val="left"/>
      <w:pPr>
        <w:ind w:left="2440" w:hanging="360"/>
      </w:pPr>
      <w:rPr>
        <w:lang w:val="en-US" w:eastAsia="en-US" w:bidi="ar-SA"/>
      </w:rPr>
    </w:lvl>
    <w:lvl w:ilvl="3" w:tplc="FFFFFFFF">
      <w:numFmt w:val="bullet"/>
      <w:lvlText w:val="•"/>
      <w:lvlJc w:val="left"/>
      <w:pPr>
        <w:ind w:left="3440" w:hanging="360"/>
      </w:pPr>
      <w:rPr>
        <w:lang w:val="en-US" w:eastAsia="en-US" w:bidi="ar-SA"/>
      </w:rPr>
    </w:lvl>
    <w:lvl w:ilvl="4" w:tplc="FFFFFFFF">
      <w:numFmt w:val="bullet"/>
      <w:lvlText w:val="•"/>
      <w:lvlJc w:val="left"/>
      <w:pPr>
        <w:ind w:left="4440" w:hanging="360"/>
      </w:pPr>
      <w:rPr>
        <w:lang w:val="en-US" w:eastAsia="en-US" w:bidi="ar-SA"/>
      </w:rPr>
    </w:lvl>
    <w:lvl w:ilvl="5" w:tplc="FFFFFFFF">
      <w:numFmt w:val="bullet"/>
      <w:lvlText w:val="•"/>
      <w:lvlJc w:val="left"/>
      <w:pPr>
        <w:ind w:left="5440" w:hanging="360"/>
      </w:pPr>
      <w:rPr>
        <w:lang w:val="en-US" w:eastAsia="en-US" w:bidi="ar-SA"/>
      </w:rPr>
    </w:lvl>
    <w:lvl w:ilvl="6" w:tplc="FFFFFFFF">
      <w:numFmt w:val="bullet"/>
      <w:lvlText w:val="•"/>
      <w:lvlJc w:val="left"/>
      <w:pPr>
        <w:ind w:left="6440" w:hanging="360"/>
      </w:pPr>
      <w:rPr>
        <w:lang w:val="en-US" w:eastAsia="en-US" w:bidi="ar-SA"/>
      </w:rPr>
    </w:lvl>
    <w:lvl w:ilvl="7" w:tplc="FFFFFFFF">
      <w:numFmt w:val="bullet"/>
      <w:lvlText w:val="•"/>
      <w:lvlJc w:val="left"/>
      <w:pPr>
        <w:ind w:left="7440" w:hanging="360"/>
      </w:pPr>
      <w:rPr>
        <w:lang w:val="en-US" w:eastAsia="en-US" w:bidi="ar-SA"/>
      </w:rPr>
    </w:lvl>
    <w:lvl w:ilvl="8" w:tplc="FFFFFFFF">
      <w:numFmt w:val="bullet"/>
      <w:lvlText w:val="•"/>
      <w:lvlJc w:val="left"/>
      <w:pPr>
        <w:ind w:left="8440" w:hanging="360"/>
      </w:pPr>
      <w:rPr>
        <w:lang w:val="en-US" w:eastAsia="en-US" w:bidi="ar-SA"/>
      </w:rPr>
    </w:lvl>
  </w:abstractNum>
  <w:abstractNum w:abstractNumId="83" w15:restartNumberingAfterBreak="0">
    <w:nsid w:val="54807C90"/>
    <w:multiLevelType w:val="multilevel"/>
    <w:tmpl w:val="BDB2F5DA"/>
    <w:styleLink w:val="Headings"/>
    <w:lvl w:ilvl="0">
      <w:start w:val="1"/>
      <w:numFmt w:val="decimal"/>
      <w:pStyle w:val="Heading1"/>
      <w:lvlText w:val="%1."/>
      <w:lvlJc w:val="left"/>
      <w:pPr>
        <w:ind w:left="510" w:hanging="510"/>
      </w:pPr>
      <w:rPr>
        <w:rFonts w:hint="default"/>
      </w:rPr>
    </w:lvl>
    <w:lvl w:ilvl="1">
      <w:start w:val="1"/>
      <w:numFmt w:val="decimal"/>
      <w:pStyle w:val="Heading2"/>
      <w:lvlText w:val="%1.%2"/>
      <w:lvlJc w:val="left"/>
      <w:pPr>
        <w:ind w:left="510" w:hanging="510"/>
      </w:pPr>
      <w:rPr>
        <w:rFonts w:hint="default"/>
      </w:rPr>
    </w:lvl>
    <w:lvl w:ilvl="2">
      <w:start w:val="1"/>
      <w:numFmt w:val="decimal"/>
      <w:pStyle w:val="Heading3"/>
      <w:lvlText w:val="%1.%2.%3"/>
      <w:lvlJc w:val="left"/>
      <w:pPr>
        <w:ind w:left="510" w:hanging="510"/>
      </w:pPr>
      <w:rPr>
        <w:rFonts w:hint="default"/>
      </w:rPr>
    </w:lvl>
    <w:lvl w:ilvl="3">
      <w:start w:val="1"/>
      <w:numFmt w:val="decimal"/>
      <w:pStyle w:val="Heading4"/>
      <w:lvlText w:val="%1.%2.%3.%4"/>
      <w:lvlJc w:val="left"/>
      <w:pPr>
        <w:ind w:left="651" w:hanging="510"/>
      </w:pPr>
      <w:rPr>
        <w:rFonts w:hint="default"/>
      </w:rPr>
    </w:lvl>
    <w:lvl w:ilvl="4">
      <w:start w:val="1"/>
      <w:numFmt w:val="lowerLetter"/>
      <w:lvlText w:val="(%5)"/>
      <w:lvlJc w:val="left"/>
      <w:pPr>
        <w:ind w:left="510" w:hanging="510"/>
      </w:pPr>
      <w:rPr>
        <w:rFonts w:hint="default"/>
      </w:rPr>
    </w:lvl>
    <w:lvl w:ilvl="5">
      <w:start w:val="1"/>
      <w:numFmt w:val="lowerRoman"/>
      <w:lvlText w:val="(%6)"/>
      <w:lvlJc w:val="left"/>
      <w:pPr>
        <w:ind w:left="510" w:hanging="510"/>
      </w:pPr>
      <w:rPr>
        <w:rFonts w:hint="default"/>
      </w:rPr>
    </w:lvl>
    <w:lvl w:ilvl="6">
      <w:start w:val="1"/>
      <w:numFmt w:val="decimal"/>
      <w:lvlText w:val="%7."/>
      <w:lvlJc w:val="left"/>
      <w:pPr>
        <w:ind w:left="510" w:hanging="510"/>
      </w:pPr>
      <w:rPr>
        <w:rFonts w:hint="default"/>
      </w:rPr>
    </w:lvl>
    <w:lvl w:ilvl="7">
      <w:start w:val="1"/>
      <w:numFmt w:val="lowerLetter"/>
      <w:lvlText w:val="%8."/>
      <w:lvlJc w:val="left"/>
      <w:pPr>
        <w:ind w:left="510" w:hanging="510"/>
      </w:pPr>
      <w:rPr>
        <w:rFonts w:hint="default"/>
      </w:rPr>
    </w:lvl>
    <w:lvl w:ilvl="8">
      <w:start w:val="1"/>
      <w:numFmt w:val="lowerRoman"/>
      <w:lvlText w:val="%9."/>
      <w:lvlJc w:val="left"/>
      <w:pPr>
        <w:ind w:left="510" w:hanging="510"/>
      </w:pPr>
      <w:rPr>
        <w:rFonts w:hint="default"/>
      </w:rPr>
    </w:lvl>
  </w:abstractNum>
  <w:abstractNum w:abstractNumId="84" w15:restartNumberingAfterBreak="0">
    <w:nsid w:val="549810F5"/>
    <w:multiLevelType w:val="singleLevel"/>
    <w:tmpl w:val="FCDADCD2"/>
    <w:lvl w:ilvl="0">
      <w:start w:val="1"/>
      <w:numFmt w:val="bullet"/>
      <w:pStyle w:val="Dashes"/>
      <w:lvlText w:val="–"/>
      <w:lvlJc w:val="left"/>
      <w:pPr>
        <w:tabs>
          <w:tab w:val="num" w:pos="360"/>
        </w:tabs>
        <w:ind w:left="216" w:hanging="216"/>
      </w:pPr>
      <w:rPr>
        <w:rFonts w:ascii="Times New Roman" w:hAnsi="Times New Roman" w:hint="default"/>
      </w:rPr>
    </w:lvl>
  </w:abstractNum>
  <w:abstractNum w:abstractNumId="85" w15:restartNumberingAfterBreak="0">
    <w:nsid w:val="558D5569"/>
    <w:multiLevelType w:val="hybridMultilevel"/>
    <w:tmpl w:val="EC6A24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55EA305E"/>
    <w:multiLevelType w:val="multilevel"/>
    <w:tmpl w:val="225A517E"/>
    <w:styleLink w:val="TextboxBullets"/>
    <w:lvl w:ilvl="0">
      <w:start w:val="1"/>
      <w:numFmt w:val="bullet"/>
      <w:pStyle w:val="TextboxBulletLvl1"/>
      <w:lvlText w:val=""/>
      <w:lvlJc w:val="left"/>
      <w:pPr>
        <w:ind w:left="227" w:hanging="227"/>
      </w:pPr>
      <w:rPr>
        <w:rFonts w:ascii="Symbol" w:hAnsi="Symbol" w:hint="default"/>
        <w:color w:val="009EDB" w:themeColor="accent1"/>
      </w:rPr>
    </w:lvl>
    <w:lvl w:ilvl="1">
      <w:start w:val="1"/>
      <w:numFmt w:val="bullet"/>
      <w:pStyle w:val="TextboxBulletsLvl2"/>
      <w:lvlText w:val="―"/>
      <w:lvlJc w:val="left"/>
      <w:pPr>
        <w:ind w:left="454" w:hanging="227"/>
      </w:pPr>
      <w:rPr>
        <w:rFonts w:ascii="Aptos" w:hAnsi="Aptos" w:hint="default"/>
        <w:color w:val="0075A4" w:themeColor="accent1" w:themeShade="BF"/>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7215B14"/>
    <w:multiLevelType w:val="hybridMultilevel"/>
    <w:tmpl w:val="A6C8DBE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8" w15:restartNumberingAfterBreak="0">
    <w:nsid w:val="586F3B9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58A16F81"/>
    <w:multiLevelType w:val="hybridMultilevel"/>
    <w:tmpl w:val="96CA64EE"/>
    <w:lvl w:ilvl="0" w:tplc="75A80E2E">
      <w:start w:val="1"/>
      <w:numFmt w:val="bullet"/>
      <w:pStyle w:val="Normal-sizedTableBullets"/>
      <w:lvlText w:val=""/>
      <w:lvlJc w:val="left"/>
      <w:pPr>
        <w:ind w:left="170" w:hanging="170"/>
      </w:pPr>
      <w:rPr>
        <w:rFonts w:ascii="Symbol" w:hAnsi="Symbol" w:hint="default"/>
        <w:color w:val="009EDB" w:themeColor="accent1"/>
        <w:sz w:val="16"/>
      </w:rPr>
    </w:lvl>
    <w:lvl w:ilvl="1" w:tplc="1EA298A8">
      <w:numFmt w:val="bullet"/>
      <w:lvlText w:val="-"/>
      <w:lvlJc w:val="left"/>
      <w:pPr>
        <w:ind w:left="1440" w:hanging="360"/>
      </w:pPr>
      <w:rPr>
        <w:rFonts w:ascii="Calibri" w:eastAsia="Calibri" w:hAnsi="Calibri" w:cs="Calibri" w:hint="default"/>
        <w:b w:val="0"/>
        <w:bCs w:val="0"/>
        <w:i w:val="0"/>
        <w:iCs w:val="0"/>
        <w:spacing w:val="0"/>
        <w:w w:val="100"/>
        <w:sz w:val="22"/>
        <w:szCs w:val="22"/>
        <w:lang w:val="en-US" w:eastAsia="en-US" w:bidi="ar-SA"/>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0" w15:restartNumberingAfterBreak="0">
    <w:nsid w:val="59C65CB9"/>
    <w:multiLevelType w:val="hybridMultilevel"/>
    <w:tmpl w:val="F9A6FDD2"/>
    <w:lvl w:ilvl="0" w:tplc="10090001">
      <w:start w:val="1"/>
      <w:numFmt w:val="bullet"/>
      <w:lvlText w:val=""/>
      <w:lvlJc w:val="left"/>
      <w:pPr>
        <w:ind w:left="763" w:hanging="360"/>
      </w:pPr>
      <w:rPr>
        <w:rFonts w:ascii="Symbol" w:hAnsi="Symbol" w:hint="default"/>
      </w:rPr>
    </w:lvl>
    <w:lvl w:ilvl="1" w:tplc="10090003" w:tentative="1">
      <w:start w:val="1"/>
      <w:numFmt w:val="bullet"/>
      <w:lvlText w:val="o"/>
      <w:lvlJc w:val="left"/>
      <w:pPr>
        <w:ind w:left="1483" w:hanging="360"/>
      </w:pPr>
      <w:rPr>
        <w:rFonts w:ascii="Courier New" w:hAnsi="Courier New" w:cs="Courier New" w:hint="default"/>
      </w:rPr>
    </w:lvl>
    <w:lvl w:ilvl="2" w:tplc="10090005" w:tentative="1">
      <w:start w:val="1"/>
      <w:numFmt w:val="bullet"/>
      <w:lvlText w:val=""/>
      <w:lvlJc w:val="left"/>
      <w:pPr>
        <w:ind w:left="2203" w:hanging="360"/>
      </w:pPr>
      <w:rPr>
        <w:rFonts w:ascii="Wingdings" w:hAnsi="Wingdings" w:hint="default"/>
      </w:rPr>
    </w:lvl>
    <w:lvl w:ilvl="3" w:tplc="10090001" w:tentative="1">
      <w:start w:val="1"/>
      <w:numFmt w:val="bullet"/>
      <w:lvlText w:val=""/>
      <w:lvlJc w:val="left"/>
      <w:pPr>
        <w:ind w:left="2923" w:hanging="360"/>
      </w:pPr>
      <w:rPr>
        <w:rFonts w:ascii="Symbol" w:hAnsi="Symbol" w:hint="default"/>
      </w:rPr>
    </w:lvl>
    <w:lvl w:ilvl="4" w:tplc="10090003" w:tentative="1">
      <w:start w:val="1"/>
      <w:numFmt w:val="bullet"/>
      <w:lvlText w:val="o"/>
      <w:lvlJc w:val="left"/>
      <w:pPr>
        <w:ind w:left="3643" w:hanging="360"/>
      </w:pPr>
      <w:rPr>
        <w:rFonts w:ascii="Courier New" w:hAnsi="Courier New" w:cs="Courier New" w:hint="default"/>
      </w:rPr>
    </w:lvl>
    <w:lvl w:ilvl="5" w:tplc="10090005" w:tentative="1">
      <w:start w:val="1"/>
      <w:numFmt w:val="bullet"/>
      <w:lvlText w:val=""/>
      <w:lvlJc w:val="left"/>
      <w:pPr>
        <w:ind w:left="4363" w:hanging="360"/>
      </w:pPr>
      <w:rPr>
        <w:rFonts w:ascii="Wingdings" w:hAnsi="Wingdings" w:hint="default"/>
      </w:rPr>
    </w:lvl>
    <w:lvl w:ilvl="6" w:tplc="10090001" w:tentative="1">
      <w:start w:val="1"/>
      <w:numFmt w:val="bullet"/>
      <w:lvlText w:val=""/>
      <w:lvlJc w:val="left"/>
      <w:pPr>
        <w:ind w:left="5083" w:hanging="360"/>
      </w:pPr>
      <w:rPr>
        <w:rFonts w:ascii="Symbol" w:hAnsi="Symbol" w:hint="default"/>
      </w:rPr>
    </w:lvl>
    <w:lvl w:ilvl="7" w:tplc="10090003" w:tentative="1">
      <w:start w:val="1"/>
      <w:numFmt w:val="bullet"/>
      <w:lvlText w:val="o"/>
      <w:lvlJc w:val="left"/>
      <w:pPr>
        <w:ind w:left="5803" w:hanging="360"/>
      </w:pPr>
      <w:rPr>
        <w:rFonts w:ascii="Courier New" w:hAnsi="Courier New" w:cs="Courier New" w:hint="default"/>
      </w:rPr>
    </w:lvl>
    <w:lvl w:ilvl="8" w:tplc="10090005" w:tentative="1">
      <w:start w:val="1"/>
      <w:numFmt w:val="bullet"/>
      <w:lvlText w:val=""/>
      <w:lvlJc w:val="left"/>
      <w:pPr>
        <w:ind w:left="6523" w:hanging="360"/>
      </w:pPr>
      <w:rPr>
        <w:rFonts w:ascii="Wingdings" w:hAnsi="Wingdings" w:hint="default"/>
      </w:rPr>
    </w:lvl>
  </w:abstractNum>
  <w:abstractNum w:abstractNumId="91" w15:restartNumberingAfterBreak="0">
    <w:nsid w:val="5A715A11"/>
    <w:multiLevelType w:val="hybridMultilevel"/>
    <w:tmpl w:val="6F58EE4A"/>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5C02141B"/>
    <w:multiLevelType w:val="hybridMultilevel"/>
    <w:tmpl w:val="F4C4C7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3" w15:restartNumberingAfterBreak="0">
    <w:nsid w:val="5CB14B84"/>
    <w:multiLevelType w:val="hybridMultilevel"/>
    <w:tmpl w:val="90709DBA"/>
    <w:lvl w:ilvl="0" w:tplc="1F86BC92">
      <w:start w:val="3"/>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4" w15:restartNumberingAfterBreak="0">
    <w:nsid w:val="5DA00230"/>
    <w:multiLevelType w:val="hybridMultilevel"/>
    <w:tmpl w:val="36723BF0"/>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5" w15:restartNumberingAfterBreak="0">
    <w:nsid w:val="5FC66A15"/>
    <w:multiLevelType w:val="hybridMultilevel"/>
    <w:tmpl w:val="FF66B2F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6" w15:restartNumberingAfterBreak="0">
    <w:nsid w:val="60044D87"/>
    <w:multiLevelType w:val="hybridMultilevel"/>
    <w:tmpl w:val="1750AF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7" w15:restartNumberingAfterBreak="0">
    <w:nsid w:val="60C10627"/>
    <w:multiLevelType w:val="hybridMultilevel"/>
    <w:tmpl w:val="46D00E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8" w15:restartNumberingAfterBreak="0">
    <w:nsid w:val="60DB6A87"/>
    <w:multiLevelType w:val="hybridMultilevel"/>
    <w:tmpl w:val="0BBC6D5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9" w15:restartNumberingAfterBreak="0">
    <w:nsid w:val="61413BD7"/>
    <w:multiLevelType w:val="hybridMultilevel"/>
    <w:tmpl w:val="EB360E36"/>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0" w15:restartNumberingAfterBreak="0">
    <w:nsid w:val="62841E4A"/>
    <w:multiLevelType w:val="hybridMultilevel"/>
    <w:tmpl w:val="7946F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1" w15:restartNumberingAfterBreak="0">
    <w:nsid w:val="629B257D"/>
    <w:multiLevelType w:val="hybridMultilevel"/>
    <w:tmpl w:val="EE640FDA"/>
    <w:lvl w:ilvl="0" w:tplc="D0283B34">
      <w:start w:val="1"/>
      <w:numFmt w:val="bullet"/>
      <w:lvlText w:val="-"/>
      <w:lvlJc w:val="left"/>
      <w:pPr>
        <w:ind w:left="360" w:hanging="360"/>
      </w:pPr>
      <w:rPr>
        <w:rFonts w:ascii="Calibri" w:eastAsia="Times New Roman" w:hAnsi="Calibri" w:cs="Calibr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2" w15:restartNumberingAfterBreak="0">
    <w:nsid w:val="66593FAC"/>
    <w:multiLevelType w:val="hybridMultilevel"/>
    <w:tmpl w:val="0B3AF4B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3" w15:restartNumberingAfterBreak="0">
    <w:nsid w:val="6A7D1B5F"/>
    <w:multiLevelType w:val="hybridMultilevel"/>
    <w:tmpl w:val="813AFD16"/>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4" w15:restartNumberingAfterBreak="0">
    <w:nsid w:val="6B3E6D92"/>
    <w:multiLevelType w:val="hybridMultilevel"/>
    <w:tmpl w:val="AC943E80"/>
    <w:lvl w:ilvl="0" w:tplc="D0283B34">
      <w:start w:val="1"/>
      <w:numFmt w:val="bullet"/>
      <w:lvlText w:val="-"/>
      <w:lvlJc w:val="left"/>
      <w:pPr>
        <w:ind w:left="360" w:hanging="360"/>
      </w:pPr>
      <w:rPr>
        <w:rFonts w:ascii="Calibri" w:eastAsia="Times New Roman" w:hAnsi="Calibri" w:cs="Calibri"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5" w15:restartNumberingAfterBreak="0">
    <w:nsid w:val="6ECC5D96"/>
    <w:multiLevelType w:val="hybridMultilevel"/>
    <w:tmpl w:val="353C8DB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6" w15:restartNumberingAfterBreak="0">
    <w:nsid w:val="72502543"/>
    <w:multiLevelType w:val="hybridMultilevel"/>
    <w:tmpl w:val="28E2DD60"/>
    <w:lvl w:ilvl="0" w:tplc="10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7" w15:restartNumberingAfterBreak="0">
    <w:nsid w:val="72DA62F8"/>
    <w:multiLevelType w:val="hybridMultilevel"/>
    <w:tmpl w:val="160C4A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8" w15:restartNumberingAfterBreak="0">
    <w:nsid w:val="7301380A"/>
    <w:multiLevelType w:val="hybridMultilevel"/>
    <w:tmpl w:val="179030DA"/>
    <w:lvl w:ilvl="0" w:tplc="6B0AF894">
      <w:numFmt w:val="bullet"/>
      <w:lvlText w:val="•"/>
      <w:lvlJc w:val="left"/>
      <w:pPr>
        <w:ind w:left="721" w:hanging="361"/>
      </w:pPr>
      <w:rPr>
        <w:rFonts w:ascii="Calibri" w:eastAsia="Calibri" w:hAnsi="Calibri" w:cs="Calibri" w:hint="default"/>
        <w:b w:val="0"/>
        <w:bCs w:val="0"/>
        <w:i w:val="0"/>
        <w:iCs w:val="0"/>
        <w:spacing w:val="0"/>
        <w:w w:val="100"/>
        <w:sz w:val="22"/>
        <w:szCs w:val="22"/>
        <w:lang w:val="en-US" w:eastAsia="en-US" w:bidi="ar-SA"/>
      </w:rPr>
    </w:lvl>
    <w:lvl w:ilvl="1" w:tplc="EC08AAD4">
      <w:numFmt w:val="bullet"/>
      <w:lvlText w:val="•"/>
      <w:lvlJc w:val="left"/>
      <w:pPr>
        <w:ind w:left="1692" w:hanging="361"/>
      </w:pPr>
      <w:rPr>
        <w:lang w:val="en-US" w:eastAsia="en-US" w:bidi="ar-SA"/>
      </w:rPr>
    </w:lvl>
    <w:lvl w:ilvl="2" w:tplc="2F44C454">
      <w:numFmt w:val="bullet"/>
      <w:lvlText w:val="•"/>
      <w:lvlJc w:val="left"/>
      <w:pPr>
        <w:ind w:left="2664" w:hanging="361"/>
      </w:pPr>
      <w:rPr>
        <w:lang w:val="en-US" w:eastAsia="en-US" w:bidi="ar-SA"/>
      </w:rPr>
    </w:lvl>
    <w:lvl w:ilvl="3" w:tplc="6D76A5DC">
      <w:numFmt w:val="bullet"/>
      <w:lvlText w:val="•"/>
      <w:lvlJc w:val="left"/>
      <w:pPr>
        <w:ind w:left="3636" w:hanging="361"/>
      </w:pPr>
      <w:rPr>
        <w:lang w:val="en-US" w:eastAsia="en-US" w:bidi="ar-SA"/>
      </w:rPr>
    </w:lvl>
    <w:lvl w:ilvl="4" w:tplc="63F87DEA">
      <w:numFmt w:val="bullet"/>
      <w:lvlText w:val="•"/>
      <w:lvlJc w:val="left"/>
      <w:pPr>
        <w:ind w:left="4608" w:hanging="361"/>
      </w:pPr>
      <w:rPr>
        <w:lang w:val="en-US" w:eastAsia="en-US" w:bidi="ar-SA"/>
      </w:rPr>
    </w:lvl>
    <w:lvl w:ilvl="5" w:tplc="166202BA">
      <w:numFmt w:val="bullet"/>
      <w:lvlText w:val="•"/>
      <w:lvlJc w:val="left"/>
      <w:pPr>
        <w:ind w:left="5580" w:hanging="361"/>
      </w:pPr>
      <w:rPr>
        <w:lang w:val="en-US" w:eastAsia="en-US" w:bidi="ar-SA"/>
      </w:rPr>
    </w:lvl>
    <w:lvl w:ilvl="6" w:tplc="DBF604F8">
      <w:numFmt w:val="bullet"/>
      <w:lvlText w:val="•"/>
      <w:lvlJc w:val="left"/>
      <w:pPr>
        <w:ind w:left="6552" w:hanging="361"/>
      </w:pPr>
      <w:rPr>
        <w:lang w:val="en-US" w:eastAsia="en-US" w:bidi="ar-SA"/>
      </w:rPr>
    </w:lvl>
    <w:lvl w:ilvl="7" w:tplc="F35EF1D0">
      <w:numFmt w:val="bullet"/>
      <w:lvlText w:val="•"/>
      <w:lvlJc w:val="left"/>
      <w:pPr>
        <w:ind w:left="7524" w:hanging="361"/>
      </w:pPr>
      <w:rPr>
        <w:lang w:val="en-US" w:eastAsia="en-US" w:bidi="ar-SA"/>
      </w:rPr>
    </w:lvl>
    <w:lvl w:ilvl="8" w:tplc="4FA62562">
      <w:numFmt w:val="bullet"/>
      <w:lvlText w:val="•"/>
      <w:lvlJc w:val="left"/>
      <w:pPr>
        <w:ind w:left="8496" w:hanging="361"/>
      </w:pPr>
      <w:rPr>
        <w:lang w:val="en-US" w:eastAsia="en-US" w:bidi="ar-SA"/>
      </w:rPr>
    </w:lvl>
  </w:abstractNum>
  <w:abstractNum w:abstractNumId="109" w15:restartNumberingAfterBreak="0">
    <w:nsid w:val="73671982"/>
    <w:multiLevelType w:val="hybridMultilevel"/>
    <w:tmpl w:val="8E5AAC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0" w15:restartNumberingAfterBreak="0">
    <w:nsid w:val="744C5873"/>
    <w:multiLevelType w:val="hybridMultilevel"/>
    <w:tmpl w:val="C284BECA"/>
    <w:lvl w:ilvl="0" w:tplc="F5322FE0">
      <w:start w:val="1"/>
      <w:numFmt w:val="lowerRoman"/>
      <w:lvlText w:val="(%1)"/>
      <w:lvlJc w:val="left"/>
      <w:pPr>
        <w:ind w:left="361" w:hanging="361"/>
      </w:pPr>
      <w:rPr>
        <w:b w:val="0"/>
        <w:bCs/>
        <w:spacing w:val="-2"/>
        <w:w w:val="100"/>
        <w:lang w:val="en-US" w:eastAsia="en-US" w:bidi="ar-SA"/>
      </w:rPr>
    </w:lvl>
    <w:lvl w:ilvl="1" w:tplc="91CE28BA">
      <w:numFmt w:val="bullet"/>
      <w:lvlText w:val="o"/>
      <w:lvlJc w:val="left"/>
      <w:pPr>
        <w:ind w:left="1081" w:hanging="360"/>
      </w:pPr>
      <w:rPr>
        <w:rFonts w:ascii="Courier New" w:eastAsia="Courier New" w:hAnsi="Courier New" w:cs="Courier New" w:hint="default"/>
        <w:b w:val="0"/>
        <w:bCs w:val="0"/>
        <w:i w:val="0"/>
        <w:iCs w:val="0"/>
        <w:spacing w:val="0"/>
        <w:w w:val="100"/>
        <w:sz w:val="22"/>
        <w:szCs w:val="22"/>
        <w:lang w:val="en-US" w:eastAsia="en-US" w:bidi="ar-SA"/>
      </w:rPr>
    </w:lvl>
    <w:lvl w:ilvl="2" w:tplc="E6CEE9B0">
      <w:numFmt w:val="bullet"/>
      <w:lvlText w:val=""/>
      <w:lvlJc w:val="left"/>
      <w:pPr>
        <w:ind w:left="1801" w:hanging="360"/>
      </w:pPr>
      <w:rPr>
        <w:rFonts w:ascii="Wingdings" w:eastAsia="Wingdings" w:hAnsi="Wingdings" w:cs="Wingdings" w:hint="default"/>
        <w:b w:val="0"/>
        <w:bCs w:val="0"/>
        <w:i w:val="0"/>
        <w:iCs w:val="0"/>
        <w:spacing w:val="0"/>
        <w:w w:val="100"/>
        <w:sz w:val="22"/>
        <w:szCs w:val="22"/>
        <w:lang w:val="en-US" w:eastAsia="en-US" w:bidi="ar-SA"/>
      </w:rPr>
    </w:lvl>
    <w:lvl w:ilvl="3" w:tplc="8626DDA4">
      <w:numFmt w:val="bullet"/>
      <w:lvlText w:val="•"/>
      <w:lvlJc w:val="left"/>
      <w:pPr>
        <w:ind w:left="2835" w:hanging="360"/>
      </w:pPr>
      <w:rPr>
        <w:lang w:val="en-US" w:eastAsia="en-US" w:bidi="ar-SA"/>
      </w:rPr>
    </w:lvl>
    <w:lvl w:ilvl="4" w:tplc="9B42D86C">
      <w:numFmt w:val="bullet"/>
      <w:lvlText w:val="•"/>
      <w:lvlJc w:val="left"/>
      <w:pPr>
        <w:ind w:left="3870" w:hanging="360"/>
      </w:pPr>
      <w:rPr>
        <w:lang w:val="en-US" w:eastAsia="en-US" w:bidi="ar-SA"/>
      </w:rPr>
    </w:lvl>
    <w:lvl w:ilvl="5" w:tplc="211EE7E8">
      <w:numFmt w:val="bullet"/>
      <w:lvlText w:val="•"/>
      <w:lvlJc w:val="left"/>
      <w:pPr>
        <w:ind w:left="4905" w:hanging="360"/>
      </w:pPr>
      <w:rPr>
        <w:lang w:val="en-US" w:eastAsia="en-US" w:bidi="ar-SA"/>
      </w:rPr>
    </w:lvl>
    <w:lvl w:ilvl="6" w:tplc="6EBA6450">
      <w:numFmt w:val="bullet"/>
      <w:lvlText w:val="•"/>
      <w:lvlJc w:val="left"/>
      <w:pPr>
        <w:ind w:left="5940" w:hanging="360"/>
      </w:pPr>
      <w:rPr>
        <w:lang w:val="en-US" w:eastAsia="en-US" w:bidi="ar-SA"/>
      </w:rPr>
    </w:lvl>
    <w:lvl w:ilvl="7" w:tplc="E6CCE1B8">
      <w:numFmt w:val="bullet"/>
      <w:lvlText w:val="•"/>
      <w:lvlJc w:val="left"/>
      <w:pPr>
        <w:ind w:left="6975" w:hanging="360"/>
      </w:pPr>
      <w:rPr>
        <w:lang w:val="en-US" w:eastAsia="en-US" w:bidi="ar-SA"/>
      </w:rPr>
    </w:lvl>
    <w:lvl w:ilvl="8" w:tplc="07A82F1A">
      <w:numFmt w:val="bullet"/>
      <w:lvlText w:val="•"/>
      <w:lvlJc w:val="left"/>
      <w:pPr>
        <w:ind w:left="8010" w:hanging="360"/>
      </w:pPr>
      <w:rPr>
        <w:lang w:val="en-US" w:eastAsia="en-US" w:bidi="ar-SA"/>
      </w:rPr>
    </w:lvl>
  </w:abstractNum>
  <w:abstractNum w:abstractNumId="111" w15:restartNumberingAfterBreak="0">
    <w:nsid w:val="751A401A"/>
    <w:multiLevelType w:val="hybridMultilevel"/>
    <w:tmpl w:val="D4F8C9A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2" w15:restartNumberingAfterBreak="0">
    <w:nsid w:val="76FA3449"/>
    <w:multiLevelType w:val="hybridMultilevel"/>
    <w:tmpl w:val="390E518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3" w15:restartNumberingAfterBreak="0">
    <w:nsid w:val="77FD67F6"/>
    <w:multiLevelType w:val="hybridMultilevel"/>
    <w:tmpl w:val="09E4CF3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4" w15:restartNumberingAfterBreak="0">
    <w:nsid w:val="7A2F2239"/>
    <w:multiLevelType w:val="hybridMultilevel"/>
    <w:tmpl w:val="5ED68DD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5" w15:restartNumberingAfterBreak="0">
    <w:nsid w:val="7B0A12A3"/>
    <w:multiLevelType w:val="hybridMultilevel"/>
    <w:tmpl w:val="4B7A1BC2"/>
    <w:lvl w:ilvl="0" w:tplc="2CC85F0C">
      <w:start w:val="1"/>
      <w:numFmt w:val="bullet"/>
      <w:lvlText w:val="-"/>
      <w:lvlJc w:val="left"/>
      <w:pPr>
        <w:ind w:left="360"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6" w15:restartNumberingAfterBreak="0">
    <w:nsid w:val="7BD14859"/>
    <w:multiLevelType w:val="hybridMultilevel"/>
    <w:tmpl w:val="75F46F90"/>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7BE2589C"/>
    <w:multiLevelType w:val="hybridMultilevel"/>
    <w:tmpl w:val="2DF0C140"/>
    <w:lvl w:ilvl="0" w:tplc="E11EFFFA">
      <w:start w:val="1"/>
      <w:numFmt w:val="bullet"/>
      <w:pStyle w:val="TableBullets"/>
      <w:lvlText w:val=""/>
      <w:lvlJc w:val="left"/>
      <w:pPr>
        <w:ind w:left="170" w:hanging="170"/>
      </w:pPr>
      <w:rPr>
        <w:rFonts w:ascii="Symbol" w:hAnsi="Symbol" w:hint="default"/>
        <w:color w:val="009EDB" w:themeColor="accent1"/>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8" w15:restartNumberingAfterBreak="0">
    <w:nsid w:val="7C300C0B"/>
    <w:multiLevelType w:val="hybridMultilevel"/>
    <w:tmpl w:val="0EEA6984"/>
    <w:lvl w:ilvl="0" w:tplc="10090001">
      <w:start w:val="1"/>
      <w:numFmt w:val="bullet"/>
      <w:lvlText w:val=""/>
      <w:lvlJc w:val="left"/>
      <w:pPr>
        <w:ind w:left="755" w:hanging="360"/>
      </w:pPr>
      <w:rPr>
        <w:rFonts w:ascii="Symbol" w:hAnsi="Symbol" w:hint="default"/>
      </w:rPr>
    </w:lvl>
    <w:lvl w:ilvl="1" w:tplc="10090003">
      <w:start w:val="1"/>
      <w:numFmt w:val="bullet"/>
      <w:lvlText w:val="o"/>
      <w:lvlJc w:val="left"/>
      <w:pPr>
        <w:ind w:left="1475" w:hanging="360"/>
      </w:pPr>
      <w:rPr>
        <w:rFonts w:ascii="Courier New" w:hAnsi="Courier New" w:cs="Courier New" w:hint="default"/>
      </w:rPr>
    </w:lvl>
    <w:lvl w:ilvl="2" w:tplc="10090005" w:tentative="1">
      <w:start w:val="1"/>
      <w:numFmt w:val="bullet"/>
      <w:lvlText w:val=""/>
      <w:lvlJc w:val="left"/>
      <w:pPr>
        <w:ind w:left="2195" w:hanging="360"/>
      </w:pPr>
      <w:rPr>
        <w:rFonts w:ascii="Wingdings" w:hAnsi="Wingdings" w:hint="default"/>
      </w:rPr>
    </w:lvl>
    <w:lvl w:ilvl="3" w:tplc="10090001" w:tentative="1">
      <w:start w:val="1"/>
      <w:numFmt w:val="bullet"/>
      <w:lvlText w:val=""/>
      <w:lvlJc w:val="left"/>
      <w:pPr>
        <w:ind w:left="2915" w:hanging="360"/>
      </w:pPr>
      <w:rPr>
        <w:rFonts w:ascii="Symbol" w:hAnsi="Symbol" w:hint="default"/>
      </w:rPr>
    </w:lvl>
    <w:lvl w:ilvl="4" w:tplc="10090003" w:tentative="1">
      <w:start w:val="1"/>
      <w:numFmt w:val="bullet"/>
      <w:lvlText w:val="o"/>
      <w:lvlJc w:val="left"/>
      <w:pPr>
        <w:ind w:left="3635" w:hanging="360"/>
      </w:pPr>
      <w:rPr>
        <w:rFonts w:ascii="Courier New" w:hAnsi="Courier New" w:cs="Courier New" w:hint="default"/>
      </w:rPr>
    </w:lvl>
    <w:lvl w:ilvl="5" w:tplc="10090005" w:tentative="1">
      <w:start w:val="1"/>
      <w:numFmt w:val="bullet"/>
      <w:lvlText w:val=""/>
      <w:lvlJc w:val="left"/>
      <w:pPr>
        <w:ind w:left="4355" w:hanging="360"/>
      </w:pPr>
      <w:rPr>
        <w:rFonts w:ascii="Wingdings" w:hAnsi="Wingdings" w:hint="default"/>
      </w:rPr>
    </w:lvl>
    <w:lvl w:ilvl="6" w:tplc="10090001" w:tentative="1">
      <w:start w:val="1"/>
      <w:numFmt w:val="bullet"/>
      <w:lvlText w:val=""/>
      <w:lvlJc w:val="left"/>
      <w:pPr>
        <w:ind w:left="5075" w:hanging="360"/>
      </w:pPr>
      <w:rPr>
        <w:rFonts w:ascii="Symbol" w:hAnsi="Symbol" w:hint="default"/>
      </w:rPr>
    </w:lvl>
    <w:lvl w:ilvl="7" w:tplc="10090003" w:tentative="1">
      <w:start w:val="1"/>
      <w:numFmt w:val="bullet"/>
      <w:lvlText w:val="o"/>
      <w:lvlJc w:val="left"/>
      <w:pPr>
        <w:ind w:left="5795" w:hanging="360"/>
      </w:pPr>
      <w:rPr>
        <w:rFonts w:ascii="Courier New" w:hAnsi="Courier New" w:cs="Courier New" w:hint="default"/>
      </w:rPr>
    </w:lvl>
    <w:lvl w:ilvl="8" w:tplc="10090005" w:tentative="1">
      <w:start w:val="1"/>
      <w:numFmt w:val="bullet"/>
      <w:lvlText w:val=""/>
      <w:lvlJc w:val="left"/>
      <w:pPr>
        <w:ind w:left="6515" w:hanging="360"/>
      </w:pPr>
      <w:rPr>
        <w:rFonts w:ascii="Wingdings" w:hAnsi="Wingdings" w:hint="default"/>
      </w:rPr>
    </w:lvl>
  </w:abstractNum>
  <w:abstractNum w:abstractNumId="119" w15:restartNumberingAfterBreak="0">
    <w:nsid w:val="7E4909D1"/>
    <w:multiLevelType w:val="multilevel"/>
    <w:tmpl w:val="0414B5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FB0551E"/>
    <w:multiLevelType w:val="hybridMultilevel"/>
    <w:tmpl w:val="66C2AB2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72132833">
    <w:abstractNumId w:val="0"/>
  </w:num>
  <w:num w:numId="2" w16cid:durableId="728576168">
    <w:abstractNumId w:val="83"/>
  </w:num>
  <w:num w:numId="3" w16cid:durableId="1649937309">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5836940">
    <w:abstractNumId w:val="86"/>
  </w:num>
  <w:num w:numId="5" w16cid:durableId="1045636081">
    <w:abstractNumId w:val="86"/>
  </w:num>
  <w:num w:numId="6" w16cid:durableId="1001660060">
    <w:abstractNumId w:val="117"/>
  </w:num>
  <w:num w:numId="7" w16cid:durableId="2123183965">
    <w:abstractNumId w:val="44"/>
  </w:num>
  <w:num w:numId="8" w16cid:durableId="1894999208">
    <w:abstractNumId w:val="0"/>
    <w:lvlOverride w:ilvl="0">
      <w:startOverride w:val="1"/>
    </w:lvlOverride>
  </w:num>
  <w:num w:numId="9" w16cid:durableId="747773584">
    <w:abstractNumId w:val="10"/>
  </w:num>
  <w:num w:numId="10" w16cid:durableId="2030524977">
    <w:abstractNumId w:val="89"/>
  </w:num>
  <w:num w:numId="11" w16cid:durableId="606935115">
    <w:abstractNumId w:val="49"/>
  </w:num>
  <w:num w:numId="12" w16cid:durableId="361176093">
    <w:abstractNumId w:val="46"/>
  </w:num>
  <w:num w:numId="13" w16cid:durableId="380789485">
    <w:abstractNumId w:val="19"/>
    <w:lvlOverride w:ilvl="0">
      <w:startOverride w:val="1"/>
    </w:lvlOverride>
    <w:lvlOverride w:ilvl="1"/>
    <w:lvlOverride w:ilvl="2"/>
    <w:lvlOverride w:ilvl="3"/>
    <w:lvlOverride w:ilvl="4"/>
    <w:lvlOverride w:ilvl="5"/>
    <w:lvlOverride w:ilvl="6"/>
    <w:lvlOverride w:ilvl="7"/>
    <w:lvlOverride w:ilvl="8"/>
  </w:num>
  <w:num w:numId="14" w16cid:durableId="1917745070">
    <w:abstractNumId w:val="15"/>
  </w:num>
  <w:num w:numId="15" w16cid:durableId="1095514826">
    <w:abstractNumId w:val="7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6" w16cid:durableId="532427863">
    <w:abstractNumId w:val="110"/>
    <w:lvlOverride w:ilvl="0">
      <w:startOverride w:val="1"/>
    </w:lvlOverride>
    <w:lvlOverride w:ilvl="1"/>
    <w:lvlOverride w:ilvl="2"/>
    <w:lvlOverride w:ilvl="3"/>
    <w:lvlOverride w:ilvl="4"/>
    <w:lvlOverride w:ilvl="5"/>
    <w:lvlOverride w:ilvl="6"/>
    <w:lvlOverride w:ilvl="7"/>
    <w:lvlOverride w:ilvl="8"/>
  </w:num>
  <w:num w:numId="17" w16cid:durableId="144276360">
    <w:abstractNumId w:val="63"/>
  </w:num>
  <w:num w:numId="18" w16cid:durableId="1550994027">
    <w:abstractNumId w:val="64"/>
  </w:num>
  <w:num w:numId="19" w16cid:durableId="1237544880">
    <w:abstractNumId w:val="108"/>
  </w:num>
  <w:num w:numId="20" w16cid:durableId="1481922826">
    <w:abstractNumId w:val="26"/>
  </w:num>
  <w:num w:numId="21" w16cid:durableId="1694650146">
    <w:abstractNumId w:val="4"/>
  </w:num>
  <w:num w:numId="22" w16cid:durableId="1438452851">
    <w:abstractNumId w:val="65"/>
  </w:num>
  <w:num w:numId="23" w16cid:durableId="1153714734">
    <w:abstractNumId w:val="71"/>
  </w:num>
  <w:num w:numId="24" w16cid:durableId="1724793621">
    <w:abstractNumId w:val="52"/>
  </w:num>
  <w:num w:numId="25" w16cid:durableId="1339772661">
    <w:abstractNumId w:val="87"/>
  </w:num>
  <w:num w:numId="26" w16cid:durableId="41685163">
    <w:abstractNumId w:val="51"/>
  </w:num>
  <w:num w:numId="27" w16cid:durableId="1252087001">
    <w:abstractNumId w:val="116"/>
  </w:num>
  <w:num w:numId="28" w16cid:durableId="627200962">
    <w:abstractNumId w:val="1"/>
  </w:num>
  <w:num w:numId="29" w16cid:durableId="432438535">
    <w:abstractNumId w:val="74"/>
  </w:num>
  <w:num w:numId="30" w16cid:durableId="762846580">
    <w:abstractNumId w:val="106"/>
  </w:num>
  <w:num w:numId="31" w16cid:durableId="1764640955">
    <w:abstractNumId w:val="96"/>
  </w:num>
  <w:num w:numId="32" w16cid:durableId="1426535669">
    <w:abstractNumId w:val="93"/>
  </w:num>
  <w:num w:numId="33" w16cid:durableId="1662124922">
    <w:abstractNumId w:val="18"/>
  </w:num>
  <w:num w:numId="34" w16cid:durableId="870267108">
    <w:abstractNumId w:val="54"/>
  </w:num>
  <w:num w:numId="35" w16cid:durableId="425611131">
    <w:abstractNumId w:val="91"/>
  </w:num>
  <w:num w:numId="36" w16cid:durableId="1609971643">
    <w:abstractNumId w:val="68"/>
  </w:num>
  <w:num w:numId="37" w16cid:durableId="1176382634">
    <w:abstractNumId w:val="42"/>
  </w:num>
  <w:num w:numId="38" w16cid:durableId="180750748">
    <w:abstractNumId w:val="97"/>
  </w:num>
  <w:num w:numId="39" w16cid:durableId="1221137413">
    <w:abstractNumId w:val="40"/>
  </w:num>
  <w:num w:numId="40" w16cid:durableId="1411929236">
    <w:abstractNumId w:val="102"/>
  </w:num>
  <w:num w:numId="41" w16cid:durableId="1988896487">
    <w:abstractNumId w:val="0"/>
    <w:lvlOverride w:ilvl="0">
      <w:startOverride w:val="1"/>
    </w:lvlOverride>
  </w:num>
  <w:num w:numId="42" w16cid:durableId="46147200">
    <w:abstractNumId w:val="31"/>
  </w:num>
  <w:num w:numId="43" w16cid:durableId="1151364793">
    <w:abstractNumId w:val="59"/>
  </w:num>
  <w:num w:numId="44" w16cid:durableId="1971979424">
    <w:abstractNumId w:val="2"/>
  </w:num>
  <w:num w:numId="45" w16cid:durableId="50811472">
    <w:abstractNumId w:val="3"/>
  </w:num>
  <w:num w:numId="46" w16cid:durableId="1769740846">
    <w:abstractNumId w:val="38"/>
  </w:num>
  <w:num w:numId="47" w16cid:durableId="458449812">
    <w:abstractNumId w:val="105"/>
  </w:num>
  <w:num w:numId="48" w16cid:durableId="2010401743">
    <w:abstractNumId w:val="17"/>
  </w:num>
  <w:num w:numId="49" w16cid:durableId="1983584837">
    <w:abstractNumId w:val="11"/>
  </w:num>
  <w:num w:numId="50" w16cid:durableId="884636813">
    <w:abstractNumId w:val="12"/>
  </w:num>
  <w:num w:numId="51" w16cid:durableId="288558714">
    <w:abstractNumId w:val="28"/>
  </w:num>
  <w:num w:numId="52" w16cid:durableId="1214272262">
    <w:abstractNumId w:val="75"/>
  </w:num>
  <w:num w:numId="53" w16cid:durableId="1560362465">
    <w:abstractNumId w:val="24"/>
  </w:num>
  <w:num w:numId="54" w16cid:durableId="1714958196">
    <w:abstractNumId w:val="62"/>
  </w:num>
  <w:num w:numId="55" w16cid:durableId="603148920">
    <w:abstractNumId w:val="23"/>
  </w:num>
  <w:num w:numId="56" w16cid:durableId="1067920727">
    <w:abstractNumId w:val="36"/>
  </w:num>
  <w:num w:numId="57" w16cid:durableId="1059742000">
    <w:abstractNumId w:val="73"/>
  </w:num>
  <w:num w:numId="58" w16cid:durableId="25763743">
    <w:abstractNumId w:val="94"/>
  </w:num>
  <w:num w:numId="59" w16cid:durableId="1201472162">
    <w:abstractNumId w:val="53"/>
  </w:num>
  <w:num w:numId="60" w16cid:durableId="1656834970">
    <w:abstractNumId w:val="13"/>
  </w:num>
  <w:num w:numId="61" w16cid:durableId="1232079611">
    <w:abstractNumId w:val="101"/>
  </w:num>
  <w:num w:numId="62" w16cid:durableId="696077471">
    <w:abstractNumId w:val="61"/>
  </w:num>
  <w:num w:numId="63" w16cid:durableId="1742169056">
    <w:abstractNumId w:val="99"/>
  </w:num>
  <w:num w:numId="64" w16cid:durableId="1433669251">
    <w:abstractNumId w:val="104"/>
  </w:num>
  <w:num w:numId="65" w16cid:durableId="1711997418">
    <w:abstractNumId w:val="41"/>
  </w:num>
  <w:num w:numId="66" w16cid:durableId="240911471">
    <w:abstractNumId w:val="76"/>
  </w:num>
  <w:num w:numId="67" w16cid:durableId="825128350">
    <w:abstractNumId w:val="47"/>
  </w:num>
  <w:num w:numId="68" w16cid:durableId="24720184">
    <w:abstractNumId w:val="100"/>
  </w:num>
  <w:num w:numId="69" w16cid:durableId="511915022">
    <w:abstractNumId w:val="32"/>
  </w:num>
  <w:num w:numId="70" w16cid:durableId="858154494">
    <w:abstractNumId w:val="114"/>
  </w:num>
  <w:num w:numId="71" w16cid:durableId="351734844">
    <w:abstractNumId w:val="85"/>
  </w:num>
  <w:num w:numId="72" w16cid:durableId="1641570173">
    <w:abstractNumId w:val="25"/>
  </w:num>
  <w:num w:numId="73" w16cid:durableId="77022548">
    <w:abstractNumId w:val="48"/>
  </w:num>
  <w:num w:numId="74" w16cid:durableId="1879196005">
    <w:abstractNumId w:val="120"/>
  </w:num>
  <w:num w:numId="75" w16cid:durableId="170949606">
    <w:abstractNumId w:val="109"/>
  </w:num>
  <w:num w:numId="76" w16cid:durableId="1474060267">
    <w:abstractNumId w:val="119"/>
  </w:num>
  <w:num w:numId="77" w16cid:durableId="1917665167">
    <w:abstractNumId w:val="6"/>
  </w:num>
  <w:num w:numId="78" w16cid:durableId="1435203994">
    <w:abstractNumId w:val="33"/>
  </w:num>
  <w:num w:numId="79" w16cid:durableId="470951543">
    <w:abstractNumId w:val="84"/>
  </w:num>
  <w:num w:numId="80" w16cid:durableId="2134058257">
    <w:abstractNumId w:val="57"/>
  </w:num>
  <w:num w:numId="81" w16cid:durableId="2033145196">
    <w:abstractNumId w:val="78"/>
  </w:num>
  <w:num w:numId="82" w16cid:durableId="793989820">
    <w:abstractNumId w:val="45"/>
  </w:num>
  <w:num w:numId="83" w16cid:durableId="1487090368">
    <w:abstractNumId w:val="43"/>
  </w:num>
  <w:num w:numId="84" w16cid:durableId="1616794591">
    <w:abstractNumId w:val="79"/>
  </w:num>
  <w:num w:numId="85" w16cid:durableId="1432820285">
    <w:abstractNumId w:val="56"/>
  </w:num>
  <w:num w:numId="86" w16cid:durableId="603730883">
    <w:abstractNumId w:val="113"/>
  </w:num>
  <w:num w:numId="87" w16cid:durableId="1083525297">
    <w:abstractNumId w:val="115"/>
  </w:num>
  <w:num w:numId="88" w16cid:durableId="748816022">
    <w:abstractNumId w:val="103"/>
  </w:num>
  <w:num w:numId="89" w16cid:durableId="857159950">
    <w:abstractNumId w:val="27"/>
  </w:num>
  <w:num w:numId="90" w16cid:durableId="733823004">
    <w:abstractNumId w:val="60"/>
  </w:num>
  <w:num w:numId="91" w16cid:durableId="1373114253">
    <w:abstractNumId w:val="69"/>
  </w:num>
  <w:num w:numId="92" w16cid:durableId="1530333892">
    <w:abstractNumId w:val="39"/>
  </w:num>
  <w:num w:numId="93" w16cid:durableId="1987736207">
    <w:abstractNumId w:val="82"/>
  </w:num>
  <w:num w:numId="94" w16cid:durableId="56780175">
    <w:abstractNumId w:val="90"/>
  </w:num>
  <w:num w:numId="95" w16cid:durableId="1837989088">
    <w:abstractNumId w:val="112"/>
  </w:num>
  <w:num w:numId="96" w16cid:durableId="482702854">
    <w:abstractNumId w:val="5"/>
  </w:num>
  <w:num w:numId="97" w16cid:durableId="1570313155">
    <w:abstractNumId w:val="98"/>
  </w:num>
  <w:num w:numId="98" w16cid:durableId="1404640963">
    <w:abstractNumId w:val="95"/>
  </w:num>
  <w:num w:numId="99" w16cid:durableId="1274052543">
    <w:abstractNumId w:val="21"/>
  </w:num>
  <w:num w:numId="100" w16cid:durableId="1767991653">
    <w:abstractNumId w:val="7"/>
  </w:num>
  <w:num w:numId="101" w16cid:durableId="244462131">
    <w:abstractNumId w:val="118"/>
  </w:num>
  <w:num w:numId="102" w16cid:durableId="227229864">
    <w:abstractNumId w:val="50"/>
  </w:num>
  <w:num w:numId="103" w16cid:durableId="1992832758">
    <w:abstractNumId w:val="29"/>
  </w:num>
  <w:num w:numId="104" w16cid:durableId="205681209">
    <w:abstractNumId w:val="70"/>
  </w:num>
  <w:num w:numId="105" w16cid:durableId="2133673300">
    <w:abstractNumId w:val="111"/>
  </w:num>
  <w:num w:numId="106" w16cid:durableId="1135833212">
    <w:abstractNumId w:val="34"/>
  </w:num>
  <w:num w:numId="107" w16cid:durableId="1999839272">
    <w:abstractNumId w:val="88"/>
  </w:num>
  <w:num w:numId="108" w16cid:durableId="282729814">
    <w:abstractNumId w:val="14"/>
  </w:num>
  <w:num w:numId="109" w16cid:durableId="1460687678">
    <w:abstractNumId w:val="67"/>
  </w:num>
  <w:num w:numId="110" w16cid:durableId="484588434">
    <w:abstractNumId w:val="8"/>
  </w:num>
  <w:num w:numId="111" w16cid:durableId="2117171913">
    <w:abstractNumId w:val="81"/>
  </w:num>
  <w:num w:numId="112" w16cid:durableId="168909152">
    <w:abstractNumId w:val="9"/>
  </w:num>
  <w:num w:numId="113" w16cid:durableId="1720006833">
    <w:abstractNumId w:val="20"/>
  </w:num>
  <w:num w:numId="114" w16cid:durableId="2063404348">
    <w:abstractNumId w:val="92"/>
  </w:num>
  <w:num w:numId="115" w16cid:durableId="2110857553">
    <w:abstractNumId w:val="77"/>
  </w:num>
  <w:num w:numId="116" w16cid:durableId="1920214362">
    <w:abstractNumId w:val="16"/>
  </w:num>
  <w:num w:numId="117" w16cid:durableId="1938636391">
    <w:abstractNumId w:val="58"/>
  </w:num>
  <w:num w:numId="118" w16cid:durableId="329141473">
    <w:abstractNumId w:val="22"/>
  </w:num>
  <w:num w:numId="119" w16cid:durableId="1814642390">
    <w:abstractNumId w:val="80"/>
  </w:num>
  <w:num w:numId="120" w16cid:durableId="1539707389">
    <w:abstractNumId w:val="55"/>
  </w:num>
  <w:num w:numId="121" w16cid:durableId="1915890294">
    <w:abstractNumId w:val="30"/>
  </w:num>
  <w:num w:numId="122" w16cid:durableId="286282376">
    <w:abstractNumId w:val="107"/>
  </w:num>
  <w:num w:numId="123" w16cid:durableId="2086947091">
    <w:abstractNumId w:val="37"/>
  </w:num>
  <w:num w:numId="124" w16cid:durableId="170027008">
    <w:abstractNumId w:val="35"/>
  </w:num>
  <w:num w:numId="125" w16cid:durableId="1602300755">
    <w:abstractNumId w:val="66"/>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641"/>
    <w:rsid w:val="00000048"/>
    <w:rsid w:val="0000008E"/>
    <w:rsid w:val="00000552"/>
    <w:rsid w:val="000006B7"/>
    <w:rsid w:val="00000704"/>
    <w:rsid w:val="00000889"/>
    <w:rsid w:val="00000AF5"/>
    <w:rsid w:val="00000CA9"/>
    <w:rsid w:val="00000E10"/>
    <w:rsid w:val="00000EA6"/>
    <w:rsid w:val="00000EA9"/>
    <w:rsid w:val="0000107D"/>
    <w:rsid w:val="0000148E"/>
    <w:rsid w:val="000014E1"/>
    <w:rsid w:val="000017D2"/>
    <w:rsid w:val="000019CA"/>
    <w:rsid w:val="00001E19"/>
    <w:rsid w:val="00002059"/>
    <w:rsid w:val="0000209E"/>
    <w:rsid w:val="000020A2"/>
    <w:rsid w:val="000021AA"/>
    <w:rsid w:val="000021E0"/>
    <w:rsid w:val="00002299"/>
    <w:rsid w:val="00002A16"/>
    <w:rsid w:val="00002A51"/>
    <w:rsid w:val="00002AE5"/>
    <w:rsid w:val="00002B18"/>
    <w:rsid w:val="00002B7A"/>
    <w:rsid w:val="00002BE7"/>
    <w:rsid w:val="00002C20"/>
    <w:rsid w:val="00002E83"/>
    <w:rsid w:val="00002F4F"/>
    <w:rsid w:val="00002F99"/>
    <w:rsid w:val="0000310D"/>
    <w:rsid w:val="00003265"/>
    <w:rsid w:val="00003377"/>
    <w:rsid w:val="0000341E"/>
    <w:rsid w:val="000035AA"/>
    <w:rsid w:val="000038BB"/>
    <w:rsid w:val="000038E2"/>
    <w:rsid w:val="00003A2E"/>
    <w:rsid w:val="00003C45"/>
    <w:rsid w:val="00003C49"/>
    <w:rsid w:val="00003DEC"/>
    <w:rsid w:val="00003F3F"/>
    <w:rsid w:val="00004040"/>
    <w:rsid w:val="000040FC"/>
    <w:rsid w:val="000041B0"/>
    <w:rsid w:val="0000455F"/>
    <w:rsid w:val="000045EE"/>
    <w:rsid w:val="000046F4"/>
    <w:rsid w:val="0000476B"/>
    <w:rsid w:val="000048E4"/>
    <w:rsid w:val="000049F8"/>
    <w:rsid w:val="00004B5A"/>
    <w:rsid w:val="00004D50"/>
    <w:rsid w:val="00004EDF"/>
    <w:rsid w:val="00004F63"/>
    <w:rsid w:val="000051B7"/>
    <w:rsid w:val="0000530F"/>
    <w:rsid w:val="000055F2"/>
    <w:rsid w:val="00005955"/>
    <w:rsid w:val="00005A39"/>
    <w:rsid w:val="00005C18"/>
    <w:rsid w:val="0000614C"/>
    <w:rsid w:val="00006161"/>
    <w:rsid w:val="00006280"/>
    <w:rsid w:val="000062DD"/>
    <w:rsid w:val="00006387"/>
    <w:rsid w:val="000063D4"/>
    <w:rsid w:val="0000645E"/>
    <w:rsid w:val="00006695"/>
    <w:rsid w:val="00006870"/>
    <w:rsid w:val="00006886"/>
    <w:rsid w:val="0000691E"/>
    <w:rsid w:val="00006A2E"/>
    <w:rsid w:val="00006E3E"/>
    <w:rsid w:val="00006F56"/>
    <w:rsid w:val="000071E6"/>
    <w:rsid w:val="000071F6"/>
    <w:rsid w:val="000073AF"/>
    <w:rsid w:val="00007471"/>
    <w:rsid w:val="00007515"/>
    <w:rsid w:val="00007867"/>
    <w:rsid w:val="00007880"/>
    <w:rsid w:val="00007985"/>
    <w:rsid w:val="000079AC"/>
    <w:rsid w:val="000079F8"/>
    <w:rsid w:val="00007C55"/>
    <w:rsid w:val="00007C59"/>
    <w:rsid w:val="00007CA6"/>
    <w:rsid w:val="00007E49"/>
    <w:rsid w:val="00007E56"/>
    <w:rsid w:val="00007E59"/>
    <w:rsid w:val="00007FC4"/>
    <w:rsid w:val="00010061"/>
    <w:rsid w:val="000100A5"/>
    <w:rsid w:val="000100E9"/>
    <w:rsid w:val="00010137"/>
    <w:rsid w:val="000102A2"/>
    <w:rsid w:val="0001042A"/>
    <w:rsid w:val="00010430"/>
    <w:rsid w:val="0001066F"/>
    <w:rsid w:val="00010775"/>
    <w:rsid w:val="00010A3C"/>
    <w:rsid w:val="00010B47"/>
    <w:rsid w:val="00010BEF"/>
    <w:rsid w:val="00010DC5"/>
    <w:rsid w:val="00011061"/>
    <w:rsid w:val="000110D1"/>
    <w:rsid w:val="00011254"/>
    <w:rsid w:val="000112BE"/>
    <w:rsid w:val="000112F2"/>
    <w:rsid w:val="000112F5"/>
    <w:rsid w:val="0001145C"/>
    <w:rsid w:val="00011464"/>
    <w:rsid w:val="00011758"/>
    <w:rsid w:val="00011777"/>
    <w:rsid w:val="0001179B"/>
    <w:rsid w:val="00011888"/>
    <w:rsid w:val="00011B01"/>
    <w:rsid w:val="00011DD3"/>
    <w:rsid w:val="00011E3F"/>
    <w:rsid w:val="00011F14"/>
    <w:rsid w:val="00011FF5"/>
    <w:rsid w:val="00012114"/>
    <w:rsid w:val="000122FF"/>
    <w:rsid w:val="00012314"/>
    <w:rsid w:val="0001232A"/>
    <w:rsid w:val="0001235C"/>
    <w:rsid w:val="0001297D"/>
    <w:rsid w:val="00012A98"/>
    <w:rsid w:val="00012AFA"/>
    <w:rsid w:val="00012CCA"/>
    <w:rsid w:val="00012DF0"/>
    <w:rsid w:val="00012FC3"/>
    <w:rsid w:val="00013041"/>
    <w:rsid w:val="00013089"/>
    <w:rsid w:val="000131A5"/>
    <w:rsid w:val="000131AA"/>
    <w:rsid w:val="00013B36"/>
    <w:rsid w:val="00013B64"/>
    <w:rsid w:val="00013BFA"/>
    <w:rsid w:val="00013C7F"/>
    <w:rsid w:val="00013D58"/>
    <w:rsid w:val="00013ED5"/>
    <w:rsid w:val="00014026"/>
    <w:rsid w:val="000143F8"/>
    <w:rsid w:val="00014437"/>
    <w:rsid w:val="0001457F"/>
    <w:rsid w:val="0001465A"/>
    <w:rsid w:val="00014865"/>
    <w:rsid w:val="000149AD"/>
    <w:rsid w:val="00014B73"/>
    <w:rsid w:val="00014E3E"/>
    <w:rsid w:val="00014ED9"/>
    <w:rsid w:val="00014F79"/>
    <w:rsid w:val="00014FA0"/>
    <w:rsid w:val="000150BB"/>
    <w:rsid w:val="000152EC"/>
    <w:rsid w:val="00015359"/>
    <w:rsid w:val="00015524"/>
    <w:rsid w:val="000156C0"/>
    <w:rsid w:val="000156CA"/>
    <w:rsid w:val="000156F8"/>
    <w:rsid w:val="0001577F"/>
    <w:rsid w:val="0001596B"/>
    <w:rsid w:val="0001597C"/>
    <w:rsid w:val="0001599D"/>
    <w:rsid w:val="00015AF2"/>
    <w:rsid w:val="00015D4F"/>
    <w:rsid w:val="00016432"/>
    <w:rsid w:val="00016725"/>
    <w:rsid w:val="00016757"/>
    <w:rsid w:val="000167B8"/>
    <w:rsid w:val="00016A2D"/>
    <w:rsid w:val="00016B51"/>
    <w:rsid w:val="00016C35"/>
    <w:rsid w:val="00016D3E"/>
    <w:rsid w:val="00016EA3"/>
    <w:rsid w:val="000170D2"/>
    <w:rsid w:val="0001737A"/>
    <w:rsid w:val="000176FD"/>
    <w:rsid w:val="000177A5"/>
    <w:rsid w:val="000177DD"/>
    <w:rsid w:val="0001797D"/>
    <w:rsid w:val="00017AC5"/>
    <w:rsid w:val="00017CF0"/>
    <w:rsid w:val="00020119"/>
    <w:rsid w:val="00020258"/>
    <w:rsid w:val="00020293"/>
    <w:rsid w:val="000205FF"/>
    <w:rsid w:val="0002072F"/>
    <w:rsid w:val="00021391"/>
    <w:rsid w:val="00021490"/>
    <w:rsid w:val="000214FD"/>
    <w:rsid w:val="00021581"/>
    <w:rsid w:val="00021BB8"/>
    <w:rsid w:val="00021CE3"/>
    <w:rsid w:val="000221DD"/>
    <w:rsid w:val="0002243E"/>
    <w:rsid w:val="00022525"/>
    <w:rsid w:val="0002256F"/>
    <w:rsid w:val="000229B5"/>
    <w:rsid w:val="000229D6"/>
    <w:rsid w:val="00022AC2"/>
    <w:rsid w:val="00022BA1"/>
    <w:rsid w:val="00022D6A"/>
    <w:rsid w:val="00022DDF"/>
    <w:rsid w:val="00023055"/>
    <w:rsid w:val="0002335A"/>
    <w:rsid w:val="00023370"/>
    <w:rsid w:val="00023374"/>
    <w:rsid w:val="00023591"/>
    <w:rsid w:val="00023657"/>
    <w:rsid w:val="00023945"/>
    <w:rsid w:val="000239B1"/>
    <w:rsid w:val="000239DC"/>
    <w:rsid w:val="00023A03"/>
    <w:rsid w:val="00023AA5"/>
    <w:rsid w:val="00023CC0"/>
    <w:rsid w:val="00023EAD"/>
    <w:rsid w:val="00024148"/>
    <w:rsid w:val="000244C8"/>
    <w:rsid w:val="0002476B"/>
    <w:rsid w:val="00024CEF"/>
    <w:rsid w:val="00024F27"/>
    <w:rsid w:val="0002507C"/>
    <w:rsid w:val="00025216"/>
    <w:rsid w:val="00025248"/>
    <w:rsid w:val="000254AB"/>
    <w:rsid w:val="000254F1"/>
    <w:rsid w:val="00025502"/>
    <w:rsid w:val="00025627"/>
    <w:rsid w:val="000256B7"/>
    <w:rsid w:val="00025707"/>
    <w:rsid w:val="0002574E"/>
    <w:rsid w:val="00025A13"/>
    <w:rsid w:val="00025B96"/>
    <w:rsid w:val="00025CCB"/>
    <w:rsid w:val="00025FCB"/>
    <w:rsid w:val="000260C2"/>
    <w:rsid w:val="000264A8"/>
    <w:rsid w:val="000266BD"/>
    <w:rsid w:val="00026739"/>
    <w:rsid w:val="00026D1C"/>
    <w:rsid w:val="00026F8B"/>
    <w:rsid w:val="00027091"/>
    <w:rsid w:val="000271C8"/>
    <w:rsid w:val="00027528"/>
    <w:rsid w:val="0002786C"/>
    <w:rsid w:val="00027C69"/>
    <w:rsid w:val="00027C7D"/>
    <w:rsid w:val="00027CEE"/>
    <w:rsid w:val="00027DC2"/>
    <w:rsid w:val="00027DC9"/>
    <w:rsid w:val="00027E05"/>
    <w:rsid w:val="00027FB6"/>
    <w:rsid w:val="00027FDA"/>
    <w:rsid w:val="000301E1"/>
    <w:rsid w:val="0003023A"/>
    <w:rsid w:val="0003034C"/>
    <w:rsid w:val="0003070D"/>
    <w:rsid w:val="0003072D"/>
    <w:rsid w:val="0003081E"/>
    <w:rsid w:val="0003088E"/>
    <w:rsid w:val="00030AE4"/>
    <w:rsid w:val="00030BCA"/>
    <w:rsid w:val="00030CAB"/>
    <w:rsid w:val="00030D1A"/>
    <w:rsid w:val="00030DC8"/>
    <w:rsid w:val="00030ECE"/>
    <w:rsid w:val="0003124B"/>
    <w:rsid w:val="000312A8"/>
    <w:rsid w:val="000313BC"/>
    <w:rsid w:val="000314D1"/>
    <w:rsid w:val="00031720"/>
    <w:rsid w:val="000319C9"/>
    <w:rsid w:val="000319DE"/>
    <w:rsid w:val="00031A48"/>
    <w:rsid w:val="00031C2E"/>
    <w:rsid w:val="00031CB6"/>
    <w:rsid w:val="00031F78"/>
    <w:rsid w:val="0003211C"/>
    <w:rsid w:val="00032339"/>
    <w:rsid w:val="00032448"/>
    <w:rsid w:val="00032792"/>
    <w:rsid w:val="000327AD"/>
    <w:rsid w:val="000328B4"/>
    <w:rsid w:val="00032C55"/>
    <w:rsid w:val="00032DB6"/>
    <w:rsid w:val="00032EAA"/>
    <w:rsid w:val="000330A1"/>
    <w:rsid w:val="000333B9"/>
    <w:rsid w:val="000337BE"/>
    <w:rsid w:val="00033847"/>
    <w:rsid w:val="00033B55"/>
    <w:rsid w:val="00033C35"/>
    <w:rsid w:val="00033FCE"/>
    <w:rsid w:val="00034190"/>
    <w:rsid w:val="00034235"/>
    <w:rsid w:val="00034636"/>
    <w:rsid w:val="00034A58"/>
    <w:rsid w:val="00034B63"/>
    <w:rsid w:val="00034E36"/>
    <w:rsid w:val="00034F0A"/>
    <w:rsid w:val="00035094"/>
    <w:rsid w:val="00035097"/>
    <w:rsid w:val="0003522B"/>
    <w:rsid w:val="00035284"/>
    <w:rsid w:val="00035299"/>
    <w:rsid w:val="00035330"/>
    <w:rsid w:val="0003536C"/>
    <w:rsid w:val="00035386"/>
    <w:rsid w:val="00035577"/>
    <w:rsid w:val="000355B7"/>
    <w:rsid w:val="00035959"/>
    <w:rsid w:val="000359FF"/>
    <w:rsid w:val="00035B15"/>
    <w:rsid w:val="00035B24"/>
    <w:rsid w:val="00035C72"/>
    <w:rsid w:val="00035D7F"/>
    <w:rsid w:val="00035DAB"/>
    <w:rsid w:val="00035E2B"/>
    <w:rsid w:val="00035F7A"/>
    <w:rsid w:val="00036499"/>
    <w:rsid w:val="000364E8"/>
    <w:rsid w:val="000366F4"/>
    <w:rsid w:val="00036A1A"/>
    <w:rsid w:val="00036EB0"/>
    <w:rsid w:val="00036F2C"/>
    <w:rsid w:val="00036F6D"/>
    <w:rsid w:val="0003716E"/>
    <w:rsid w:val="0003722A"/>
    <w:rsid w:val="00037277"/>
    <w:rsid w:val="000372BE"/>
    <w:rsid w:val="0003738F"/>
    <w:rsid w:val="0003749E"/>
    <w:rsid w:val="000374B7"/>
    <w:rsid w:val="00037951"/>
    <w:rsid w:val="00037A28"/>
    <w:rsid w:val="00037D79"/>
    <w:rsid w:val="000403D8"/>
    <w:rsid w:val="000404F5"/>
    <w:rsid w:val="00040643"/>
    <w:rsid w:val="00040A46"/>
    <w:rsid w:val="00040AFB"/>
    <w:rsid w:val="00040F66"/>
    <w:rsid w:val="00041112"/>
    <w:rsid w:val="00041251"/>
    <w:rsid w:val="0004145C"/>
    <w:rsid w:val="000416B1"/>
    <w:rsid w:val="0004177F"/>
    <w:rsid w:val="00041996"/>
    <w:rsid w:val="00041C0B"/>
    <w:rsid w:val="00041C28"/>
    <w:rsid w:val="00041C66"/>
    <w:rsid w:val="00041C9D"/>
    <w:rsid w:val="00041D27"/>
    <w:rsid w:val="00041F06"/>
    <w:rsid w:val="00042334"/>
    <w:rsid w:val="00042353"/>
    <w:rsid w:val="0004240D"/>
    <w:rsid w:val="00042575"/>
    <w:rsid w:val="0004289E"/>
    <w:rsid w:val="00042934"/>
    <w:rsid w:val="00042A73"/>
    <w:rsid w:val="00042BDE"/>
    <w:rsid w:val="00042BF5"/>
    <w:rsid w:val="00042CBB"/>
    <w:rsid w:val="00042DC2"/>
    <w:rsid w:val="00042F28"/>
    <w:rsid w:val="000431C7"/>
    <w:rsid w:val="00043356"/>
    <w:rsid w:val="000435C0"/>
    <w:rsid w:val="00043AE3"/>
    <w:rsid w:val="00043AFF"/>
    <w:rsid w:val="00043B42"/>
    <w:rsid w:val="00043BDE"/>
    <w:rsid w:val="00043C4C"/>
    <w:rsid w:val="00043DA1"/>
    <w:rsid w:val="00043E7B"/>
    <w:rsid w:val="000440FC"/>
    <w:rsid w:val="00044137"/>
    <w:rsid w:val="000442F1"/>
    <w:rsid w:val="00044325"/>
    <w:rsid w:val="000443BF"/>
    <w:rsid w:val="00044673"/>
    <w:rsid w:val="00044BB1"/>
    <w:rsid w:val="00044EA1"/>
    <w:rsid w:val="00044EB4"/>
    <w:rsid w:val="00044F5E"/>
    <w:rsid w:val="00044FFC"/>
    <w:rsid w:val="000453AA"/>
    <w:rsid w:val="00045768"/>
    <w:rsid w:val="0004580B"/>
    <w:rsid w:val="000459D6"/>
    <w:rsid w:val="00045AF1"/>
    <w:rsid w:val="00045B3E"/>
    <w:rsid w:val="00045C08"/>
    <w:rsid w:val="00045D91"/>
    <w:rsid w:val="00045E4E"/>
    <w:rsid w:val="00045F07"/>
    <w:rsid w:val="00045F1E"/>
    <w:rsid w:val="000460D4"/>
    <w:rsid w:val="00046500"/>
    <w:rsid w:val="00046806"/>
    <w:rsid w:val="00046820"/>
    <w:rsid w:val="0004688B"/>
    <w:rsid w:val="00046AFE"/>
    <w:rsid w:val="00046DC5"/>
    <w:rsid w:val="00047020"/>
    <w:rsid w:val="00047344"/>
    <w:rsid w:val="00047387"/>
    <w:rsid w:val="000476E9"/>
    <w:rsid w:val="00047A55"/>
    <w:rsid w:val="00050160"/>
    <w:rsid w:val="0005028F"/>
    <w:rsid w:val="00050719"/>
    <w:rsid w:val="00050893"/>
    <w:rsid w:val="000509D8"/>
    <w:rsid w:val="00050A56"/>
    <w:rsid w:val="00050D13"/>
    <w:rsid w:val="00050DB5"/>
    <w:rsid w:val="000510E8"/>
    <w:rsid w:val="00051214"/>
    <w:rsid w:val="000513B8"/>
    <w:rsid w:val="000516C1"/>
    <w:rsid w:val="00051706"/>
    <w:rsid w:val="00051D43"/>
    <w:rsid w:val="00051D84"/>
    <w:rsid w:val="00051EE9"/>
    <w:rsid w:val="00052191"/>
    <w:rsid w:val="00052448"/>
    <w:rsid w:val="000527B0"/>
    <w:rsid w:val="0005281D"/>
    <w:rsid w:val="00052B76"/>
    <w:rsid w:val="00052BA5"/>
    <w:rsid w:val="00052BCC"/>
    <w:rsid w:val="00053080"/>
    <w:rsid w:val="000531BE"/>
    <w:rsid w:val="00053315"/>
    <w:rsid w:val="00053480"/>
    <w:rsid w:val="00053780"/>
    <w:rsid w:val="000538C0"/>
    <w:rsid w:val="000539AC"/>
    <w:rsid w:val="00053A3D"/>
    <w:rsid w:val="00053BBC"/>
    <w:rsid w:val="00053C33"/>
    <w:rsid w:val="00053EB0"/>
    <w:rsid w:val="00054481"/>
    <w:rsid w:val="000547C5"/>
    <w:rsid w:val="00054B2C"/>
    <w:rsid w:val="00054C01"/>
    <w:rsid w:val="00054C9D"/>
    <w:rsid w:val="00054F53"/>
    <w:rsid w:val="000553D3"/>
    <w:rsid w:val="000554CD"/>
    <w:rsid w:val="000555AB"/>
    <w:rsid w:val="000557CC"/>
    <w:rsid w:val="000557DB"/>
    <w:rsid w:val="00055809"/>
    <w:rsid w:val="0005581A"/>
    <w:rsid w:val="00055AA1"/>
    <w:rsid w:val="00055BB7"/>
    <w:rsid w:val="00055C22"/>
    <w:rsid w:val="00055C2B"/>
    <w:rsid w:val="00055FC0"/>
    <w:rsid w:val="0005605F"/>
    <w:rsid w:val="000561C2"/>
    <w:rsid w:val="00056265"/>
    <w:rsid w:val="0005659D"/>
    <w:rsid w:val="00056749"/>
    <w:rsid w:val="00056811"/>
    <w:rsid w:val="0005684C"/>
    <w:rsid w:val="000568A2"/>
    <w:rsid w:val="00056B25"/>
    <w:rsid w:val="00056B46"/>
    <w:rsid w:val="00056B5F"/>
    <w:rsid w:val="00056C23"/>
    <w:rsid w:val="00056C43"/>
    <w:rsid w:val="00056D23"/>
    <w:rsid w:val="000572E2"/>
    <w:rsid w:val="000573F6"/>
    <w:rsid w:val="0005743D"/>
    <w:rsid w:val="00057459"/>
    <w:rsid w:val="000574E1"/>
    <w:rsid w:val="000575EE"/>
    <w:rsid w:val="000576F9"/>
    <w:rsid w:val="00057701"/>
    <w:rsid w:val="00057725"/>
    <w:rsid w:val="000577F0"/>
    <w:rsid w:val="00057992"/>
    <w:rsid w:val="000579F1"/>
    <w:rsid w:val="00057B33"/>
    <w:rsid w:val="00057C04"/>
    <w:rsid w:val="00057DD8"/>
    <w:rsid w:val="00057F80"/>
    <w:rsid w:val="0006000D"/>
    <w:rsid w:val="00060696"/>
    <w:rsid w:val="000606C0"/>
    <w:rsid w:val="00060B59"/>
    <w:rsid w:val="00060C9F"/>
    <w:rsid w:val="0006107C"/>
    <w:rsid w:val="00061098"/>
    <w:rsid w:val="0006123F"/>
    <w:rsid w:val="00061268"/>
    <w:rsid w:val="00061421"/>
    <w:rsid w:val="00061475"/>
    <w:rsid w:val="00061727"/>
    <w:rsid w:val="00061865"/>
    <w:rsid w:val="00061A28"/>
    <w:rsid w:val="00061AAA"/>
    <w:rsid w:val="00061B08"/>
    <w:rsid w:val="00061C54"/>
    <w:rsid w:val="00061CFA"/>
    <w:rsid w:val="00061D28"/>
    <w:rsid w:val="00061D93"/>
    <w:rsid w:val="00061FC2"/>
    <w:rsid w:val="000626E6"/>
    <w:rsid w:val="000626EF"/>
    <w:rsid w:val="00062BEE"/>
    <w:rsid w:val="00062C29"/>
    <w:rsid w:val="00063062"/>
    <w:rsid w:val="0006311F"/>
    <w:rsid w:val="000635D6"/>
    <w:rsid w:val="00063620"/>
    <w:rsid w:val="00063941"/>
    <w:rsid w:val="00063DC7"/>
    <w:rsid w:val="00063E09"/>
    <w:rsid w:val="0006412D"/>
    <w:rsid w:val="000644C6"/>
    <w:rsid w:val="000647EA"/>
    <w:rsid w:val="000648F8"/>
    <w:rsid w:val="00064CE8"/>
    <w:rsid w:val="000650E6"/>
    <w:rsid w:val="00065117"/>
    <w:rsid w:val="000654C1"/>
    <w:rsid w:val="000656F9"/>
    <w:rsid w:val="00065792"/>
    <w:rsid w:val="000657C3"/>
    <w:rsid w:val="000657F1"/>
    <w:rsid w:val="00065839"/>
    <w:rsid w:val="00065A22"/>
    <w:rsid w:val="00065DB9"/>
    <w:rsid w:val="00065E2B"/>
    <w:rsid w:val="00065E7D"/>
    <w:rsid w:val="00065FE2"/>
    <w:rsid w:val="00066205"/>
    <w:rsid w:val="000662CD"/>
    <w:rsid w:val="0006632A"/>
    <w:rsid w:val="00066495"/>
    <w:rsid w:val="00066775"/>
    <w:rsid w:val="000668FC"/>
    <w:rsid w:val="00066925"/>
    <w:rsid w:val="00066ADD"/>
    <w:rsid w:val="00066C25"/>
    <w:rsid w:val="00066EF2"/>
    <w:rsid w:val="00067395"/>
    <w:rsid w:val="000673E3"/>
    <w:rsid w:val="00067444"/>
    <w:rsid w:val="00067755"/>
    <w:rsid w:val="00067BAD"/>
    <w:rsid w:val="0007007D"/>
    <w:rsid w:val="0007034D"/>
    <w:rsid w:val="000703D9"/>
    <w:rsid w:val="00070720"/>
    <w:rsid w:val="00070766"/>
    <w:rsid w:val="00070BDC"/>
    <w:rsid w:val="00070C9E"/>
    <w:rsid w:val="00070D7E"/>
    <w:rsid w:val="00070EFD"/>
    <w:rsid w:val="00070F54"/>
    <w:rsid w:val="00070F69"/>
    <w:rsid w:val="000710F0"/>
    <w:rsid w:val="0007153E"/>
    <w:rsid w:val="00071BC1"/>
    <w:rsid w:val="00071C20"/>
    <w:rsid w:val="00071C86"/>
    <w:rsid w:val="00071EE5"/>
    <w:rsid w:val="0007209C"/>
    <w:rsid w:val="000722E0"/>
    <w:rsid w:val="0007236F"/>
    <w:rsid w:val="0007255B"/>
    <w:rsid w:val="00072B1E"/>
    <w:rsid w:val="00072CB4"/>
    <w:rsid w:val="00072CF8"/>
    <w:rsid w:val="00072D63"/>
    <w:rsid w:val="00072DC6"/>
    <w:rsid w:val="00072EA2"/>
    <w:rsid w:val="00072F22"/>
    <w:rsid w:val="00072FF2"/>
    <w:rsid w:val="00073115"/>
    <w:rsid w:val="000732A5"/>
    <w:rsid w:val="00073659"/>
    <w:rsid w:val="000736ED"/>
    <w:rsid w:val="00073A02"/>
    <w:rsid w:val="00073BAC"/>
    <w:rsid w:val="00073D1F"/>
    <w:rsid w:val="00073EF4"/>
    <w:rsid w:val="00073F15"/>
    <w:rsid w:val="00074274"/>
    <w:rsid w:val="000744FD"/>
    <w:rsid w:val="0007476B"/>
    <w:rsid w:val="00074780"/>
    <w:rsid w:val="0007485D"/>
    <w:rsid w:val="00074B2F"/>
    <w:rsid w:val="00074C20"/>
    <w:rsid w:val="00074CDA"/>
    <w:rsid w:val="00074D61"/>
    <w:rsid w:val="00074DA0"/>
    <w:rsid w:val="00074EC4"/>
    <w:rsid w:val="00074EE9"/>
    <w:rsid w:val="00075934"/>
    <w:rsid w:val="00075965"/>
    <w:rsid w:val="000759D5"/>
    <w:rsid w:val="00075B73"/>
    <w:rsid w:val="00075F09"/>
    <w:rsid w:val="00075F35"/>
    <w:rsid w:val="000760E5"/>
    <w:rsid w:val="000761A6"/>
    <w:rsid w:val="00076238"/>
    <w:rsid w:val="00076434"/>
    <w:rsid w:val="00076539"/>
    <w:rsid w:val="000766FA"/>
    <w:rsid w:val="00076794"/>
    <w:rsid w:val="00076815"/>
    <w:rsid w:val="00077090"/>
    <w:rsid w:val="0007721B"/>
    <w:rsid w:val="0007729D"/>
    <w:rsid w:val="00077322"/>
    <w:rsid w:val="00077648"/>
    <w:rsid w:val="000779F7"/>
    <w:rsid w:val="00077B56"/>
    <w:rsid w:val="00080256"/>
    <w:rsid w:val="00080301"/>
    <w:rsid w:val="00080475"/>
    <w:rsid w:val="000804EF"/>
    <w:rsid w:val="0008050A"/>
    <w:rsid w:val="00080649"/>
    <w:rsid w:val="00080939"/>
    <w:rsid w:val="000809AE"/>
    <w:rsid w:val="00080A94"/>
    <w:rsid w:val="00080CAD"/>
    <w:rsid w:val="00080DAD"/>
    <w:rsid w:val="00080F9C"/>
    <w:rsid w:val="0008106B"/>
    <w:rsid w:val="000810BC"/>
    <w:rsid w:val="00081669"/>
    <w:rsid w:val="000816DC"/>
    <w:rsid w:val="00081B33"/>
    <w:rsid w:val="00081C0C"/>
    <w:rsid w:val="00081D53"/>
    <w:rsid w:val="00081E29"/>
    <w:rsid w:val="00081F16"/>
    <w:rsid w:val="00081F7C"/>
    <w:rsid w:val="00081FC0"/>
    <w:rsid w:val="000820EB"/>
    <w:rsid w:val="00082239"/>
    <w:rsid w:val="0008225B"/>
    <w:rsid w:val="000822AD"/>
    <w:rsid w:val="00082313"/>
    <w:rsid w:val="00082379"/>
    <w:rsid w:val="0008257D"/>
    <w:rsid w:val="00082778"/>
    <w:rsid w:val="00082B2A"/>
    <w:rsid w:val="00082BF9"/>
    <w:rsid w:val="00082CAF"/>
    <w:rsid w:val="00082D04"/>
    <w:rsid w:val="00083235"/>
    <w:rsid w:val="0008330F"/>
    <w:rsid w:val="00083573"/>
    <w:rsid w:val="000837A6"/>
    <w:rsid w:val="0008380E"/>
    <w:rsid w:val="00083811"/>
    <w:rsid w:val="00083BE3"/>
    <w:rsid w:val="00083E92"/>
    <w:rsid w:val="00083F22"/>
    <w:rsid w:val="00083F9E"/>
    <w:rsid w:val="00084089"/>
    <w:rsid w:val="000843B3"/>
    <w:rsid w:val="000845D1"/>
    <w:rsid w:val="000847EB"/>
    <w:rsid w:val="00084811"/>
    <w:rsid w:val="00084959"/>
    <w:rsid w:val="00084C45"/>
    <w:rsid w:val="00084EBF"/>
    <w:rsid w:val="00084EC3"/>
    <w:rsid w:val="00084F4B"/>
    <w:rsid w:val="000850FF"/>
    <w:rsid w:val="00085549"/>
    <w:rsid w:val="000855BC"/>
    <w:rsid w:val="0008564C"/>
    <w:rsid w:val="0008572B"/>
    <w:rsid w:val="00085BB3"/>
    <w:rsid w:val="00085BF2"/>
    <w:rsid w:val="00085DA4"/>
    <w:rsid w:val="00086080"/>
    <w:rsid w:val="00086425"/>
    <w:rsid w:val="00086512"/>
    <w:rsid w:val="00086598"/>
    <w:rsid w:val="000867C9"/>
    <w:rsid w:val="000867FA"/>
    <w:rsid w:val="00086816"/>
    <w:rsid w:val="000869AC"/>
    <w:rsid w:val="000869E7"/>
    <w:rsid w:val="00086BAE"/>
    <w:rsid w:val="00086CF5"/>
    <w:rsid w:val="00086E49"/>
    <w:rsid w:val="0008718A"/>
    <w:rsid w:val="000873C9"/>
    <w:rsid w:val="000873FB"/>
    <w:rsid w:val="0008785E"/>
    <w:rsid w:val="00087AF4"/>
    <w:rsid w:val="00087CBD"/>
    <w:rsid w:val="00087D33"/>
    <w:rsid w:val="00087ECB"/>
    <w:rsid w:val="00087ECE"/>
    <w:rsid w:val="00087F91"/>
    <w:rsid w:val="0009008D"/>
    <w:rsid w:val="00090139"/>
    <w:rsid w:val="000901FE"/>
    <w:rsid w:val="00090520"/>
    <w:rsid w:val="0009069D"/>
    <w:rsid w:val="000907C3"/>
    <w:rsid w:val="00090A27"/>
    <w:rsid w:val="00090AA8"/>
    <w:rsid w:val="00090CDC"/>
    <w:rsid w:val="00090DCB"/>
    <w:rsid w:val="00090E0D"/>
    <w:rsid w:val="00090F03"/>
    <w:rsid w:val="000910EF"/>
    <w:rsid w:val="00091188"/>
    <w:rsid w:val="00091229"/>
    <w:rsid w:val="00091295"/>
    <w:rsid w:val="000912E2"/>
    <w:rsid w:val="000913EA"/>
    <w:rsid w:val="000915C2"/>
    <w:rsid w:val="0009181E"/>
    <w:rsid w:val="00091862"/>
    <w:rsid w:val="00091D2F"/>
    <w:rsid w:val="00091D4B"/>
    <w:rsid w:val="00091F11"/>
    <w:rsid w:val="00091F1F"/>
    <w:rsid w:val="0009202F"/>
    <w:rsid w:val="00092157"/>
    <w:rsid w:val="000922A2"/>
    <w:rsid w:val="0009261E"/>
    <w:rsid w:val="00092A86"/>
    <w:rsid w:val="000930DB"/>
    <w:rsid w:val="000930FD"/>
    <w:rsid w:val="000933DD"/>
    <w:rsid w:val="000933F6"/>
    <w:rsid w:val="0009399B"/>
    <w:rsid w:val="00093A2E"/>
    <w:rsid w:val="00093BB1"/>
    <w:rsid w:val="00093BDC"/>
    <w:rsid w:val="00093CB5"/>
    <w:rsid w:val="00093DF0"/>
    <w:rsid w:val="00093E30"/>
    <w:rsid w:val="00093E37"/>
    <w:rsid w:val="00093E9B"/>
    <w:rsid w:val="00093F47"/>
    <w:rsid w:val="0009400C"/>
    <w:rsid w:val="000942F0"/>
    <w:rsid w:val="000945DC"/>
    <w:rsid w:val="0009498E"/>
    <w:rsid w:val="000949B2"/>
    <w:rsid w:val="00094A6E"/>
    <w:rsid w:val="00094A82"/>
    <w:rsid w:val="0009508C"/>
    <w:rsid w:val="00095250"/>
    <w:rsid w:val="00095407"/>
    <w:rsid w:val="00095488"/>
    <w:rsid w:val="00095635"/>
    <w:rsid w:val="0009569F"/>
    <w:rsid w:val="000956A3"/>
    <w:rsid w:val="00095BAC"/>
    <w:rsid w:val="00095F75"/>
    <w:rsid w:val="00096235"/>
    <w:rsid w:val="000962B8"/>
    <w:rsid w:val="00096755"/>
    <w:rsid w:val="00096A14"/>
    <w:rsid w:val="00096D22"/>
    <w:rsid w:val="00096FEB"/>
    <w:rsid w:val="0009721F"/>
    <w:rsid w:val="00097225"/>
    <w:rsid w:val="00097466"/>
    <w:rsid w:val="000975A8"/>
    <w:rsid w:val="00097935"/>
    <w:rsid w:val="00097B65"/>
    <w:rsid w:val="00097C25"/>
    <w:rsid w:val="00097DF1"/>
    <w:rsid w:val="00097F0A"/>
    <w:rsid w:val="000A01A8"/>
    <w:rsid w:val="000A02C8"/>
    <w:rsid w:val="000A0323"/>
    <w:rsid w:val="000A0490"/>
    <w:rsid w:val="000A05FA"/>
    <w:rsid w:val="000A08A4"/>
    <w:rsid w:val="000A0967"/>
    <w:rsid w:val="000A0C06"/>
    <w:rsid w:val="000A0C68"/>
    <w:rsid w:val="000A0E06"/>
    <w:rsid w:val="000A0ECD"/>
    <w:rsid w:val="000A1335"/>
    <w:rsid w:val="000A136F"/>
    <w:rsid w:val="000A1536"/>
    <w:rsid w:val="000A167A"/>
    <w:rsid w:val="000A1A7E"/>
    <w:rsid w:val="000A1B18"/>
    <w:rsid w:val="000A1E62"/>
    <w:rsid w:val="000A1F39"/>
    <w:rsid w:val="000A1FF8"/>
    <w:rsid w:val="000A216B"/>
    <w:rsid w:val="000A21D1"/>
    <w:rsid w:val="000A25E8"/>
    <w:rsid w:val="000A25F3"/>
    <w:rsid w:val="000A2746"/>
    <w:rsid w:val="000A2767"/>
    <w:rsid w:val="000A2A26"/>
    <w:rsid w:val="000A2A41"/>
    <w:rsid w:val="000A2E85"/>
    <w:rsid w:val="000A2EAE"/>
    <w:rsid w:val="000A2F2F"/>
    <w:rsid w:val="000A3058"/>
    <w:rsid w:val="000A31D1"/>
    <w:rsid w:val="000A3215"/>
    <w:rsid w:val="000A32FB"/>
    <w:rsid w:val="000A365A"/>
    <w:rsid w:val="000A36E2"/>
    <w:rsid w:val="000A3830"/>
    <w:rsid w:val="000A38EE"/>
    <w:rsid w:val="000A3A36"/>
    <w:rsid w:val="000A3AC2"/>
    <w:rsid w:val="000A3B95"/>
    <w:rsid w:val="000A3C67"/>
    <w:rsid w:val="000A3DA6"/>
    <w:rsid w:val="000A3E27"/>
    <w:rsid w:val="000A3F92"/>
    <w:rsid w:val="000A408E"/>
    <w:rsid w:val="000A4384"/>
    <w:rsid w:val="000A4416"/>
    <w:rsid w:val="000A4528"/>
    <w:rsid w:val="000A4747"/>
    <w:rsid w:val="000A4993"/>
    <w:rsid w:val="000A4ABB"/>
    <w:rsid w:val="000A4E5A"/>
    <w:rsid w:val="000A4F75"/>
    <w:rsid w:val="000A54DE"/>
    <w:rsid w:val="000A5516"/>
    <w:rsid w:val="000A588B"/>
    <w:rsid w:val="000A59FA"/>
    <w:rsid w:val="000A59FD"/>
    <w:rsid w:val="000A5CE9"/>
    <w:rsid w:val="000A5EBE"/>
    <w:rsid w:val="000A60D6"/>
    <w:rsid w:val="000A6304"/>
    <w:rsid w:val="000A64F5"/>
    <w:rsid w:val="000A669F"/>
    <w:rsid w:val="000A6767"/>
    <w:rsid w:val="000A67A1"/>
    <w:rsid w:val="000A6880"/>
    <w:rsid w:val="000A6BAE"/>
    <w:rsid w:val="000A6F42"/>
    <w:rsid w:val="000A6F76"/>
    <w:rsid w:val="000A7212"/>
    <w:rsid w:val="000A72C4"/>
    <w:rsid w:val="000A7315"/>
    <w:rsid w:val="000A76C2"/>
    <w:rsid w:val="000A78E1"/>
    <w:rsid w:val="000A7937"/>
    <w:rsid w:val="000A7BCF"/>
    <w:rsid w:val="000A7BD1"/>
    <w:rsid w:val="000B01ED"/>
    <w:rsid w:val="000B071F"/>
    <w:rsid w:val="000B075D"/>
    <w:rsid w:val="000B0790"/>
    <w:rsid w:val="000B0831"/>
    <w:rsid w:val="000B08E8"/>
    <w:rsid w:val="000B0940"/>
    <w:rsid w:val="000B09BB"/>
    <w:rsid w:val="000B0AEB"/>
    <w:rsid w:val="000B0BBA"/>
    <w:rsid w:val="000B0BE8"/>
    <w:rsid w:val="000B0C5A"/>
    <w:rsid w:val="000B0D7B"/>
    <w:rsid w:val="000B1232"/>
    <w:rsid w:val="000B12A1"/>
    <w:rsid w:val="000B1360"/>
    <w:rsid w:val="000B1399"/>
    <w:rsid w:val="000B1CE6"/>
    <w:rsid w:val="000B1D0E"/>
    <w:rsid w:val="000B1F96"/>
    <w:rsid w:val="000B1FD4"/>
    <w:rsid w:val="000B2222"/>
    <w:rsid w:val="000B22C0"/>
    <w:rsid w:val="000B2485"/>
    <w:rsid w:val="000B24D1"/>
    <w:rsid w:val="000B25F3"/>
    <w:rsid w:val="000B27BB"/>
    <w:rsid w:val="000B2957"/>
    <w:rsid w:val="000B29AA"/>
    <w:rsid w:val="000B2A1F"/>
    <w:rsid w:val="000B2C26"/>
    <w:rsid w:val="000B2C38"/>
    <w:rsid w:val="000B2E54"/>
    <w:rsid w:val="000B2F32"/>
    <w:rsid w:val="000B2F34"/>
    <w:rsid w:val="000B2F99"/>
    <w:rsid w:val="000B30F4"/>
    <w:rsid w:val="000B3303"/>
    <w:rsid w:val="000B36F9"/>
    <w:rsid w:val="000B377A"/>
    <w:rsid w:val="000B3848"/>
    <w:rsid w:val="000B3E73"/>
    <w:rsid w:val="000B3EB0"/>
    <w:rsid w:val="000B41CD"/>
    <w:rsid w:val="000B43A1"/>
    <w:rsid w:val="000B4517"/>
    <w:rsid w:val="000B47EF"/>
    <w:rsid w:val="000B47FA"/>
    <w:rsid w:val="000B4ACA"/>
    <w:rsid w:val="000B4C7F"/>
    <w:rsid w:val="000B4D31"/>
    <w:rsid w:val="000B4D57"/>
    <w:rsid w:val="000B4E54"/>
    <w:rsid w:val="000B4EC7"/>
    <w:rsid w:val="000B50AA"/>
    <w:rsid w:val="000B51A4"/>
    <w:rsid w:val="000B53DC"/>
    <w:rsid w:val="000B5503"/>
    <w:rsid w:val="000B57EC"/>
    <w:rsid w:val="000B59DE"/>
    <w:rsid w:val="000B5ADB"/>
    <w:rsid w:val="000B5DF3"/>
    <w:rsid w:val="000B5E68"/>
    <w:rsid w:val="000B60F8"/>
    <w:rsid w:val="000B62DD"/>
    <w:rsid w:val="000B6343"/>
    <w:rsid w:val="000B64B2"/>
    <w:rsid w:val="000B68C7"/>
    <w:rsid w:val="000B68D3"/>
    <w:rsid w:val="000B693F"/>
    <w:rsid w:val="000B6CB4"/>
    <w:rsid w:val="000B6FB8"/>
    <w:rsid w:val="000B6FEE"/>
    <w:rsid w:val="000B7000"/>
    <w:rsid w:val="000B71A4"/>
    <w:rsid w:val="000B71AB"/>
    <w:rsid w:val="000B7213"/>
    <w:rsid w:val="000B7614"/>
    <w:rsid w:val="000B789A"/>
    <w:rsid w:val="000B7C1A"/>
    <w:rsid w:val="000B7C8B"/>
    <w:rsid w:val="000B7E1E"/>
    <w:rsid w:val="000B7EEF"/>
    <w:rsid w:val="000C005A"/>
    <w:rsid w:val="000C02E3"/>
    <w:rsid w:val="000C02F1"/>
    <w:rsid w:val="000C055A"/>
    <w:rsid w:val="000C06BB"/>
    <w:rsid w:val="000C09D4"/>
    <w:rsid w:val="000C0B2F"/>
    <w:rsid w:val="000C0E61"/>
    <w:rsid w:val="000C0E64"/>
    <w:rsid w:val="000C1174"/>
    <w:rsid w:val="000C19B2"/>
    <w:rsid w:val="000C1B5F"/>
    <w:rsid w:val="000C1D97"/>
    <w:rsid w:val="000C1EDF"/>
    <w:rsid w:val="000C1FF0"/>
    <w:rsid w:val="000C21C3"/>
    <w:rsid w:val="000C21F9"/>
    <w:rsid w:val="000C23B9"/>
    <w:rsid w:val="000C2567"/>
    <w:rsid w:val="000C26D4"/>
    <w:rsid w:val="000C270A"/>
    <w:rsid w:val="000C270B"/>
    <w:rsid w:val="000C2A06"/>
    <w:rsid w:val="000C2AE6"/>
    <w:rsid w:val="000C2F6D"/>
    <w:rsid w:val="000C323F"/>
    <w:rsid w:val="000C326B"/>
    <w:rsid w:val="000C327B"/>
    <w:rsid w:val="000C3450"/>
    <w:rsid w:val="000C3638"/>
    <w:rsid w:val="000C36EF"/>
    <w:rsid w:val="000C3A1F"/>
    <w:rsid w:val="000C3AEC"/>
    <w:rsid w:val="000C3ECE"/>
    <w:rsid w:val="000C455A"/>
    <w:rsid w:val="000C482B"/>
    <w:rsid w:val="000C484F"/>
    <w:rsid w:val="000C4851"/>
    <w:rsid w:val="000C488A"/>
    <w:rsid w:val="000C49DD"/>
    <w:rsid w:val="000C4D06"/>
    <w:rsid w:val="000C4D83"/>
    <w:rsid w:val="000C4EE7"/>
    <w:rsid w:val="000C4F6D"/>
    <w:rsid w:val="000C52A0"/>
    <w:rsid w:val="000C53AA"/>
    <w:rsid w:val="000C549E"/>
    <w:rsid w:val="000C54B7"/>
    <w:rsid w:val="000C5516"/>
    <w:rsid w:val="000C56F2"/>
    <w:rsid w:val="000C5A18"/>
    <w:rsid w:val="000C5A9B"/>
    <w:rsid w:val="000C5AFC"/>
    <w:rsid w:val="000C5B0B"/>
    <w:rsid w:val="000C5B15"/>
    <w:rsid w:val="000C5C2F"/>
    <w:rsid w:val="000C5EFD"/>
    <w:rsid w:val="000C60E9"/>
    <w:rsid w:val="000C6229"/>
    <w:rsid w:val="000C64C2"/>
    <w:rsid w:val="000C64C5"/>
    <w:rsid w:val="000C651F"/>
    <w:rsid w:val="000C67FF"/>
    <w:rsid w:val="000C688A"/>
    <w:rsid w:val="000C6B14"/>
    <w:rsid w:val="000C6BD9"/>
    <w:rsid w:val="000C6D20"/>
    <w:rsid w:val="000C6DB7"/>
    <w:rsid w:val="000C6EEB"/>
    <w:rsid w:val="000C706F"/>
    <w:rsid w:val="000C73C2"/>
    <w:rsid w:val="000C7658"/>
    <w:rsid w:val="000C78BB"/>
    <w:rsid w:val="000C7902"/>
    <w:rsid w:val="000C7DB8"/>
    <w:rsid w:val="000D0280"/>
    <w:rsid w:val="000D0561"/>
    <w:rsid w:val="000D0858"/>
    <w:rsid w:val="000D088A"/>
    <w:rsid w:val="000D0B7F"/>
    <w:rsid w:val="000D0C87"/>
    <w:rsid w:val="000D0E48"/>
    <w:rsid w:val="000D0FCD"/>
    <w:rsid w:val="000D113F"/>
    <w:rsid w:val="000D1171"/>
    <w:rsid w:val="000D11FD"/>
    <w:rsid w:val="000D154A"/>
    <w:rsid w:val="000D15CE"/>
    <w:rsid w:val="000D1656"/>
    <w:rsid w:val="000D1689"/>
    <w:rsid w:val="000D1837"/>
    <w:rsid w:val="000D1957"/>
    <w:rsid w:val="000D1B08"/>
    <w:rsid w:val="000D1D5C"/>
    <w:rsid w:val="000D23D3"/>
    <w:rsid w:val="000D2640"/>
    <w:rsid w:val="000D28C8"/>
    <w:rsid w:val="000D2C79"/>
    <w:rsid w:val="000D2D9D"/>
    <w:rsid w:val="000D3092"/>
    <w:rsid w:val="000D30E3"/>
    <w:rsid w:val="000D32D3"/>
    <w:rsid w:val="000D3308"/>
    <w:rsid w:val="000D3545"/>
    <w:rsid w:val="000D383E"/>
    <w:rsid w:val="000D3E72"/>
    <w:rsid w:val="000D3F2A"/>
    <w:rsid w:val="000D3F82"/>
    <w:rsid w:val="000D427D"/>
    <w:rsid w:val="000D4308"/>
    <w:rsid w:val="000D4405"/>
    <w:rsid w:val="000D449B"/>
    <w:rsid w:val="000D45E1"/>
    <w:rsid w:val="000D4714"/>
    <w:rsid w:val="000D4838"/>
    <w:rsid w:val="000D4965"/>
    <w:rsid w:val="000D49EF"/>
    <w:rsid w:val="000D4A72"/>
    <w:rsid w:val="000D4B7E"/>
    <w:rsid w:val="000D4DB6"/>
    <w:rsid w:val="000D5106"/>
    <w:rsid w:val="000D5152"/>
    <w:rsid w:val="000D5184"/>
    <w:rsid w:val="000D5260"/>
    <w:rsid w:val="000D541B"/>
    <w:rsid w:val="000D54BE"/>
    <w:rsid w:val="000D5780"/>
    <w:rsid w:val="000D578B"/>
    <w:rsid w:val="000D5851"/>
    <w:rsid w:val="000D5A59"/>
    <w:rsid w:val="000D5B7B"/>
    <w:rsid w:val="000D5B9A"/>
    <w:rsid w:val="000D5E44"/>
    <w:rsid w:val="000D6087"/>
    <w:rsid w:val="000D60A7"/>
    <w:rsid w:val="000D6494"/>
    <w:rsid w:val="000D66B6"/>
    <w:rsid w:val="000D6715"/>
    <w:rsid w:val="000D6736"/>
    <w:rsid w:val="000D67F4"/>
    <w:rsid w:val="000D68A8"/>
    <w:rsid w:val="000D6B2D"/>
    <w:rsid w:val="000D6D31"/>
    <w:rsid w:val="000D6D91"/>
    <w:rsid w:val="000D6F72"/>
    <w:rsid w:val="000D6FF0"/>
    <w:rsid w:val="000D7042"/>
    <w:rsid w:val="000D7341"/>
    <w:rsid w:val="000D74FA"/>
    <w:rsid w:val="000D765E"/>
    <w:rsid w:val="000D7894"/>
    <w:rsid w:val="000D7977"/>
    <w:rsid w:val="000D7BFF"/>
    <w:rsid w:val="000D7C19"/>
    <w:rsid w:val="000D7E1A"/>
    <w:rsid w:val="000D7EF7"/>
    <w:rsid w:val="000D7F1A"/>
    <w:rsid w:val="000E0041"/>
    <w:rsid w:val="000E0328"/>
    <w:rsid w:val="000E06B9"/>
    <w:rsid w:val="000E07DA"/>
    <w:rsid w:val="000E0CDC"/>
    <w:rsid w:val="000E0FB1"/>
    <w:rsid w:val="000E10AC"/>
    <w:rsid w:val="000E10AD"/>
    <w:rsid w:val="000E155B"/>
    <w:rsid w:val="000E15E8"/>
    <w:rsid w:val="000E1BC2"/>
    <w:rsid w:val="000E1C8B"/>
    <w:rsid w:val="000E1D16"/>
    <w:rsid w:val="000E216F"/>
    <w:rsid w:val="000E22E8"/>
    <w:rsid w:val="000E232A"/>
    <w:rsid w:val="000E2833"/>
    <w:rsid w:val="000E2844"/>
    <w:rsid w:val="000E2883"/>
    <w:rsid w:val="000E2916"/>
    <w:rsid w:val="000E2AAF"/>
    <w:rsid w:val="000E2AFA"/>
    <w:rsid w:val="000E2B97"/>
    <w:rsid w:val="000E2C83"/>
    <w:rsid w:val="000E2E37"/>
    <w:rsid w:val="000E2ED3"/>
    <w:rsid w:val="000E3001"/>
    <w:rsid w:val="000E3106"/>
    <w:rsid w:val="000E327B"/>
    <w:rsid w:val="000E3660"/>
    <w:rsid w:val="000E37A3"/>
    <w:rsid w:val="000E38BF"/>
    <w:rsid w:val="000E3C39"/>
    <w:rsid w:val="000E3CE4"/>
    <w:rsid w:val="000E3F46"/>
    <w:rsid w:val="000E3FD1"/>
    <w:rsid w:val="000E3FF8"/>
    <w:rsid w:val="000E4224"/>
    <w:rsid w:val="000E42CE"/>
    <w:rsid w:val="000E431A"/>
    <w:rsid w:val="000E4339"/>
    <w:rsid w:val="000E44C9"/>
    <w:rsid w:val="000E4626"/>
    <w:rsid w:val="000E4635"/>
    <w:rsid w:val="000E4A5F"/>
    <w:rsid w:val="000E4A77"/>
    <w:rsid w:val="000E4B05"/>
    <w:rsid w:val="000E4E65"/>
    <w:rsid w:val="000E5423"/>
    <w:rsid w:val="000E5500"/>
    <w:rsid w:val="000E5577"/>
    <w:rsid w:val="000E5793"/>
    <w:rsid w:val="000E58BD"/>
    <w:rsid w:val="000E5929"/>
    <w:rsid w:val="000E59EF"/>
    <w:rsid w:val="000E5AA9"/>
    <w:rsid w:val="000E5B57"/>
    <w:rsid w:val="000E5B78"/>
    <w:rsid w:val="000E5C6D"/>
    <w:rsid w:val="000E5D4E"/>
    <w:rsid w:val="000E5FC8"/>
    <w:rsid w:val="000E60AF"/>
    <w:rsid w:val="000E61ED"/>
    <w:rsid w:val="000E64A1"/>
    <w:rsid w:val="000E658F"/>
    <w:rsid w:val="000E665F"/>
    <w:rsid w:val="000E6702"/>
    <w:rsid w:val="000E6938"/>
    <w:rsid w:val="000E6D29"/>
    <w:rsid w:val="000E6DF3"/>
    <w:rsid w:val="000E6EE3"/>
    <w:rsid w:val="000E70DE"/>
    <w:rsid w:val="000E7443"/>
    <w:rsid w:val="000E7603"/>
    <w:rsid w:val="000E7656"/>
    <w:rsid w:val="000E775E"/>
    <w:rsid w:val="000E78C8"/>
    <w:rsid w:val="000E791E"/>
    <w:rsid w:val="000E7A22"/>
    <w:rsid w:val="000E7AF3"/>
    <w:rsid w:val="000E7C01"/>
    <w:rsid w:val="000E7C02"/>
    <w:rsid w:val="000E7D7F"/>
    <w:rsid w:val="000E7EA8"/>
    <w:rsid w:val="000F020E"/>
    <w:rsid w:val="000F046A"/>
    <w:rsid w:val="000F06DF"/>
    <w:rsid w:val="000F0763"/>
    <w:rsid w:val="000F07EB"/>
    <w:rsid w:val="000F0938"/>
    <w:rsid w:val="000F0CC7"/>
    <w:rsid w:val="000F0FC2"/>
    <w:rsid w:val="000F0FC9"/>
    <w:rsid w:val="000F1054"/>
    <w:rsid w:val="000F1341"/>
    <w:rsid w:val="000F164E"/>
    <w:rsid w:val="000F1802"/>
    <w:rsid w:val="000F1874"/>
    <w:rsid w:val="000F1AC3"/>
    <w:rsid w:val="000F1AF2"/>
    <w:rsid w:val="000F1C2A"/>
    <w:rsid w:val="000F1CD6"/>
    <w:rsid w:val="000F1D08"/>
    <w:rsid w:val="000F1F5F"/>
    <w:rsid w:val="000F2423"/>
    <w:rsid w:val="000F24D9"/>
    <w:rsid w:val="000F24FA"/>
    <w:rsid w:val="000F26CD"/>
    <w:rsid w:val="000F27E0"/>
    <w:rsid w:val="000F27EE"/>
    <w:rsid w:val="000F2A95"/>
    <w:rsid w:val="000F2B3B"/>
    <w:rsid w:val="000F2E08"/>
    <w:rsid w:val="000F2F7A"/>
    <w:rsid w:val="000F3631"/>
    <w:rsid w:val="000F365F"/>
    <w:rsid w:val="000F3886"/>
    <w:rsid w:val="000F3A09"/>
    <w:rsid w:val="000F3BCE"/>
    <w:rsid w:val="000F3C8E"/>
    <w:rsid w:val="000F3CDB"/>
    <w:rsid w:val="000F3DAF"/>
    <w:rsid w:val="000F3FC8"/>
    <w:rsid w:val="000F4002"/>
    <w:rsid w:val="000F433D"/>
    <w:rsid w:val="000F4351"/>
    <w:rsid w:val="000F4382"/>
    <w:rsid w:val="000F43C7"/>
    <w:rsid w:val="000F4451"/>
    <w:rsid w:val="000F452C"/>
    <w:rsid w:val="000F458A"/>
    <w:rsid w:val="000F45CC"/>
    <w:rsid w:val="000F4693"/>
    <w:rsid w:val="000F46A6"/>
    <w:rsid w:val="000F48BD"/>
    <w:rsid w:val="000F4CEF"/>
    <w:rsid w:val="000F4FE5"/>
    <w:rsid w:val="000F5036"/>
    <w:rsid w:val="000F51C9"/>
    <w:rsid w:val="000F5875"/>
    <w:rsid w:val="000F58EE"/>
    <w:rsid w:val="000F5B9E"/>
    <w:rsid w:val="000F5CF0"/>
    <w:rsid w:val="000F5D35"/>
    <w:rsid w:val="000F5DFE"/>
    <w:rsid w:val="000F5E1D"/>
    <w:rsid w:val="000F5E91"/>
    <w:rsid w:val="000F6093"/>
    <w:rsid w:val="000F613F"/>
    <w:rsid w:val="000F618E"/>
    <w:rsid w:val="000F6311"/>
    <w:rsid w:val="000F6445"/>
    <w:rsid w:val="000F65FE"/>
    <w:rsid w:val="000F68C1"/>
    <w:rsid w:val="000F6967"/>
    <w:rsid w:val="000F69F8"/>
    <w:rsid w:val="000F6A4D"/>
    <w:rsid w:val="000F7006"/>
    <w:rsid w:val="000F733C"/>
    <w:rsid w:val="000F734D"/>
    <w:rsid w:val="000F73CB"/>
    <w:rsid w:val="000F7863"/>
    <w:rsid w:val="000F7BBD"/>
    <w:rsid w:val="000F7BC6"/>
    <w:rsid w:val="000F7C8F"/>
    <w:rsid w:val="000F7CC0"/>
    <w:rsid w:val="000F7E35"/>
    <w:rsid w:val="000F7F2E"/>
    <w:rsid w:val="00100013"/>
    <w:rsid w:val="00100039"/>
    <w:rsid w:val="001004D8"/>
    <w:rsid w:val="001005F5"/>
    <w:rsid w:val="00100611"/>
    <w:rsid w:val="00100B06"/>
    <w:rsid w:val="00100BF9"/>
    <w:rsid w:val="00100F8D"/>
    <w:rsid w:val="00101013"/>
    <w:rsid w:val="00101089"/>
    <w:rsid w:val="001011C8"/>
    <w:rsid w:val="00101260"/>
    <w:rsid w:val="0010147F"/>
    <w:rsid w:val="0010191E"/>
    <w:rsid w:val="0010192F"/>
    <w:rsid w:val="00101D99"/>
    <w:rsid w:val="00101DB7"/>
    <w:rsid w:val="00101DD2"/>
    <w:rsid w:val="00101E59"/>
    <w:rsid w:val="00102088"/>
    <w:rsid w:val="00102126"/>
    <w:rsid w:val="001021C5"/>
    <w:rsid w:val="0010223F"/>
    <w:rsid w:val="001023DE"/>
    <w:rsid w:val="00102E08"/>
    <w:rsid w:val="00102F39"/>
    <w:rsid w:val="0010310E"/>
    <w:rsid w:val="001035FB"/>
    <w:rsid w:val="00103A55"/>
    <w:rsid w:val="00103E4E"/>
    <w:rsid w:val="00103FAD"/>
    <w:rsid w:val="001040CE"/>
    <w:rsid w:val="001044DE"/>
    <w:rsid w:val="0010450F"/>
    <w:rsid w:val="0010454A"/>
    <w:rsid w:val="001049C1"/>
    <w:rsid w:val="00104ACB"/>
    <w:rsid w:val="00104BF7"/>
    <w:rsid w:val="00104E54"/>
    <w:rsid w:val="00104F50"/>
    <w:rsid w:val="001051A2"/>
    <w:rsid w:val="001055C9"/>
    <w:rsid w:val="0010567C"/>
    <w:rsid w:val="001057B0"/>
    <w:rsid w:val="00105875"/>
    <w:rsid w:val="00105956"/>
    <w:rsid w:val="001059FC"/>
    <w:rsid w:val="00105A2B"/>
    <w:rsid w:val="00105D30"/>
    <w:rsid w:val="00105E73"/>
    <w:rsid w:val="00106233"/>
    <w:rsid w:val="00106322"/>
    <w:rsid w:val="00106574"/>
    <w:rsid w:val="00106668"/>
    <w:rsid w:val="00106890"/>
    <w:rsid w:val="00106B18"/>
    <w:rsid w:val="00106B96"/>
    <w:rsid w:val="00106F0C"/>
    <w:rsid w:val="00106F7B"/>
    <w:rsid w:val="00107038"/>
    <w:rsid w:val="0010717B"/>
    <w:rsid w:val="0010757A"/>
    <w:rsid w:val="0010765C"/>
    <w:rsid w:val="00107718"/>
    <w:rsid w:val="00107800"/>
    <w:rsid w:val="0010787F"/>
    <w:rsid w:val="00107965"/>
    <w:rsid w:val="00107B42"/>
    <w:rsid w:val="00107D0E"/>
    <w:rsid w:val="00107D66"/>
    <w:rsid w:val="00107EFC"/>
    <w:rsid w:val="00107F08"/>
    <w:rsid w:val="00110070"/>
    <w:rsid w:val="00110531"/>
    <w:rsid w:val="001105ED"/>
    <w:rsid w:val="00110798"/>
    <w:rsid w:val="00110840"/>
    <w:rsid w:val="00110C8F"/>
    <w:rsid w:val="00110CDD"/>
    <w:rsid w:val="00110D00"/>
    <w:rsid w:val="00110E02"/>
    <w:rsid w:val="00111047"/>
    <w:rsid w:val="00111050"/>
    <w:rsid w:val="00111113"/>
    <w:rsid w:val="00111185"/>
    <w:rsid w:val="001112D6"/>
    <w:rsid w:val="00111308"/>
    <w:rsid w:val="0011142E"/>
    <w:rsid w:val="00111672"/>
    <w:rsid w:val="00111795"/>
    <w:rsid w:val="0011195F"/>
    <w:rsid w:val="00111B55"/>
    <w:rsid w:val="00111BEB"/>
    <w:rsid w:val="00111DDB"/>
    <w:rsid w:val="00111E86"/>
    <w:rsid w:val="0011217E"/>
    <w:rsid w:val="001121FC"/>
    <w:rsid w:val="001124A7"/>
    <w:rsid w:val="001125DD"/>
    <w:rsid w:val="001126F0"/>
    <w:rsid w:val="00112804"/>
    <w:rsid w:val="0011287A"/>
    <w:rsid w:val="0011291B"/>
    <w:rsid w:val="00112C5F"/>
    <w:rsid w:val="00112E11"/>
    <w:rsid w:val="001130C4"/>
    <w:rsid w:val="0011313C"/>
    <w:rsid w:val="00113426"/>
    <w:rsid w:val="0011344D"/>
    <w:rsid w:val="00113655"/>
    <w:rsid w:val="00113901"/>
    <w:rsid w:val="00113C60"/>
    <w:rsid w:val="00113CCD"/>
    <w:rsid w:val="001141C5"/>
    <w:rsid w:val="001144F2"/>
    <w:rsid w:val="00114541"/>
    <w:rsid w:val="001145C0"/>
    <w:rsid w:val="001145FB"/>
    <w:rsid w:val="001147EE"/>
    <w:rsid w:val="00114831"/>
    <w:rsid w:val="00114925"/>
    <w:rsid w:val="0011508F"/>
    <w:rsid w:val="0011519A"/>
    <w:rsid w:val="0011520B"/>
    <w:rsid w:val="00115444"/>
    <w:rsid w:val="00115788"/>
    <w:rsid w:val="00115AC0"/>
    <w:rsid w:val="00115BCF"/>
    <w:rsid w:val="00115CF7"/>
    <w:rsid w:val="00115E43"/>
    <w:rsid w:val="0011605F"/>
    <w:rsid w:val="001161EA"/>
    <w:rsid w:val="001163FC"/>
    <w:rsid w:val="00116661"/>
    <w:rsid w:val="0011667D"/>
    <w:rsid w:val="00116683"/>
    <w:rsid w:val="001166DD"/>
    <w:rsid w:val="00116990"/>
    <w:rsid w:val="001169F5"/>
    <w:rsid w:val="00116A90"/>
    <w:rsid w:val="00116B11"/>
    <w:rsid w:val="00116D70"/>
    <w:rsid w:val="00116FE7"/>
    <w:rsid w:val="001176D6"/>
    <w:rsid w:val="0011773E"/>
    <w:rsid w:val="00117B1A"/>
    <w:rsid w:val="00117B40"/>
    <w:rsid w:val="00117C75"/>
    <w:rsid w:val="00117E7D"/>
    <w:rsid w:val="00117E81"/>
    <w:rsid w:val="00117FAD"/>
    <w:rsid w:val="0012000A"/>
    <w:rsid w:val="0012017E"/>
    <w:rsid w:val="001202C4"/>
    <w:rsid w:val="00120651"/>
    <w:rsid w:val="0012077A"/>
    <w:rsid w:val="00120946"/>
    <w:rsid w:val="00120CD4"/>
    <w:rsid w:val="00121573"/>
    <w:rsid w:val="00121603"/>
    <w:rsid w:val="001216C7"/>
    <w:rsid w:val="00121872"/>
    <w:rsid w:val="0012202F"/>
    <w:rsid w:val="001220CD"/>
    <w:rsid w:val="00122148"/>
    <w:rsid w:val="00122257"/>
    <w:rsid w:val="00122435"/>
    <w:rsid w:val="00122542"/>
    <w:rsid w:val="001227AC"/>
    <w:rsid w:val="0012283E"/>
    <w:rsid w:val="0012298D"/>
    <w:rsid w:val="001229B9"/>
    <w:rsid w:val="00122D92"/>
    <w:rsid w:val="0012313D"/>
    <w:rsid w:val="001232F1"/>
    <w:rsid w:val="00123442"/>
    <w:rsid w:val="0012350F"/>
    <w:rsid w:val="001236DD"/>
    <w:rsid w:val="00123822"/>
    <w:rsid w:val="001238D3"/>
    <w:rsid w:val="00123919"/>
    <w:rsid w:val="0012466B"/>
    <w:rsid w:val="001246CE"/>
    <w:rsid w:val="00124820"/>
    <w:rsid w:val="00124884"/>
    <w:rsid w:val="001249D7"/>
    <w:rsid w:val="00124C5B"/>
    <w:rsid w:val="001250A1"/>
    <w:rsid w:val="0012517F"/>
    <w:rsid w:val="00125389"/>
    <w:rsid w:val="001253B4"/>
    <w:rsid w:val="00125447"/>
    <w:rsid w:val="0012554E"/>
    <w:rsid w:val="001257B0"/>
    <w:rsid w:val="001257DF"/>
    <w:rsid w:val="00125A18"/>
    <w:rsid w:val="00125C2C"/>
    <w:rsid w:val="00125D37"/>
    <w:rsid w:val="00125F3B"/>
    <w:rsid w:val="00125FEA"/>
    <w:rsid w:val="0012608D"/>
    <w:rsid w:val="001260AC"/>
    <w:rsid w:val="001264D8"/>
    <w:rsid w:val="00126542"/>
    <w:rsid w:val="00126735"/>
    <w:rsid w:val="0012680D"/>
    <w:rsid w:val="0012695A"/>
    <w:rsid w:val="00126B52"/>
    <w:rsid w:val="00126C36"/>
    <w:rsid w:val="00126F32"/>
    <w:rsid w:val="001270B8"/>
    <w:rsid w:val="0012720B"/>
    <w:rsid w:val="001273D2"/>
    <w:rsid w:val="001274AB"/>
    <w:rsid w:val="001275B8"/>
    <w:rsid w:val="00127756"/>
    <w:rsid w:val="00127773"/>
    <w:rsid w:val="00127784"/>
    <w:rsid w:val="00127A01"/>
    <w:rsid w:val="00127A03"/>
    <w:rsid w:val="0013009E"/>
    <w:rsid w:val="001300C5"/>
    <w:rsid w:val="001301B8"/>
    <w:rsid w:val="00130240"/>
    <w:rsid w:val="00130307"/>
    <w:rsid w:val="001303D2"/>
    <w:rsid w:val="0013043D"/>
    <w:rsid w:val="00130512"/>
    <w:rsid w:val="0013051C"/>
    <w:rsid w:val="0013059D"/>
    <w:rsid w:val="0013071E"/>
    <w:rsid w:val="0013081C"/>
    <w:rsid w:val="00130C89"/>
    <w:rsid w:val="00130CA6"/>
    <w:rsid w:val="00130DEF"/>
    <w:rsid w:val="00130FAE"/>
    <w:rsid w:val="001310C8"/>
    <w:rsid w:val="0013133E"/>
    <w:rsid w:val="00131559"/>
    <w:rsid w:val="001316FB"/>
    <w:rsid w:val="001319B3"/>
    <w:rsid w:val="00131A20"/>
    <w:rsid w:val="00131AB3"/>
    <w:rsid w:val="0013203A"/>
    <w:rsid w:val="001321A7"/>
    <w:rsid w:val="0013250C"/>
    <w:rsid w:val="00132681"/>
    <w:rsid w:val="00132792"/>
    <w:rsid w:val="00132820"/>
    <w:rsid w:val="00132971"/>
    <w:rsid w:val="00132C79"/>
    <w:rsid w:val="00132C9A"/>
    <w:rsid w:val="00132F1C"/>
    <w:rsid w:val="0013300D"/>
    <w:rsid w:val="00133216"/>
    <w:rsid w:val="00133515"/>
    <w:rsid w:val="001335AA"/>
    <w:rsid w:val="00133655"/>
    <w:rsid w:val="00133A00"/>
    <w:rsid w:val="00133A32"/>
    <w:rsid w:val="00133B81"/>
    <w:rsid w:val="00133C08"/>
    <w:rsid w:val="00133C29"/>
    <w:rsid w:val="00133D9B"/>
    <w:rsid w:val="00133DD9"/>
    <w:rsid w:val="00133DF6"/>
    <w:rsid w:val="001340FB"/>
    <w:rsid w:val="001344A6"/>
    <w:rsid w:val="00134527"/>
    <w:rsid w:val="00134B66"/>
    <w:rsid w:val="00134CBA"/>
    <w:rsid w:val="00134D7B"/>
    <w:rsid w:val="00134E89"/>
    <w:rsid w:val="00134EF2"/>
    <w:rsid w:val="00134F00"/>
    <w:rsid w:val="00135353"/>
    <w:rsid w:val="00135364"/>
    <w:rsid w:val="001353E4"/>
    <w:rsid w:val="001354EF"/>
    <w:rsid w:val="001355BD"/>
    <w:rsid w:val="00135767"/>
    <w:rsid w:val="0013583D"/>
    <w:rsid w:val="00135871"/>
    <w:rsid w:val="00135B54"/>
    <w:rsid w:val="00136175"/>
    <w:rsid w:val="0013624E"/>
    <w:rsid w:val="00136361"/>
    <w:rsid w:val="001363E3"/>
    <w:rsid w:val="00136526"/>
    <w:rsid w:val="00136535"/>
    <w:rsid w:val="00136721"/>
    <w:rsid w:val="00136949"/>
    <w:rsid w:val="00136B72"/>
    <w:rsid w:val="00136DE5"/>
    <w:rsid w:val="00136E13"/>
    <w:rsid w:val="00137035"/>
    <w:rsid w:val="00137106"/>
    <w:rsid w:val="00137346"/>
    <w:rsid w:val="00137491"/>
    <w:rsid w:val="001376FF"/>
    <w:rsid w:val="001378C6"/>
    <w:rsid w:val="0014003A"/>
    <w:rsid w:val="001401A5"/>
    <w:rsid w:val="00140202"/>
    <w:rsid w:val="001403F7"/>
    <w:rsid w:val="00140652"/>
    <w:rsid w:val="00140A68"/>
    <w:rsid w:val="00140E43"/>
    <w:rsid w:val="00140F7C"/>
    <w:rsid w:val="0014106F"/>
    <w:rsid w:val="00141200"/>
    <w:rsid w:val="0014121A"/>
    <w:rsid w:val="001413F9"/>
    <w:rsid w:val="00141636"/>
    <w:rsid w:val="0014168F"/>
    <w:rsid w:val="00141740"/>
    <w:rsid w:val="00141995"/>
    <w:rsid w:val="00141AEC"/>
    <w:rsid w:val="00141B95"/>
    <w:rsid w:val="00141D0A"/>
    <w:rsid w:val="00141E24"/>
    <w:rsid w:val="00141E3F"/>
    <w:rsid w:val="00141FB8"/>
    <w:rsid w:val="0014205C"/>
    <w:rsid w:val="0014242B"/>
    <w:rsid w:val="001425A4"/>
    <w:rsid w:val="001425EA"/>
    <w:rsid w:val="001428CC"/>
    <w:rsid w:val="00142BF7"/>
    <w:rsid w:val="00142CB3"/>
    <w:rsid w:val="00142FD3"/>
    <w:rsid w:val="0014302C"/>
    <w:rsid w:val="001430EA"/>
    <w:rsid w:val="001431CF"/>
    <w:rsid w:val="001435AF"/>
    <w:rsid w:val="00143730"/>
    <w:rsid w:val="00143794"/>
    <w:rsid w:val="001438C9"/>
    <w:rsid w:val="00143941"/>
    <w:rsid w:val="00143C8E"/>
    <w:rsid w:val="00143D41"/>
    <w:rsid w:val="00143D4D"/>
    <w:rsid w:val="00143E93"/>
    <w:rsid w:val="00144156"/>
    <w:rsid w:val="001441BF"/>
    <w:rsid w:val="001441D0"/>
    <w:rsid w:val="0014439F"/>
    <w:rsid w:val="001444C2"/>
    <w:rsid w:val="001445E8"/>
    <w:rsid w:val="001446E9"/>
    <w:rsid w:val="001446FC"/>
    <w:rsid w:val="001447ED"/>
    <w:rsid w:val="001448B1"/>
    <w:rsid w:val="00144AE8"/>
    <w:rsid w:val="00144B5D"/>
    <w:rsid w:val="00144C45"/>
    <w:rsid w:val="00144E59"/>
    <w:rsid w:val="001451E2"/>
    <w:rsid w:val="0014558B"/>
    <w:rsid w:val="001456E1"/>
    <w:rsid w:val="00145897"/>
    <w:rsid w:val="001458A9"/>
    <w:rsid w:val="00145A18"/>
    <w:rsid w:val="00145A92"/>
    <w:rsid w:val="00145AB8"/>
    <w:rsid w:val="00145AE3"/>
    <w:rsid w:val="00145B33"/>
    <w:rsid w:val="00145BEF"/>
    <w:rsid w:val="00145E04"/>
    <w:rsid w:val="00145FA9"/>
    <w:rsid w:val="001462F7"/>
    <w:rsid w:val="001463C9"/>
    <w:rsid w:val="00146465"/>
    <w:rsid w:val="00146689"/>
    <w:rsid w:val="00146775"/>
    <w:rsid w:val="001467A5"/>
    <w:rsid w:val="00146B0A"/>
    <w:rsid w:val="00146BD8"/>
    <w:rsid w:val="00146DBF"/>
    <w:rsid w:val="00146F52"/>
    <w:rsid w:val="00147129"/>
    <w:rsid w:val="001471A8"/>
    <w:rsid w:val="001479E8"/>
    <w:rsid w:val="00147B04"/>
    <w:rsid w:val="00147CE3"/>
    <w:rsid w:val="00147E27"/>
    <w:rsid w:val="0015007C"/>
    <w:rsid w:val="001508E9"/>
    <w:rsid w:val="001509A3"/>
    <w:rsid w:val="00150A53"/>
    <w:rsid w:val="00150A63"/>
    <w:rsid w:val="00150F44"/>
    <w:rsid w:val="001511B9"/>
    <w:rsid w:val="001511C6"/>
    <w:rsid w:val="0015120E"/>
    <w:rsid w:val="001512F6"/>
    <w:rsid w:val="001517AB"/>
    <w:rsid w:val="0015186E"/>
    <w:rsid w:val="00151949"/>
    <w:rsid w:val="00151BE6"/>
    <w:rsid w:val="00151D19"/>
    <w:rsid w:val="00151D24"/>
    <w:rsid w:val="00151E6C"/>
    <w:rsid w:val="00151F9F"/>
    <w:rsid w:val="00151FF9"/>
    <w:rsid w:val="00152299"/>
    <w:rsid w:val="0015234C"/>
    <w:rsid w:val="00152383"/>
    <w:rsid w:val="001524C0"/>
    <w:rsid w:val="001525AB"/>
    <w:rsid w:val="001527B0"/>
    <w:rsid w:val="00152815"/>
    <w:rsid w:val="00152C77"/>
    <w:rsid w:val="00152CC4"/>
    <w:rsid w:val="00152D0A"/>
    <w:rsid w:val="00152D56"/>
    <w:rsid w:val="00152FAF"/>
    <w:rsid w:val="00153297"/>
    <w:rsid w:val="001536CF"/>
    <w:rsid w:val="00153911"/>
    <w:rsid w:val="0015394C"/>
    <w:rsid w:val="001539F3"/>
    <w:rsid w:val="00153A5F"/>
    <w:rsid w:val="00153C35"/>
    <w:rsid w:val="00153CB7"/>
    <w:rsid w:val="00153CC3"/>
    <w:rsid w:val="00153D25"/>
    <w:rsid w:val="00153D94"/>
    <w:rsid w:val="00153EC4"/>
    <w:rsid w:val="00153EFB"/>
    <w:rsid w:val="00154134"/>
    <w:rsid w:val="00154161"/>
    <w:rsid w:val="0015424D"/>
    <w:rsid w:val="001542A5"/>
    <w:rsid w:val="001548CA"/>
    <w:rsid w:val="00154939"/>
    <w:rsid w:val="00154A07"/>
    <w:rsid w:val="00154AB3"/>
    <w:rsid w:val="00154BA1"/>
    <w:rsid w:val="00154E04"/>
    <w:rsid w:val="00155050"/>
    <w:rsid w:val="0015528A"/>
    <w:rsid w:val="00155430"/>
    <w:rsid w:val="001555E7"/>
    <w:rsid w:val="001556D5"/>
    <w:rsid w:val="0015598C"/>
    <w:rsid w:val="00155B48"/>
    <w:rsid w:val="0015601C"/>
    <w:rsid w:val="001562C7"/>
    <w:rsid w:val="001564B7"/>
    <w:rsid w:val="0015656D"/>
    <w:rsid w:val="001565FA"/>
    <w:rsid w:val="00156813"/>
    <w:rsid w:val="0015686B"/>
    <w:rsid w:val="00156872"/>
    <w:rsid w:val="00156C05"/>
    <w:rsid w:val="00156D11"/>
    <w:rsid w:val="00156D43"/>
    <w:rsid w:val="00156FD8"/>
    <w:rsid w:val="0015735E"/>
    <w:rsid w:val="001574B7"/>
    <w:rsid w:val="00157532"/>
    <w:rsid w:val="0015761A"/>
    <w:rsid w:val="0015769D"/>
    <w:rsid w:val="001576CD"/>
    <w:rsid w:val="00157944"/>
    <w:rsid w:val="00157AFB"/>
    <w:rsid w:val="00157C16"/>
    <w:rsid w:val="00157D59"/>
    <w:rsid w:val="00157F52"/>
    <w:rsid w:val="00160000"/>
    <w:rsid w:val="00160215"/>
    <w:rsid w:val="00160357"/>
    <w:rsid w:val="0016039E"/>
    <w:rsid w:val="001603EB"/>
    <w:rsid w:val="001604F3"/>
    <w:rsid w:val="00160755"/>
    <w:rsid w:val="00160895"/>
    <w:rsid w:val="00160C88"/>
    <w:rsid w:val="00160CE6"/>
    <w:rsid w:val="00160DDC"/>
    <w:rsid w:val="001612B9"/>
    <w:rsid w:val="001613C0"/>
    <w:rsid w:val="0016145E"/>
    <w:rsid w:val="001614D6"/>
    <w:rsid w:val="00161580"/>
    <w:rsid w:val="001619EA"/>
    <w:rsid w:val="00161ACE"/>
    <w:rsid w:val="001622D8"/>
    <w:rsid w:val="001626BE"/>
    <w:rsid w:val="00162821"/>
    <w:rsid w:val="00162AE3"/>
    <w:rsid w:val="00162F73"/>
    <w:rsid w:val="0016302B"/>
    <w:rsid w:val="00163040"/>
    <w:rsid w:val="001632F6"/>
    <w:rsid w:val="0016348D"/>
    <w:rsid w:val="00163635"/>
    <w:rsid w:val="001636DE"/>
    <w:rsid w:val="001637D8"/>
    <w:rsid w:val="001638DA"/>
    <w:rsid w:val="00163936"/>
    <w:rsid w:val="00163975"/>
    <w:rsid w:val="00163BCF"/>
    <w:rsid w:val="00163F38"/>
    <w:rsid w:val="001641DC"/>
    <w:rsid w:val="00164233"/>
    <w:rsid w:val="00164236"/>
    <w:rsid w:val="00164492"/>
    <w:rsid w:val="00164504"/>
    <w:rsid w:val="001645AB"/>
    <w:rsid w:val="00164640"/>
    <w:rsid w:val="00164737"/>
    <w:rsid w:val="00164769"/>
    <w:rsid w:val="001647E4"/>
    <w:rsid w:val="001649F3"/>
    <w:rsid w:val="00164C5E"/>
    <w:rsid w:val="00164E6F"/>
    <w:rsid w:val="00164EC3"/>
    <w:rsid w:val="00165141"/>
    <w:rsid w:val="00165784"/>
    <w:rsid w:val="00165A6E"/>
    <w:rsid w:val="00165A8C"/>
    <w:rsid w:val="00165BEE"/>
    <w:rsid w:val="00165C73"/>
    <w:rsid w:val="00165C7D"/>
    <w:rsid w:val="00165E6E"/>
    <w:rsid w:val="001661CB"/>
    <w:rsid w:val="0016646D"/>
    <w:rsid w:val="00166522"/>
    <w:rsid w:val="00166565"/>
    <w:rsid w:val="001665BF"/>
    <w:rsid w:val="00166609"/>
    <w:rsid w:val="001667F5"/>
    <w:rsid w:val="001668F1"/>
    <w:rsid w:val="001669D0"/>
    <w:rsid w:val="00166A34"/>
    <w:rsid w:val="00166DB7"/>
    <w:rsid w:val="00166E9D"/>
    <w:rsid w:val="00166EE1"/>
    <w:rsid w:val="0016702B"/>
    <w:rsid w:val="00167063"/>
    <w:rsid w:val="0016721E"/>
    <w:rsid w:val="00167286"/>
    <w:rsid w:val="001672E7"/>
    <w:rsid w:val="00167322"/>
    <w:rsid w:val="00167367"/>
    <w:rsid w:val="00167678"/>
    <w:rsid w:val="001676C6"/>
    <w:rsid w:val="0016770F"/>
    <w:rsid w:val="0016771E"/>
    <w:rsid w:val="0016776E"/>
    <w:rsid w:val="00167E19"/>
    <w:rsid w:val="0017025D"/>
    <w:rsid w:val="00170680"/>
    <w:rsid w:val="001706B8"/>
    <w:rsid w:val="0017080B"/>
    <w:rsid w:val="00170E05"/>
    <w:rsid w:val="00170FB9"/>
    <w:rsid w:val="00171095"/>
    <w:rsid w:val="001712A8"/>
    <w:rsid w:val="001713B0"/>
    <w:rsid w:val="00171562"/>
    <w:rsid w:val="00171997"/>
    <w:rsid w:val="001719F1"/>
    <w:rsid w:val="00171A57"/>
    <w:rsid w:val="00171D58"/>
    <w:rsid w:val="00171FAF"/>
    <w:rsid w:val="001721C3"/>
    <w:rsid w:val="001721F9"/>
    <w:rsid w:val="00172581"/>
    <w:rsid w:val="001725AB"/>
    <w:rsid w:val="00172602"/>
    <w:rsid w:val="001726DF"/>
    <w:rsid w:val="001726E1"/>
    <w:rsid w:val="00172723"/>
    <w:rsid w:val="00172A2D"/>
    <w:rsid w:val="00172E10"/>
    <w:rsid w:val="001730D3"/>
    <w:rsid w:val="00173155"/>
    <w:rsid w:val="001733B4"/>
    <w:rsid w:val="00173610"/>
    <w:rsid w:val="00173A77"/>
    <w:rsid w:val="00173D2A"/>
    <w:rsid w:val="00173D67"/>
    <w:rsid w:val="0017413D"/>
    <w:rsid w:val="00174190"/>
    <w:rsid w:val="00174246"/>
    <w:rsid w:val="001742F4"/>
    <w:rsid w:val="00174A2F"/>
    <w:rsid w:val="00174AFD"/>
    <w:rsid w:val="00174B18"/>
    <w:rsid w:val="00174BF3"/>
    <w:rsid w:val="00174E9B"/>
    <w:rsid w:val="00174F6C"/>
    <w:rsid w:val="00174FB8"/>
    <w:rsid w:val="001751EB"/>
    <w:rsid w:val="001752CF"/>
    <w:rsid w:val="001752DD"/>
    <w:rsid w:val="0017543E"/>
    <w:rsid w:val="001755A3"/>
    <w:rsid w:val="001756A6"/>
    <w:rsid w:val="001757BF"/>
    <w:rsid w:val="001759CF"/>
    <w:rsid w:val="001759DC"/>
    <w:rsid w:val="00175B83"/>
    <w:rsid w:val="00175E17"/>
    <w:rsid w:val="00175F23"/>
    <w:rsid w:val="00176021"/>
    <w:rsid w:val="00176155"/>
    <w:rsid w:val="001761F1"/>
    <w:rsid w:val="001764C1"/>
    <w:rsid w:val="001765BE"/>
    <w:rsid w:val="00176712"/>
    <w:rsid w:val="00176732"/>
    <w:rsid w:val="00176901"/>
    <w:rsid w:val="0017690C"/>
    <w:rsid w:val="001769B6"/>
    <w:rsid w:val="00176D2E"/>
    <w:rsid w:val="00176EAF"/>
    <w:rsid w:val="00176F1C"/>
    <w:rsid w:val="00177061"/>
    <w:rsid w:val="0017718D"/>
    <w:rsid w:val="001773F1"/>
    <w:rsid w:val="0017742A"/>
    <w:rsid w:val="001777D0"/>
    <w:rsid w:val="001778A4"/>
    <w:rsid w:val="001778F4"/>
    <w:rsid w:val="00177BC6"/>
    <w:rsid w:val="00177CDA"/>
    <w:rsid w:val="00177E8A"/>
    <w:rsid w:val="00177E9D"/>
    <w:rsid w:val="00177F42"/>
    <w:rsid w:val="0018001C"/>
    <w:rsid w:val="001802CD"/>
    <w:rsid w:val="001806CB"/>
    <w:rsid w:val="00180712"/>
    <w:rsid w:val="00180BD5"/>
    <w:rsid w:val="00180E58"/>
    <w:rsid w:val="0018114A"/>
    <w:rsid w:val="00181169"/>
    <w:rsid w:val="001817E7"/>
    <w:rsid w:val="00181891"/>
    <w:rsid w:val="0018197F"/>
    <w:rsid w:val="00181B40"/>
    <w:rsid w:val="00181C4E"/>
    <w:rsid w:val="00181C77"/>
    <w:rsid w:val="00181CC8"/>
    <w:rsid w:val="00181FA1"/>
    <w:rsid w:val="00181FED"/>
    <w:rsid w:val="00182032"/>
    <w:rsid w:val="0018210C"/>
    <w:rsid w:val="00182132"/>
    <w:rsid w:val="0018236D"/>
    <w:rsid w:val="001827AF"/>
    <w:rsid w:val="00182814"/>
    <w:rsid w:val="001828D5"/>
    <w:rsid w:val="00182948"/>
    <w:rsid w:val="00182A32"/>
    <w:rsid w:val="00182A5A"/>
    <w:rsid w:val="00182B56"/>
    <w:rsid w:val="00182C68"/>
    <w:rsid w:val="00182FB0"/>
    <w:rsid w:val="0018332D"/>
    <w:rsid w:val="001833A8"/>
    <w:rsid w:val="00183489"/>
    <w:rsid w:val="00183565"/>
    <w:rsid w:val="0018365F"/>
    <w:rsid w:val="00183CD5"/>
    <w:rsid w:val="00183E4B"/>
    <w:rsid w:val="00183E4C"/>
    <w:rsid w:val="00183E5F"/>
    <w:rsid w:val="001844A9"/>
    <w:rsid w:val="0018451B"/>
    <w:rsid w:val="00184533"/>
    <w:rsid w:val="001845BD"/>
    <w:rsid w:val="00184726"/>
    <w:rsid w:val="00184C1E"/>
    <w:rsid w:val="00184D64"/>
    <w:rsid w:val="00184D80"/>
    <w:rsid w:val="00184F3A"/>
    <w:rsid w:val="00185230"/>
    <w:rsid w:val="0018523A"/>
    <w:rsid w:val="00185383"/>
    <w:rsid w:val="001853B3"/>
    <w:rsid w:val="00185539"/>
    <w:rsid w:val="0018559A"/>
    <w:rsid w:val="001855BF"/>
    <w:rsid w:val="001858C5"/>
    <w:rsid w:val="00185BD8"/>
    <w:rsid w:val="00185C40"/>
    <w:rsid w:val="00185FFE"/>
    <w:rsid w:val="0018637D"/>
    <w:rsid w:val="00186394"/>
    <w:rsid w:val="00186609"/>
    <w:rsid w:val="00186C6E"/>
    <w:rsid w:val="00187066"/>
    <w:rsid w:val="0018724C"/>
    <w:rsid w:val="001872D0"/>
    <w:rsid w:val="00187496"/>
    <w:rsid w:val="00187849"/>
    <w:rsid w:val="001879C6"/>
    <w:rsid w:val="00187DD6"/>
    <w:rsid w:val="00187E29"/>
    <w:rsid w:val="00190178"/>
    <w:rsid w:val="001901C8"/>
    <w:rsid w:val="001908D9"/>
    <w:rsid w:val="0019093A"/>
    <w:rsid w:val="00190A3F"/>
    <w:rsid w:val="00190BDA"/>
    <w:rsid w:val="00190C88"/>
    <w:rsid w:val="001912EC"/>
    <w:rsid w:val="00191570"/>
    <w:rsid w:val="00191731"/>
    <w:rsid w:val="001917D7"/>
    <w:rsid w:val="00191A1B"/>
    <w:rsid w:val="00191AD1"/>
    <w:rsid w:val="00191B4C"/>
    <w:rsid w:val="00191C95"/>
    <w:rsid w:val="0019272E"/>
    <w:rsid w:val="001929A6"/>
    <w:rsid w:val="00192ABB"/>
    <w:rsid w:val="00192BCC"/>
    <w:rsid w:val="00192ED9"/>
    <w:rsid w:val="00193350"/>
    <w:rsid w:val="0019352E"/>
    <w:rsid w:val="001938AE"/>
    <w:rsid w:val="00193ACC"/>
    <w:rsid w:val="00193D05"/>
    <w:rsid w:val="00193E09"/>
    <w:rsid w:val="00193FEB"/>
    <w:rsid w:val="0019413C"/>
    <w:rsid w:val="00194224"/>
    <w:rsid w:val="00194305"/>
    <w:rsid w:val="00194528"/>
    <w:rsid w:val="00194692"/>
    <w:rsid w:val="0019482E"/>
    <w:rsid w:val="001948EE"/>
    <w:rsid w:val="00194B04"/>
    <w:rsid w:val="00194BC9"/>
    <w:rsid w:val="00194D46"/>
    <w:rsid w:val="00194EE2"/>
    <w:rsid w:val="00194F80"/>
    <w:rsid w:val="0019503F"/>
    <w:rsid w:val="00195064"/>
    <w:rsid w:val="001950E0"/>
    <w:rsid w:val="001950E3"/>
    <w:rsid w:val="00195172"/>
    <w:rsid w:val="001951E5"/>
    <w:rsid w:val="001953B7"/>
    <w:rsid w:val="00195401"/>
    <w:rsid w:val="00195418"/>
    <w:rsid w:val="001955F1"/>
    <w:rsid w:val="00195798"/>
    <w:rsid w:val="001957D1"/>
    <w:rsid w:val="0019599E"/>
    <w:rsid w:val="00195BE5"/>
    <w:rsid w:val="00195C2E"/>
    <w:rsid w:val="00195C82"/>
    <w:rsid w:val="00195EB8"/>
    <w:rsid w:val="00195F7D"/>
    <w:rsid w:val="001961A8"/>
    <w:rsid w:val="001962A9"/>
    <w:rsid w:val="0019632B"/>
    <w:rsid w:val="00196486"/>
    <w:rsid w:val="001967D3"/>
    <w:rsid w:val="00196AE6"/>
    <w:rsid w:val="00196B4C"/>
    <w:rsid w:val="00196C1D"/>
    <w:rsid w:val="0019747E"/>
    <w:rsid w:val="00197521"/>
    <w:rsid w:val="001977D0"/>
    <w:rsid w:val="001978F0"/>
    <w:rsid w:val="0019792D"/>
    <w:rsid w:val="0019795B"/>
    <w:rsid w:val="00197AC5"/>
    <w:rsid w:val="00197BB0"/>
    <w:rsid w:val="00197BD5"/>
    <w:rsid w:val="001A0679"/>
    <w:rsid w:val="001A0ADA"/>
    <w:rsid w:val="001A0E15"/>
    <w:rsid w:val="001A10E8"/>
    <w:rsid w:val="001A15CE"/>
    <w:rsid w:val="001A1602"/>
    <w:rsid w:val="001A1808"/>
    <w:rsid w:val="001A1958"/>
    <w:rsid w:val="001A1BF3"/>
    <w:rsid w:val="001A1DA6"/>
    <w:rsid w:val="001A1FB4"/>
    <w:rsid w:val="001A2189"/>
    <w:rsid w:val="001A2320"/>
    <w:rsid w:val="001A2538"/>
    <w:rsid w:val="001A28F6"/>
    <w:rsid w:val="001A29B6"/>
    <w:rsid w:val="001A2AE5"/>
    <w:rsid w:val="001A311F"/>
    <w:rsid w:val="001A318B"/>
    <w:rsid w:val="001A32E2"/>
    <w:rsid w:val="001A3766"/>
    <w:rsid w:val="001A3818"/>
    <w:rsid w:val="001A3A19"/>
    <w:rsid w:val="001A3E2A"/>
    <w:rsid w:val="001A3E43"/>
    <w:rsid w:val="001A4085"/>
    <w:rsid w:val="001A420E"/>
    <w:rsid w:val="001A4322"/>
    <w:rsid w:val="001A43DB"/>
    <w:rsid w:val="001A4433"/>
    <w:rsid w:val="001A444B"/>
    <w:rsid w:val="001A45E7"/>
    <w:rsid w:val="001A477D"/>
    <w:rsid w:val="001A4A03"/>
    <w:rsid w:val="001A4AFA"/>
    <w:rsid w:val="001A4E8A"/>
    <w:rsid w:val="001A4EA6"/>
    <w:rsid w:val="001A4F50"/>
    <w:rsid w:val="001A5006"/>
    <w:rsid w:val="001A5103"/>
    <w:rsid w:val="001A512B"/>
    <w:rsid w:val="001A51BE"/>
    <w:rsid w:val="001A5328"/>
    <w:rsid w:val="001A533C"/>
    <w:rsid w:val="001A549D"/>
    <w:rsid w:val="001A5706"/>
    <w:rsid w:val="001A5717"/>
    <w:rsid w:val="001A5CE9"/>
    <w:rsid w:val="001A5DF7"/>
    <w:rsid w:val="001A5E11"/>
    <w:rsid w:val="001A5F76"/>
    <w:rsid w:val="001A62C3"/>
    <w:rsid w:val="001A64CC"/>
    <w:rsid w:val="001A6711"/>
    <w:rsid w:val="001A67AC"/>
    <w:rsid w:val="001A6990"/>
    <w:rsid w:val="001A69B1"/>
    <w:rsid w:val="001A69BD"/>
    <w:rsid w:val="001A6B86"/>
    <w:rsid w:val="001A6D44"/>
    <w:rsid w:val="001A6DB5"/>
    <w:rsid w:val="001A6ECF"/>
    <w:rsid w:val="001A70D8"/>
    <w:rsid w:val="001A72A1"/>
    <w:rsid w:val="001A7552"/>
    <w:rsid w:val="001A755B"/>
    <w:rsid w:val="001A757F"/>
    <w:rsid w:val="001A78BA"/>
    <w:rsid w:val="001A7AEB"/>
    <w:rsid w:val="001A7D85"/>
    <w:rsid w:val="001B01E5"/>
    <w:rsid w:val="001B03CB"/>
    <w:rsid w:val="001B03EB"/>
    <w:rsid w:val="001B050D"/>
    <w:rsid w:val="001B0549"/>
    <w:rsid w:val="001B09AB"/>
    <w:rsid w:val="001B09BE"/>
    <w:rsid w:val="001B0ABD"/>
    <w:rsid w:val="001B0D0C"/>
    <w:rsid w:val="001B0E90"/>
    <w:rsid w:val="001B0E9D"/>
    <w:rsid w:val="001B1083"/>
    <w:rsid w:val="001B12EF"/>
    <w:rsid w:val="001B12F5"/>
    <w:rsid w:val="001B1575"/>
    <w:rsid w:val="001B1592"/>
    <w:rsid w:val="001B16DD"/>
    <w:rsid w:val="001B17FE"/>
    <w:rsid w:val="001B1BA1"/>
    <w:rsid w:val="001B1F6E"/>
    <w:rsid w:val="001B1FCE"/>
    <w:rsid w:val="001B2255"/>
    <w:rsid w:val="001B23B4"/>
    <w:rsid w:val="001B25C2"/>
    <w:rsid w:val="001B28FB"/>
    <w:rsid w:val="001B2ECB"/>
    <w:rsid w:val="001B2EF1"/>
    <w:rsid w:val="001B2F0A"/>
    <w:rsid w:val="001B306B"/>
    <w:rsid w:val="001B3135"/>
    <w:rsid w:val="001B33A2"/>
    <w:rsid w:val="001B346C"/>
    <w:rsid w:val="001B34C2"/>
    <w:rsid w:val="001B36EB"/>
    <w:rsid w:val="001B3783"/>
    <w:rsid w:val="001B37BE"/>
    <w:rsid w:val="001B3951"/>
    <w:rsid w:val="001B3A4A"/>
    <w:rsid w:val="001B40F6"/>
    <w:rsid w:val="001B4320"/>
    <w:rsid w:val="001B43A0"/>
    <w:rsid w:val="001B443F"/>
    <w:rsid w:val="001B4458"/>
    <w:rsid w:val="001B4486"/>
    <w:rsid w:val="001B4619"/>
    <w:rsid w:val="001B4687"/>
    <w:rsid w:val="001B4745"/>
    <w:rsid w:val="001B489D"/>
    <w:rsid w:val="001B4942"/>
    <w:rsid w:val="001B4EB3"/>
    <w:rsid w:val="001B5166"/>
    <w:rsid w:val="001B51B3"/>
    <w:rsid w:val="001B51DD"/>
    <w:rsid w:val="001B52E7"/>
    <w:rsid w:val="001B5476"/>
    <w:rsid w:val="001B593F"/>
    <w:rsid w:val="001B59BB"/>
    <w:rsid w:val="001B59E2"/>
    <w:rsid w:val="001B5B6E"/>
    <w:rsid w:val="001B5CAD"/>
    <w:rsid w:val="001B5EE6"/>
    <w:rsid w:val="001B5F51"/>
    <w:rsid w:val="001B61E8"/>
    <w:rsid w:val="001B639B"/>
    <w:rsid w:val="001B63F8"/>
    <w:rsid w:val="001B664E"/>
    <w:rsid w:val="001B6C1C"/>
    <w:rsid w:val="001B6C34"/>
    <w:rsid w:val="001B6CC1"/>
    <w:rsid w:val="001B6DE5"/>
    <w:rsid w:val="001B6F3C"/>
    <w:rsid w:val="001B700E"/>
    <w:rsid w:val="001B7138"/>
    <w:rsid w:val="001B7224"/>
    <w:rsid w:val="001B7304"/>
    <w:rsid w:val="001B7417"/>
    <w:rsid w:val="001B767D"/>
    <w:rsid w:val="001B79C9"/>
    <w:rsid w:val="001C0066"/>
    <w:rsid w:val="001C07D3"/>
    <w:rsid w:val="001C087F"/>
    <w:rsid w:val="001C0A76"/>
    <w:rsid w:val="001C0B9F"/>
    <w:rsid w:val="001C0D3C"/>
    <w:rsid w:val="001C0DBB"/>
    <w:rsid w:val="001C0E99"/>
    <w:rsid w:val="001C0FEC"/>
    <w:rsid w:val="001C12A0"/>
    <w:rsid w:val="001C156E"/>
    <w:rsid w:val="001C1620"/>
    <w:rsid w:val="001C178D"/>
    <w:rsid w:val="001C1891"/>
    <w:rsid w:val="001C1930"/>
    <w:rsid w:val="001C1A55"/>
    <w:rsid w:val="001C1B98"/>
    <w:rsid w:val="001C1BF8"/>
    <w:rsid w:val="001C1C25"/>
    <w:rsid w:val="001C206E"/>
    <w:rsid w:val="001C229C"/>
    <w:rsid w:val="001C258A"/>
    <w:rsid w:val="001C26C9"/>
    <w:rsid w:val="001C283D"/>
    <w:rsid w:val="001C296F"/>
    <w:rsid w:val="001C2D13"/>
    <w:rsid w:val="001C2D33"/>
    <w:rsid w:val="001C2DF0"/>
    <w:rsid w:val="001C2E80"/>
    <w:rsid w:val="001C2F24"/>
    <w:rsid w:val="001C2F3D"/>
    <w:rsid w:val="001C319A"/>
    <w:rsid w:val="001C3333"/>
    <w:rsid w:val="001C34AD"/>
    <w:rsid w:val="001C34F7"/>
    <w:rsid w:val="001C382F"/>
    <w:rsid w:val="001C39EA"/>
    <w:rsid w:val="001C3A27"/>
    <w:rsid w:val="001C3A55"/>
    <w:rsid w:val="001C3B1E"/>
    <w:rsid w:val="001C3C34"/>
    <w:rsid w:val="001C3C8B"/>
    <w:rsid w:val="001C3D4E"/>
    <w:rsid w:val="001C3DC8"/>
    <w:rsid w:val="001C3F45"/>
    <w:rsid w:val="001C4168"/>
    <w:rsid w:val="001C4450"/>
    <w:rsid w:val="001C4475"/>
    <w:rsid w:val="001C4598"/>
    <w:rsid w:val="001C463A"/>
    <w:rsid w:val="001C4670"/>
    <w:rsid w:val="001C50D2"/>
    <w:rsid w:val="001C51C7"/>
    <w:rsid w:val="001C52C1"/>
    <w:rsid w:val="001C56F5"/>
    <w:rsid w:val="001C5C71"/>
    <w:rsid w:val="001C66C3"/>
    <w:rsid w:val="001C6743"/>
    <w:rsid w:val="001C6857"/>
    <w:rsid w:val="001C69B9"/>
    <w:rsid w:val="001C6A83"/>
    <w:rsid w:val="001C6ACE"/>
    <w:rsid w:val="001C6B42"/>
    <w:rsid w:val="001C700E"/>
    <w:rsid w:val="001C7026"/>
    <w:rsid w:val="001C7388"/>
    <w:rsid w:val="001C74DC"/>
    <w:rsid w:val="001C7594"/>
    <w:rsid w:val="001C7714"/>
    <w:rsid w:val="001C7908"/>
    <w:rsid w:val="001C7B37"/>
    <w:rsid w:val="001C7E43"/>
    <w:rsid w:val="001D0521"/>
    <w:rsid w:val="001D057F"/>
    <w:rsid w:val="001D05CE"/>
    <w:rsid w:val="001D0690"/>
    <w:rsid w:val="001D0833"/>
    <w:rsid w:val="001D0945"/>
    <w:rsid w:val="001D0A70"/>
    <w:rsid w:val="001D0DAC"/>
    <w:rsid w:val="001D0E6E"/>
    <w:rsid w:val="001D0E9D"/>
    <w:rsid w:val="001D11B1"/>
    <w:rsid w:val="001D1338"/>
    <w:rsid w:val="001D14F8"/>
    <w:rsid w:val="001D157B"/>
    <w:rsid w:val="001D15CB"/>
    <w:rsid w:val="001D1741"/>
    <w:rsid w:val="001D1777"/>
    <w:rsid w:val="001D177E"/>
    <w:rsid w:val="001D17C2"/>
    <w:rsid w:val="001D199C"/>
    <w:rsid w:val="001D1B31"/>
    <w:rsid w:val="001D1D29"/>
    <w:rsid w:val="001D1FAC"/>
    <w:rsid w:val="001D212E"/>
    <w:rsid w:val="001D238C"/>
    <w:rsid w:val="001D23BD"/>
    <w:rsid w:val="001D27D8"/>
    <w:rsid w:val="001D291D"/>
    <w:rsid w:val="001D2C79"/>
    <w:rsid w:val="001D3012"/>
    <w:rsid w:val="001D3261"/>
    <w:rsid w:val="001D3328"/>
    <w:rsid w:val="001D33AF"/>
    <w:rsid w:val="001D353E"/>
    <w:rsid w:val="001D3606"/>
    <w:rsid w:val="001D3625"/>
    <w:rsid w:val="001D37AB"/>
    <w:rsid w:val="001D38F3"/>
    <w:rsid w:val="001D3983"/>
    <w:rsid w:val="001D3BB0"/>
    <w:rsid w:val="001D3D14"/>
    <w:rsid w:val="001D3E10"/>
    <w:rsid w:val="001D3E99"/>
    <w:rsid w:val="001D3FA9"/>
    <w:rsid w:val="001D403C"/>
    <w:rsid w:val="001D413E"/>
    <w:rsid w:val="001D451E"/>
    <w:rsid w:val="001D472F"/>
    <w:rsid w:val="001D499D"/>
    <w:rsid w:val="001D49D1"/>
    <w:rsid w:val="001D4A02"/>
    <w:rsid w:val="001D4A0C"/>
    <w:rsid w:val="001D4A5A"/>
    <w:rsid w:val="001D4ABB"/>
    <w:rsid w:val="001D4DFD"/>
    <w:rsid w:val="001D4FCE"/>
    <w:rsid w:val="001D502F"/>
    <w:rsid w:val="001D5082"/>
    <w:rsid w:val="001D5167"/>
    <w:rsid w:val="001D5184"/>
    <w:rsid w:val="001D53AA"/>
    <w:rsid w:val="001D541A"/>
    <w:rsid w:val="001D5487"/>
    <w:rsid w:val="001D55D1"/>
    <w:rsid w:val="001D55EF"/>
    <w:rsid w:val="001D5656"/>
    <w:rsid w:val="001D5694"/>
    <w:rsid w:val="001D5883"/>
    <w:rsid w:val="001D59A1"/>
    <w:rsid w:val="001D59DE"/>
    <w:rsid w:val="001D5A4C"/>
    <w:rsid w:val="001D5A81"/>
    <w:rsid w:val="001D5C5E"/>
    <w:rsid w:val="001D5D08"/>
    <w:rsid w:val="001D5D14"/>
    <w:rsid w:val="001D5DDE"/>
    <w:rsid w:val="001D5ED1"/>
    <w:rsid w:val="001D5FF5"/>
    <w:rsid w:val="001D6108"/>
    <w:rsid w:val="001D654C"/>
    <w:rsid w:val="001D6589"/>
    <w:rsid w:val="001D65C0"/>
    <w:rsid w:val="001D68D0"/>
    <w:rsid w:val="001D6E6B"/>
    <w:rsid w:val="001D6F77"/>
    <w:rsid w:val="001D6FE8"/>
    <w:rsid w:val="001D700A"/>
    <w:rsid w:val="001D7269"/>
    <w:rsid w:val="001D7588"/>
    <w:rsid w:val="001D7750"/>
    <w:rsid w:val="001D77A6"/>
    <w:rsid w:val="001D78C8"/>
    <w:rsid w:val="001D7964"/>
    <w:rsid w:val="001D7996"/>
    <w:rsid w:val="001D7A7D"/>
    <w:rsid w:val="001D7B07"/>
    <w:rsid w:val="001D7D4A"/>
    <w:rsid w:val="001D7DC8"/>
    <w:rsid w:val="001D7DEB"/>
    <w:rsid w:val="001D7F7C"/>
    <w:rsid w:val="001E0015"/>
    <w:rsid w:val="001E02EC"/>
    <w:rsid w:val="001E031E"/>
    <w:rsid w:val="001E0488"/>
    <w:rsid w:val="001E05B7"/>
    <w:rsid w:val="001E05CD"/>
    <w:rsid w:val="001E07D5"/>
    <w:rsid w:val="001E084B"/>
    <w:rsid w:val="001E0971"/>
    <w:rsid w:val="001E0A01"/>
    <w:rsid w:val="001E0D79"/>
    <w:rsid w:val="001E0E84"/>
    <w:rsid w:val="001E0F9B"/>
    <w:rsid w:val="001E1333"/>
    <w:rsid w:val="001E1365"/>
    <w:rsid w:val="001E13BC"/>
    <w:rsid w:val="001E14C6"/>
    <w:rsid w:val="001E156B"/>
    <w:rsid w:val="001E16AE"/>
    <w:rsid w:val="001E1799"/>
    <w:rsid w:val="001E1BFC"/>
    <w:rsid w:val="001E1C6C"/>
    <w:rsid w:val="001E1F32"/>
    <w:rsid w:val="001E213B"/>
    <w:rsid w:val="001E22B6"/>
    <w:rsid w:val="001E248D"/>
    <w:rsid w:val="001E2539"/>
    <w:rsid w:val="001E2582"/>
    <w:rsid w:val="001E25B2"/>
    <w:rsid w:val="001E2749"/>
    <w:rsid w:val="001E28FC"/>
    <w:rsid w:val="001E2920"/>
    <w:rsid w:val="001E297B"/>
    <w:rsid w:val="001E2A6D"/>
    <w:rsid w:val="001E2AEE"/>
    <w:rsid w:val="001E2C2E"/>
    <w:rsid w:val="001E30D1"/>
    <w:rsid w:val="001E3125"/>
    <w:rsid w:val="001E3283"/>
    <w:rsid w:val="001E329C"/>
    <w:rsid w:val="001E3484"/>
    <w:rsid w:val="001E3599"/>
    <w:rsid w:val="001E3642"/>
    <w:rsid w:val="001E369E"/>
    <w:rsid w:val="001E3C69"/>
    <w:rsid w:val="001E3C84"/>
    <w:rsid w:val="001E3CFA"/>
    <w:rsid w:val="001E3D1E"/>
    <w:rsid w:val="001E3EA1"/>
    <w:rsid w:val="001E3EBD"/>
    <w:rsid w:val="001E3ED9"/>
    <w:rsid w:val="001E3FCB"/>
    <w:rsid w:val="001E4059"/>
    <w:rsid w:val="001E422F"/>
    <w:rsid w:val="001E4486"/>
    <w:rsid w:val="001E44D4"/>
    <w:rsid w:val="001E47DF"/>
    <w:rsid w:val="001E47F2"/>
    <w:rsid w:val="001E48DA"/>
    <w:rsid w:val="001E4AB0"/>
    <w:rsid w:val="001E4B1D"/>
    <w:rsid w:val="001E52C4"/>
    <w:rsid w:val="001E5449"/>
    <w:rsid w:val="001E5B4B"/>
    <w:rsid w:val="001E5B88"/>
    <w:rsid w:val="001E5D53"/>
    <w:rsid w:val="001E6514"/>
    <w:rsid w:val="001E6566"/>
    <w:rsid w:val="001E6963"/>
    <w:rsid w:val="001E6B52"/>
    <w:rsid w:val="001E6B55"/>
    <w:rsid w:val="001E6BE4"/>
    <w:rsid w:val="001E6C21"/>
    <w:rsid w:val="001E6CC0"/>
    <w:rsid w:val="001E6D20"/>
    <w:rsid w:val="001E6E68"/>
    <w:rsid w:val="001E6E9A"/>
    <w:rsid w:val="001E700E"/>
    <w:rsid w:val="001E711E"/>
    <w:rsid w:val="001E71BD"/>
    <w:rsid w:val="001E71EC"/>
    <w:rsid w:val="001E7228"/>
    <w:rsid w:val="001E7298"/>
    <w:rsid w:val="001E7409"/>
    <w:rsid w:val="001E776C"/>
    <w:rsid w:val="001E77D9"/>
    <w:rsid w:val="001E7830"/>
    <w:rsid w:val="001E79DA"/>
    <w:rsid w:val="001E7AFC"/>
    <w:rsid w:val="001E7D19"/>
    <w:rsid w:val="001E7D44"/>
    <w:rsid w:val="001E7F44"/>
    <w:rsid w:val="001F007F"/>
    <w:rsid w:val="001F015C"/>
    <w:rsid w:val="001F0387"/>
    <w:rsid w:val="001F044B"/>
    <w:rsid w:val="001F04B2"/>
    <w:rsid w:val="001F0501"/>
    <w:rsid w:val="001F06EF"/>
    <w:rsid w:val="001F0AE9"/>
    <w:rsid w:val="001F0D07"/>
    <w:rsid w:val="001F0E21"/>
    <w:rsid w:val="001F1787"/>
    <w:rsid w:val="001F1861"/>
    <w:rsid w:val="001F1A13"/>
    <w:rsid w:val="001F1D7F"/>
    <w:rsid w:val="001F1F69"/>
    <w:rsid w:val="001F20EA"/>
    <w:rsid w:val="001F2130"/>
    <w:rsid w:val="001F217D"/>
    <w:rsid w:val="001F218B"/>
    <w:rsid w:val="001F2564"/>
    <w:rsid w:val="001F26E5"/>
    <w:rsid w:val="001F280F"/>
    <w:rsid w:val="001F2A37"/>
    <w:rsid w:val="001F2A48"/>
    <w:rsid w:val="001F2A8E"/>
    <w:rsid w:val="001F2B7F"/>
    <w:rsid w:val="001F2E03"/>
    <w:rsid w:val="001F2E2B"/>
    <w:rsid w:val="001F30A0"/>
    <w:rsid w:val="001F30E7"/>
    <w:rsid w:val="001F32F7"/>
    <w:rsid w:val="001F33F5"/>
    <w:rsid w:val="001F3968"/>
    <w:rsid w:val="001F3B97"/>
    <w:rsid w:val="001F3BA9"/>
    <w:rsid w:val="001F3C1B"/>
    <w:rsid w:val="001F3C3B"/>
    <w:rsid w:val="001F3E06"/>
    <w:rsid w:val="001F3ED5"/>
    <w:rsid w:val="001F41EA"/>
    <w:rsid w:val="001F41F2"/>
    <w:rsid w:val="001F4484"/>
    <w:rsid w:val="001F44ED"/>
    <w:rsid w:val="001F466B"/>
    <w:rsid w:val="001F471C"/>
    <w:rsid w:val="001F488E"/>
    <w:rsid w:val="001F491C"/>
    <w:rsid w:val="001F4A30"/>
    <w:rsid w:val="001F4BD8"/>
    <w:rsid w:val="001F4C20"/>
    <w:rsid w:val="001F4DDE"/>
    <w:rsid w:val="001F4E62"/>
    <w:rsid w:val="001F4E8D"/>
    <w:rsid w:val="001F4EC8"/>
    <w:rsid w:val="001F5895"/>
    <w:rsid w:val="001F5898"/>
    <w:rsid w:val="001F58B5"/>
    <w:rsid w:val="001F5EEE"/>
    <w:rsid w:val="001F5F41"/>
    <w:rsid w:val="001F6107"/>
    <w:rsid w:val="001F6270"/>
    <w:rsid w:val="001F630D"/>
    <w:rsid w:val="001F691E"/>
    <w:rsid w:val="001F698E"/>
    <w:rsid w:val="001F6B48"/>
    <w:rsid w:val="001F6B6C"/>
    <w:rsid w:val="001F6B87"/>
    <w:rsid w:val="001F6D7C"/>
    <w:rsid w:val="001F6D7D"/>
    <w:rsid w:val="001F6E78"/>
    <w:rsid w:val="001F6E85"/>
    <w:rsid w:val="001F7018"/>
    <w:rsid w:val="001F714A"/>
    <w:rsid w:val="001F7279"/>
    <w:rsid w:val="001F729E"/>
    <w:rsid w:val="001F75D5"/>
    <w:rsid w:val="001F765F"/>
    <w:rsid w:val="001F7761"/>
    <w:rsid w:val="001F796A"/>
    <w:rsid w:val="001F7990"/>
    <w:rsid w:val="001F7D40"/>
    <w:rsid w:val="001F7DEB"/>
    <w:rsid w:val="001F7E4A"/>
    <w:rsid w:val="001F7EDA"/>
    <w:rsid w:val="001F7EFB"/>
    <w:rsid w:val="001F7FA9"/>
    <w:rsid w:val="001F7FB7"/>
    <w:rsid w:val="002000B0"/>
    <w:rsid w:val="002001D8"/>
    <w:rsid w:val="002003E6"/>
    <w:rsid w:val="00200425"/>
    <w:rsid w:val="002006CF"/>
    <w:rsid w:val="00200740"/>
    <w:rsid w:val="0020078B"/>
    <w:rsid w:val="002007AA"/>
    <w:rsid w:val="00200844"/>
    <w:rsid w:val="00200D2F"/>
    <w:rsid w:val="00200D47"/>
    <w:rsid w:val="00200D89"/>
    <w:rsid w:val="00200E08"/>
    <w:rsid w:val="00201786"/>
    <w:rsid w:val="002017E9"/>
    <w:rsid w:val="002018C8"/>
    <w:rsid w:val="00201945"/>
    <w:rsid w:val="00201B33"/>
    <w:rsid w:val="00201EB8"/>
    <w:rsid w:val="00201FFF"/>
    <w:rsid w:val="00202049"/>
    <w:rsid w:val="0020206E"/>
    <w:rsid w:val="002021BA"/>
    <w:rsid w:val="0020237E"/>
    <w:rsid w:val="00202485"/>
    <w:rsid w:val="002024AE"/>
    <w:rsid w:val="00202AD3"/>
    <w:rsid w:val="00202C8C"/>
    <w:rsid w:val="00202CD1"/>
    <w:rsid w:val="00203294"/>
    <w:rsid w:val="00203394"/>
    <w:rsid w:val="002035B0"/>
    <w:rsid w:val="00203879"/>
    <w:rsid w:val="00203986"/>
    <w:rsid w:val="002039E2"/>
    <w:rsid w:val="00203B58"/>
    <w:rsid w:val="00203CB1"/>
    <w:rsid w:val="00203CC8"/>
    <w:rsid w:val="00203D97"/>
    <w:rsid w:val="00203E35"/>
    <w:rsid w:val="00203E3C"/>
    <w:rsid w:val="00203F68"/>
    <w:rsid w:val="002040F6"/>
    <w:rsid w:val="00204201"/>
    <w:rsid w:val="002042B2"/>
    <w:rsid w:val="00204310"/>
    <w:rsid w:val="0020470D"/>
    <w:rsid w:val="002047B6"/>
    <w:rsid w:val="002048BB"/>
    <w:rsid w:val="00204964"/>
    <w:rsid w:val="00204AAD"/>
    <w:rsid w:val="00204AB7"/>
    <w:rsid w:val="00204C0A"/>
    <w:rsid w:val="00204C83"/>
    <w:rsid w:val="00204D45"/>
    <w:rsid w:val="00204D6E"/>
    <w:rsid w:val="00204E3D"/>
    <w:rsid w:val="00205197"/>
    <w:rsid w:val="002051BD"/>
    <w:rsid w:val="00205354"/>
    <w:rsid w:val="0020564B"/>
    <w:rsid w:val="0020567D"/>
    <w:rsid w:val="00205891"/>
    <w:rsid w:val="00205BCB"/>
    <w:rsid w:val="00205CB6"/>
    <w:rsid w:val="00205CBF"/>
    <w:rsid w:val="00205E59"/>
    <w:rsid w:val="002062D7"/>
    <w:rsid w:val="002063F3"/>
    <w:rsid w:val="002064F8"/>
    <w:rsid w:val="002066B4"/>
    <w:rsid w:val="00206AD6"/>
    <w:rsid w:val="00206B45"/>
    <w:rsid w:val="00206D12"/>
    <w:rsid w:val="00206F65"/>
    <w:rsid w:val="00206F8E"/>
    <w:rsid w:val="002070B6"/>
    <w:rsid w:val="002072A5"/>
    <w:rsid w:val="002072C2"/>
    <w:rsid w:val="0020730D"/>
    <w:rsid w:val="0020779C"/>
    <w:rsid w:val="00207C4B"/>
    <w:rsid w:val="00207CCE"/>
    <w:rsid w:val="00207DEB"/>
    <w:rsid w:val="00207EFB"/>
    <w:rsid w:val="00207F0A"/>
    <w:rsid w:val="002101BB"/>
    <w:rsid w:val="002105F3"/>
    <w:rsid w:val="002107EE"/>
    <w:rsid w:val="002108AC"/>
    <w:rsid w:val="00210A23"/>
    <w:rsid w:val="00210BA3"/>
    <w:rsid w:val="00210F19"/>
    <w:rsid w:val="00211099"/>
    <w:rsid w:val="0021122B"/>
    <w:rsid w:val="002115B9"/>
    <w:rsid w:val="002116F1"/>
    <w:rsid w:val="002117F3"/>
    <w:rsid w:val="002118A9"/>
    <w:rsid w:val="00211974"/>
    <w:rsid w:val="00211CA0"/>
    <w:rsid w:val="00211EB1"/>
    <w:rsid w:val="00212035"/>
    <w:rsid w:val="0021230D"/>
    <w:rsid w:val="00212621"/>
    <w:rsid w:val="00212AAB"/>
    <w:rsid w:val="00212FCA"/>
    <w:rsid w:val="002133EC"/>
    <w:rsid w:val="002133F6"/>
    <w:rsid w:val="0021361C"/>
    <w:rsid w:val="0021397E"/>
    <w:rsid w:val="00213ABE"/>
    <w:rsid w:val="00213C99"/>
    <w:rsid w:val="00213CD4"/>
    <w:rsid w:val="00213F31"/>
    <w:rsid w:val="00214138"/>
    <w:rsid w:val="0021450F"/>
    <w:rsid w:val="00214638"/>
    <w:rsid w:val="00214732"/>
    <w:rsid w:val="0021491C"/>
    <w:rsid w:val="00214B1B"/>
    <w:rsid w:val="00214D5E"/>
    <w:rsid w:val="00214EA3"/>
    <w:rsid w:val="00214F35"/>
    <w:rsid w:val="00214F7A"/>
    <w:rsid w:val="00215152"/>
    <w:rsid w:val="002152D1"/>
    <w:rsid w:val="00215449"/>
    <w:rsid w:val="0021559F"/>
    <w:rsid w:val="00215C2F"/>
    <w:rsid w:val="00215FE8"/>
    <w:rsid w:val="00216232"/>
    <w:rsid w:val="002162D6"/>
    <w:rsid w:val="0021630F"/>
    <w:rsid w:val="0021653D"/>
    <w:rsid w:val="0021655A"/>
    <w:rsid w:val="002166F0"/>
    <w:rsid w:val="0021679E"/>
    <w:rsid w:val="0021679F"/>
    <w:rsid w:val="002168F5"/>
    <w:rsid w:val="00216930"/>
    <w:rsid w:val="0021693B"/>
    <w:rsid w:val="0021697F"/>
    <w:rsid w:val="00216C7D"/>
    <w:rsid w:val="00216DA1"/>
    <w:rsid w:val="002172A8"/>
    <w:rsid w:val="0021736C"/>
    <w:rsid w:val="00217676"/>
    <w:rsid w:val="0021778A"/>
    <w:rsid w:val="0021796F"/>
    <w:rsid w:val="00217A1F"/>
    <w:rsid w:val="002201F8"/>
    <w:rsid w:val="0022030D"/>
    <w:rsid w:val="002207EC"/>
    <w:rsid w:val="00220922"/>
    <w:rsid w:val="00220A1B"/>
    <w:rsid w:val="00220B11"/>
    <w:rsid w:val="00220F4D"/>
    <w:rsid w:val="00220F78"/>
    <w:rsid w:val="0022102C"/>
    <w:rsid w:val="002212BC"/>
    <w:rsid w:val="002213AB"/>
    <w:rsid w:val="002213ED"/>
    <w:rsid w:val="00221500"/>
    <w:rsid w:val="0022182F"/>
    <w:rsid w:val="00221AF7"/>
    <w:rsid w:val="00221B08"/>
    <w:rsid w:val="00221B95"/>
    <w:rsid w:val="00221F24"/>
    <w:rsid w:val="002222EB"/>
    <w:rsid w:val="00222335"/>
    <w:rsid w:val="00222475"/>
    <w:rsid w:val="0022272A"/>
    <w:rsid w:val="0022276D"/>
    <w:rsid w:val="002227D1"/>
    <w:rsid w:val="00222A01"/>
    <w:rsid w:val="00222A13"/>
    <w:rsid w:val="00222B24"/>
    <w:rsid w:val="00222C30"/>
    <w:rsid w:val="00222C4F"/>
    <w:rsid w:val="00222C7D"/>
    <w:rsid w:val="00222C8A"/>
    <w:rsid w:val="0022300C"/>
    <w:rsid w:val="002230AC"/>
    <w:rsid w:val="002230C7"/>
    <w:rsid w:val="002231B6"/>
    <w:rsid w:val="002232A4"/>
    <w:rsid w:val="00223911"/>
    <w:rsid w:val="00223ACB"/>
    <w:rsid w:val="00223AD4"/>
    <w:rsid w:val="00223DE6"/>
    <w:rsid w:val="00223E1C"/>
    <w:rsid w:val="00224264"/>
    <w:rsid w:val="00224418"/>
    <w:rsid w:val="002244E4"/>
    <w:rsid w:val="00224560"/>
    <w:rsid w:val="00224586"/>
    <w:rsid w:val="002245D7"/>
    <w:rsid w:val="002247F6"/>
    <w:rsid w:val="00224943"/>
    <w:rsid w:val="0022494C"/>
    <w:rsid w:val="00224E41"/>
    <w:rsid w:val="00224EF6"/>
    <w:rsid w:val="00224F6F"/>
    <w:rsid w:val="0022506A"/>
    <w:rsid w:val="0022509D"/>
    <w:rsid w:val="00225108"/>
    <w:rsid w:val="002251D4"/>
    <w:rsid w:val="0022520B"/>
    <w:rsid w:val="00225238"/>
    <w:rsid w:val="002253D5"/>
    <w:rsid w:val="0022541D"/>
    <w:rsid w:val="00225478"/>
    <w:rsid w:val="002256F7"/>
    <w:rsid w:val="002257FD"/>
    <w:rsid w:val="00225906"/>
    <w:rsid w:val="00225CF4"/>
    <w:rsid w:val="002262C1"/>
    <w:rsid w:val="00226481"/>
    <w:rsid w:val="002265EC"/>
    <w:rsid w:val="0022672C"/>
    <w:rsid w:val="00226B1A"/>
    <w:rsid w:val="00226B95"/>
    <w:rsid w:val="00226BC8"/>
    <w:rsid w:val="00226CD9"/>
    <w:rsid w:val="00226F1E"/>
    <w:rsid w:val="00226F37"/>
    <w:rsid w:val="00226F65"/>
    <w:rsid w:val="00227272"/>
    <w:rsid w:val="002273E8"/>
    <w:rsid w:val="00227423"/>
    <w:rsid w:val="00227590"/>
    <w:rsid w:val="002275DF"/>
    <w:rsid w:val="002276AD"/>
    <w:rsid w:val="00227A21"/>
    <w:rsid w:val="00227B29"/>
    <w:rsid w:val="00227B90"/>
    <w:rsid w:val="00227BD6"/>
    <w:rsid w:val="00227D58"/>
    <w:rsid w:val="00227E56"/>
    <w:rsid w:val="002301BC"/>
    <w:rsid w:val="0023024E"/>
    <w:rsid w:val="0023076B"/>
    <w:rsid w:val="00230871"/>
    <w:rsid w:val="002309A0"/>
    <w:rsid w:val="00230AA1"/>
    <w:rsid w:val="00230B0E"/>
    <w:rsid w:val="00230C3A"/>
    <w:rsid w:val="00230EC5"/>
    <w:rsid w:val="002310C6"/>
    <w:rsid w:val="0023130A"/>
    <w:rsid w:val="0023140A"/>
    <w:rsid w:val="002315DD"/>
    <w:rsid w:val="00231655"/>
    <w:rsid w:val="00231766"/>
    <w:rsid w:val="002318F4"/>
    <w:rsid w:val="00231D99"/>
    <w:rsid w:val="00231DDB"/>
    <w:rsid w:val="00231DE3"/>
    <w:rsid w:val="00231DEB"/>
    <w:rsid w:val="00231DF5"/>
    <w:rsid w:val="00231E8E"/>
    <w:rsid w:val="00231FF1"/>
    <w:rsid w:val="00232170"/>
    <w:rsid w:val="00232390"/>
    <w:rsid w:val="002324BF"/>
    <w:rsid w:val="0023250D"/>
    <w:rsid w:val="00232554"/>
    <w:rsid w:val="00232692"/>
    <w:rsid w:val="002326B0"/>
    <w:rsid w:val="00232728"/>
    <w:rsid w:val="00232759"/>
    <w:rsid w:val="00232E8A"/>
    <w:rsid w:val="00232EA1"/>
    <w:rsid w:val="00232F54"/>
    <w:rsid w:val="00232F63"/>
    <w:rsid w:val="00233169"/>
    <w:rsid w:val="00233211"/>
    <w:rsid w:val="00233248"/>
    <w:rsid w:val="002333B6"/>
    <w:rsid w:val="00233556"/>
    <w:rsid w:val="0023362D"/>
    <w:rsid w:val="002336DC"/>
    <w:rsid w:val="002338EE"/>
    <w:rsid w:val="00233B68"/>
    <w:rsid w:val="00233D2B"/>
    <w:rsid w:val="002344DD"/>
    <w:rsid w:val="002345CD"/>
    <w:rsid w:val="0023466F"/>
    <w:rsid w:val="0023467C"/>
    <w:rsid w:val="00234834"/>
    <w:rsid w:val="002348CC"/>
    <w:rsid w:val="0023491A"/>
    <w:rsid w:val="0023494B"/>
    <w:rsid w:val="002349CF"/>
    <w:rsid w:val="00234A2B"/>
    <w:rsid w:val="00234A78"/>
    <w:rsid w:val="00234B82"/>
    <w:rsid w:val="00234BF1"/>
    <w:rsid w:val="00234C3B"/>
    <w:rsid w:val="00235065"/>
    <w:rsid w:val="00235144"/>
    <w:rsid w:val="002358EB"/>
    <w:rsid w:val="00235C0B"/>
    <w:rsid w:val="00235D5F"/>
    <w:rsid w:val="00235D87"/>
    <w:rsid w:val="00235D95"/>
    <w:rsid w:val="00235E78"/>
    <w:rsid w:val="0023601B"/>
    <w:rsid w:val="002360D3"/>
    <w:rsid w:val="002363CA"/>
    <w:rsid w:val="002365F8"/>
    <w:rsid w:val="00236641"/>
    <w:rsid w:val="00236779"/>
    <w:rsid w:val="0023689D"/>
    <w:rsid w:val="0023697B"/>
    <w:rsid w:val="002369B6"/>
    <w:rsid w:val="00236A5F"/>
    <w:rsid w:val="00236B47"/>
    <w:rsid w:val="00236F1F"/>
    <w:rsid w:val="00236FC2"/>
    <w:rsid w:val="00237179"/>
    <w:rsid w:val="0023718B"/>
    <w:rsid w:val="00237193"/>
    <w:rsid w:val="002371CE"/>
    <w:rsid w:val="00237484"/>
    <w:rsid w:val="002378B6"/>
    <w:rsid w:val="0023792E"/>
    <w:rsid w:val="00237A3A"/>
    <w:rsid w:val="00237BB5"/>
    <w:rsid w:val="00237C57"/>
    <w:rsid w:val="00237D65"/>
    <w:rsid w:val="00237E59"/>
    <w:rsid w:val="00237F90"/>
    <w:rsid w:val="00240083"/>
    <w:rsid w:val="0024013E"/>
    <w:rsid w:val="002401A3"/>
    <w:rsid w:val="002404A2"/>
    <w:rsid w:val="002407EA"/>
    <w:rsid w:val="00240871"/>
    <w:rsid w:val="002408FD"/>
    <w:rsid w:val="00240962"/>
    <w:rsid w:val="00240A8A"/>
    <w:rsid w:val="00240A91"/>
    <w:rsid w:val="00240B55"/>
    <w:rsid w:val="00240E51"/>
    <w:rsid w:val="00240F94"/>
    <w:rsid w:val="00241160"/>
    <w:rsid w:val="00241279"/>
    <w:rsid w:val="002412B4"/>
    <w:rsid w:val="00241406"/>
    <w:rsid w:val="00241B29"/>
    <w:rsid w:val="00241BB7"/>
    <w:rsid w:val="00241E6B"/>
    <w:rsid w:val="0024256D"/>
    <w:rsid w:val="002426E2"/>
    <w:rsid w:val="00242AE3"/>
    <w:rsid w:val="00242C7C"/>
    <w:rsid w:val="0024313F"/>
    <w:rsid w:val="00243163"/>
    <w:rsid w:val="00243242"/>
    <w:rsid w:val="002432D1"/>
    <w:rsid w:val="00243406"/>
    <w:rsid w:val="0024359E"/>
    <w:rsid w:val="0024374E"/>
    <w:rsid w:val="00243988"/>
    <w:rsid w:val="002439C6"/>
    <w:rsid w:val="00243ECD"/>
    <w:rsid w:val="00243FD8"/>
    <w:rsid w:val="00244006"/>
    <w:rsid w:val="00244063"/>
    <w:rsid w:val="00244096"/>
    <w:rsid w:val="0024440E"/>
    <w:rsid w:val="0024446A"/>
    <w:rsid w:val="00244924"/>
    <w:rsid w:val="00244A61"/>
    <w:rsid w:val="00244C12"/>
    <w:rsid w:val="002451DD"/>
    <w:rsid w:val="00245394"/>
    <w:rsid w:val="002453DC"/>
    <w:rsid w:val="0024567D"/>
    <w:rsid w:val="00245A16"/>
    <w:rsid w:val="00245A5E"/>
    <w:rsid w:val="00245A64"/>
    <w:rsid w:val="00245DB8"/>
    <w:rsid w:val="00245E30"/>
    <w:rsid w:val="00246117"/>
    <w:rsid w:val="002464CB"/>
    <w:rsid w:val="00246895"/>
    <w:rsid w:val="00246960"/>
    <w:rsid w:val="00246C2C"/>
    <w:rsid w:val="00246F66"/>
    <w:rsid w:val="002471BB"/>
    <w:rsid w:val="00247223"/>
    <w:rsid w:val="00247269"/>
    <w:rsid w:val="00247324"/>
    <w:rsid w:val="0024732F"/>
    <w:rsid w:val="002473B9"/>
    <w:rsid w:val="0024743D"/>
    <w:rsid w:val="002475BC"/>
    <w:rsid w:val="002476E2"/>
    <w:rsid w:val="0024793B"/>
    <w:rsid w:val="00247CE4"/>
    <w:rsid w:val="00247D96"/>
    <w:rsid w:val="00247DD1"/>
    <w:rsid w:val="00247DDD"/>
    <w:rsid w:val="00247E62"/>
    <w:rsid w:val="00250296"/>
    <w:rsid w:val="002502FE"/>
    <w:rsid w:val="00250536"/>
    <w:rsid w:val="002505A2"/>
    <w:rsid w:val="002505D1"/>
    <w:rsid w:val="00250699"/>
    <w:rsid w:val="002506AC"/>
    <w:rsid w:val="00250799"/>
    <w:rsid w:val="00250AEB"/>
    <w:rsid w:val="00250C27"/>
    <w:rsid w:val="00250D2C"/>
    <w:rsid w:val="00251109"/>
    <w:rsid w:val="00251284"/>
    <w:rsid w:val="00251818"/>
    <w:rsid w:val="00251898"/>
    <w:rsid w:val="002519E5"/>
    <w:rsid w:val="00251A22"/>
    <w:rsid w:val="00251BFB"/>
    <w:rsid w:val="00251F87"/>
    <w:rsid w:val="0025209E"/>
    <w:rsid w:val="0025217B"/>
    <w:rsid w:val="002521AC"/>
    <w:rsid w:val="002521E3"/>
    <w:rsid w:val="002521FE"/>
    <w:rsid w:val="00252333"/>
    <w:rsid w:val="002524E1"/>
    <w:rsid w:val="0025254B"/>
    <w:rsid w:val="00252602"/>
    <w:rsid w:val="002526D7"/>
    <w:rsid w:val="0025292E"/>
    <w:rsid w:val="00252989"/>
    <w:rsid w:val="00252BC9"/>
    <w:rsid w:val="00252C1B"/>
    <w:rsid w:val="0025304E"/>
    <w:rsid w:val="00253118"/>
    <w:rsid w:val="00253397"/>
    <w:rsid w:val="002533CF"/>
    <w:rsid w:val="00253484"/>
    <w:rsid w:val="00253A90"/>
    <w:rsid w:val="00253C66"/>
    <w:rsid w:val="00253CE7"/>
    <w:rsid w:val="00253D6A"/>
    <w:rsid w:val="00253E6D"/>
    <w:rsid w:val="00253EC1"/>
    <w:rsid w:val="00253FA8"/>
    <w:rsid w:val="0025405C"/>
    <w:rsid w:val="0025416F"/>
    <w:rsid w:val="0025421B"/>
    <w:rsid w:val="002544C7"/>
    <w:rsid w:val="00254572"/>
    <w:rsid w:val="00254966"/>
    <w:rsid w:val="00254ADE"/>
    <w:rsid w:val="00254FF1"/>
    <w:rsid w:val="002550E1"/>
    <w:rsid w:val="00255249"/>
    <w:rsid w:val="002552C8"/>
    <w:rsid w:val="00255495"/>
    <w:rsid w:val="002554F0"/>
    <w:rsid w:val="00255513"/>
    <w:rsid w:val="0025560E"/>
    <w:rsid w:val="0025571F"/>
    <w:rsid w:val="0025584E"/>
    <w:rsid w:val="002559DE"/>
    <w:rsid w:val="00255F64"/>
    <w:rsid w:val="00255F83"/>
    <w:rsid w:val="00255F9D"/>
    <w:rsid w:val="0025635E"/>
    <w:rsid w:val="002565C8"/>
    <w:rsid w:val="00256AA8"/>
    <w:rsid w:val="00256C47"/>
    <w:rsid w:val="00256F83"/>
    <w:rsid w:val="002570CE"/>
    <w:rsid w:val="002571AA"/>
    <w:rsid w:val="0025723F"/>
    <w:rsid w:val="002572F0"/>
    <w:rsid w:val="002575BE"/>
    <w:rsid w:val="00257716"/>
    <w:rsid w:val="0025781D"/>
    <w:rsid w:val="00257BA4"/>
    <w:rsid w:val="00257BAF"/>
    <w:rsid w:val="00257CB2"/>
    <w:rsid w:val="00257D0A"/>
    <w:rsid w:val="0026005A"/>
    <w:rsid w:val="0026008D"/>
    <w:rsid w:val="002601DE"/>
    <w:rsid w:val="002601EE"/>
    <w:rsid w:val="00260314"/>
    <w:rsid w:val="002603EA"/>
    <w:rsid w:val="002609F3"/>
    <w:rsid w:val="00260AC5"/>
    <w:rsid w:val="00260B4F"/>
    <w:rsid w:val="00260B8A"/>
    <w:rsid w:val="00260B9D"/>
    <w:rsid w:val="00260D1D"/>
    <w:rsid w:val="00260F6C"/>
    <w:rsid w:val="00260F80"/>
    <w:rsid w:val="00261035"/>
    <w:rsid w:val="002610F3"/>
    <w:rsid w:val="00261122"/>
    <w:rsid w:val="00261442"/>
    <w:rsid w:val="0026170A"/>
    <w:rsid w:val="00261730"/>
    <w:rsid w:val="0026178B"/>
    <w:rsid w:val="002618CA"/>
    <w:rsid w:val="00261975"/>
    <w:rsid w:val="00261A28"/>
    <w:rsid w:val="00261B13"/>
    <w:rsid w:val="00261B8E"/>
    <w:rsid w:val="00261D50"/>
    <w:rsid w:val="00261D6A"/>
    <w:rsid w:val="00261EBB"/>
    <w:rsid w:val="00261FA1"/>
    <w:rsid w:val="002621ED"/>
    <w:rsid w:val="00262265"/>
    <w:rsid w:val="002625F4"/>
    <w:rsid w:val="00262605"/>
    <w:rsid w:val="00262641"/>
    <w:rsid w:val="002628BE"/>
    <w:rsid w:val="00262BCE"/>
    <w:rsid w:val="00263697"/>
    <w:rsid w:val="002637D9"/>
    <w:rsid w:val="00263804"/>
    <w:rsid w:val="00263965"/>
    <w:rsid w:val="002639C7"/>
    <w:rsid w:val="00263B7C"/>
    <w:rsid w:val="00263C33"/>
    <w:rsid w:val="00263EEB"/>
    <w:rsid w:val="0026412C"/>
    <w:rsid w:val="002645D4"/>
    <w:rsid w:val="002646CB"/>
    <w:rsid w:val="0026476B"/>
    <w:rsid w:val="0026479A"/>
    <w:rsid w:val="00264829"/>
    <w:rsid w:val="002649C4"/>
    <w:rsid w:val="00264AB9"/>
    <w:rsid w:val="00264B19"/>
    <w:rsid w:val="00264C8F"/>
    <w:rsid w:val="00264E61"/>
    <w:rsid w:val="00264EF8"/>
    <w:rsid w:val="00265056"/>
    <w:rsid w:val="0026508B"/>
    <w:rsid w:val="00265115"/>
    <w:rsid w:val="002651F1"/>
    <w:rsid w:val="00265218"/>
    <w:rsid w:val="002653E3"/>
    <w:rsid w:val="002653FE"/>
    <w:rsid w:val="0026546A"/>
    <w:rsid w:val="002654A3"/>
    <w:rsid w:val="0026571C"/>
    <w:rsid w:val="00265BC4"/>
    <w:rsid w:val="00265BC6"/>
    <w:rsid w:val="00265DBF"/>
    <w:rsid w:val="002660A4"/>
    <w:rsid w:val="002660E5"/>
    <w:rsid w:val="00266165"/>
    <w:rsid w:val="002661EA"/>
    <w:rsid w:val="00266376"/>
    <w:rsid w:val="00266547"/>
    <w:rsid w:val="00266588"/>
    <w:rsid w:val="002667C9"/>
    <w:rsid w:val="0026681F"/>
    <w:rsid w:val="0026684E"/>
    <w:rsid w:val="00266A58"/>
    <w:rsid w:val="00266A63"/>
    <w:rsid w:val="00266C5C"/>
    <w:rsid w:val="00266D0E"/>
    <w:rsid w:val="00266E7E"/>
    <w:rsid w:val="0026703C"/>
    <w:rsid w:val="002671AE"/>
    <w:rsid w:val="0026726D"/>
    <w:rsid w:val="00267404"/>
    <w:rsid w:val="0026769D"/>
    <w:rsid w:val="002679EF"/>
    <w:rsid w:val="00267BBA"/>
    <w:rsid w:val="00267CC4"/>
    <w:rsid w:val="00267F6F"/>
    <w:rsid w:val="00270280"/>
    <w:rsid w:val="002702B3"/>
    <w:rsid w:val="002703AB"/>
    <w:rsid w:val="0027058C"/>
    <w:rsid w:val="00270822"/>
    <w:rsid w:val="00270A17"/>
    <w:rsid w:val="00270AD5"/>
    <w:rsid w:val="00270C3F"/>
    <w:rsid w:val="00270E7A"/>
    <w:rsid w:val="00271033"/>
    <w:rsid w:val="0027120B"/>
    <w:rsid w:val="002714D6"/>
    <w:rsid w:val="002716E4"/>
    <w:rsid w:val="002719E8"/>
    <w:rsid w:val="00271A7C"/>
    <w:rsid w:val="00271B12"/>
    <w:rsid w:val="00271D2D"/>
    <w:rsid w:val="00271D8A"/>
    <w:rsid w:val="00271E4C"/>
    <w:rsid w:val="002720D0"/>
    <w:rsid w:val="002725AB"/>
    <w:rsid w:val="00272644"/>
    <w:rsid w:val="00272F45"/>
    <w:rsid w:val="002731C4"/>
    <w:rsid w:val="00273361"/>
    <w:rsid w:val="002734D4"/>
    <w:rsid w:val="0027356F"/>
    <w:rsid w:val="00273627"/>
    <w:rsid w:val="00273A93"/>
    <w:rsid w:val="00273AEE"/>
    <w:rsid w:val="00273D63"/>
    <w:rsid w:val="00273E7D"/>
    <w:rsid w:val="00274115"/>
    <w:rsid w:val="00274306"/>
    <w:rsid w:val="0027434D"/>
    <w:rsid w:val="002743D7"/>
    <w:rsid w:val="002744F4"/>
    <w:rsid w:val="0027453B"/>
    <w:rsid w:val="002747ED"/>
    <w:rsid w:val="00274BA7"/>
    <w:rsid w:val="00274C13"/>
    <w:rsid w:val="00274F78"/>
    <w:rsid w:val="0027504E"/>
    <w:rsid w:val="002750D5"/>
    <w:rsid w:val="002754A8"/>
    <w:rsid w:val="0027557C"/>
    <w:rsid w:val="002755DD"/>
    <w:rsid w:val="002757B8"/>
    <w:rsid w:val="0027592C"/>
    <w:rsid w:val="00275A29"/>
    <w:rsid w:val="00275AB5"/>
    <w:rsid w:val="00275B95"/>
    <w:rsid w:val="00275BB8"/>
    <w:rsid w:val="00275D19"/>
    <w:rsid w:val="00276060"/>
    <w:rsid w:val="002762C3"/>
    <w:rsid w:val="002763AB"/>
    <w:rsid w:val="002766CA"/>
    <w:rsid w:val="0027691D"/>
    <w:rsid w:val="0027692C"/>
    <w:rsid w:val="00276A1D"/>
    <w:rsid w:val="00276A6E"/>
    <w:rsid w:val="00276AA8"/>
    <w:rsid w:val="00276B03"/>
    <w:rsid w:val="00276B20"/>
    <w:rsid w:val="00276CBA"/>
    <w:rsid w:val="00276D0B"/>
    <w:rsid w:val="00276E22"/>
    <w:rsid w:val="0027721C"/>
    <w:rsid w:val="00277932"/>
    <w:rsid w:val="002779A6"/>
    <w:rsid w:val="00277C62"/>
    <w:rsid w:val="002800B4"/>
    <w:rsid w:val="002801BD"/>
    <w:rsid w:val="0028033B"/>
    <w:rsid w:val="00280394"/>
    <w:rsid w:val="002804E7"/>
    <w:rsid w:val="002804ED"/>
    <w:rsid w:val="002804FB"/>
    <w:rsid w:val="00280995"/>
    <w:rsid w:val="00280A4B"/>
    <w:rsid w:val="00280BBA"/>
    <w:rsid w:val="00280C62"/>
    <w:rsid w:val="00280F0E"/>
    <w:rsid w:val="00280F7B"/>
    <w:rsid w:val="0028107D"/>
    <w:rsid w:val="00281151"/>
    <w:rsid w:val="00281274"/>
    <w:rsid w:val="00281355"/>
    <w:rsid w:val="00281390"/>
    <w:rsid w:val="00281433"/>
    <w:rsid w:val="002814C8"/>
    <w:rsid w:val="0028152F"/>
    <w:rsid w:val="00281612"/>
    <w:rsid w:val="00281775"/>
    <w:rsid w:val="002818E8"/>
    <w:rsid w:val="00281A69"/>
    <w:rsid w:val="00281CDB"/>
    <w:rsid w:val="00281FF2"/>
    <w:rsid w:val="0028209B"/>
    <w:rsid w:val="002820EC"/>
    <w:rsid w:val="00282196"/>
    <w:rsid w:val="002822DD"/>
    <w:rsid w:val="00282320"/>
    <w:rsid w:val="002823F3"/>
    <w:rsid w:val="002826BE"/>
    <w:rsid w:val="00282AA9"/>
    <w:rsid w:val="00282C00"/>
    <w:rsid w:val="00282DFB"/>
    <w:rsid w:val="00282FF1"/>
    <w:rsid w:val="00283271"/>
    <w:rsid w:val="00283290"/>
    <w:rsid w:val="002837F6"/>
    <w:rsid w:val="002838A7"/>
    <w:rsid w:val="00283B22"/>
    <w:rsid w:val="00283DC8"/>
    <w:rsid w:val="00283EC5"/>
    <w:rsid w:val="00283EC8"/>
    <w:rsid w:val="00283F7D"/>
    <w:rsid w:val="00283F92"/>
    <w:rsid w:val="002840D9"/>
    <w:rsid w:val="0028414E"/>
    <w:rsid w:val="0028431D"/>
    <w:rsid w:val="002843FB"/>
    <w:rsid w:val="002847E8"/>
    <w:rsid w:val="00284BE7"/>
    <w:rsid w:val="00284C97"/>
    <w:rsid w:val="00284DCF"/>
    <w:rsid w:val="00284E85"/>
    <w:rsid w:val="00285314"/>
    <w:rsid w:val="002854C5"/>
    <w:rsid w:val="002855A2"/>
    <w:rsid w:val="00285646"/>
    <w:rsid w:val="002857E0"/>
    <w:rsid w:val="00285BE2"/>
    <w:rsid w:val="00285C7A"/>
    <w:rsid w:val="00285C8A"/>
    <w:rsid w:val="00285CCF"/>
    <w:rsid w:val="00285F7B"/>
    <w:rsid w:val="002860DE"/>
    <w:rsid w:val="002861A9"/>
    <w:rsid w:val="0028621E"/>
    <w:rsid w:val="0028632C"/>
    <w:rsid w:val="002864C5"/>
    <w:rsid w:val="00286661"/>
    <w:rsid w:val="0028695D"/>
    <w:rsid w:val="0028699E"/>
    <w:rsid w:val="00286AB1"/>
    <w:rsid w:val="00286CF9"/>
    <w:rsid w:val="00286D59"/>
    <w:rsid w:val="00286D5F"/>
    <w:rsid w:val="00286E7F"/>
    <w:rsid w:val="00286F01"/>
    <w:rsid w:val="00286F82"/>
    <w:rsid w:val="00286FD1"/>
    <w:rsid w:val="0028720D"/>
    <w:rsid w:val="002873CE"/>
    <w:rsid w:val="0028763B"/>
    <w:rsid w:val="00287677"/>
    <w:rsid w:val="002876D7"/>
    <w:rsid w:val="002877BE"/>
    <w:rsid w:val="002877D6"/>
    <w:rsid w:val="00287855"/>
    <w:rsid w:val="00287BE3"/>
    <w:rsid w:val="00287C18"/>
    <w:rsid w:val="00287D97"/>
    <w:rsid w:val="00287F55"/>
    <w:rsid w:val="00287F5D"/>
    <w:rsid w:val="00287F6A"/>
    <w:rsid w:val="00290074"/>
    <w:rsid w:val="00290103"/>
    <w:rsid w:val="0029027F"/>
    <w:rsid w:val="00290283"/>
    <w:rsid w:val="00290285"/>
    <w:rsid w:val="00290386"/>
    <w:rsid w:val="002904C8"/>
    <w:rsid w:val="002905BC"/>
    <w:rsid w:val="00290692"/>
    <w:rsid w:val="002907BF"/>
    <w:rsid w:val="002907C3"/>
    <w:rsid w:val="002909AC"/>
    <w:rsid w:val="00290A56"/>
    <w:rsid w:val="00290A64"/>
    <w:rsid w:val="00290A65"/>
    <w:rsid w:val="00290ACB"/>
    <w:rsid w:val="00290DC9"/>
    <w:rsid w:val="00291136"/>
    <w:rsid w:val="00291341"/>
    <w:rsid w:val="00291730"/>
    <w:rsid w:val="00291B18"/>
    <w:rsid w:val="00291C52"/>
    <w:rsid w:val="00291D04"/>
    <w:rsid w:val="00291F05"/>
    <w:rsid w:val="00292026"/>
    <w:rsid w:val="0029216D"/>
    <w:rsid w:val="0029235F"/>
    <w:rsid w:val="002925DC"/>
    <w:rsid w:val="002929E7"/>
    <w:rsid w:val="00292A09"/>
    <w:rsid w:val="00292B8E"/>
    <w:rsid w:val="00292C7B"/>
    <w:rsid w:val="00292C86"/>
    <w:rsid w:val="00292D47"/>
    <w:rsid w:val="00292D6E"/>
    <w:rsid w:val="00293207"/>
    <w:rsid w:val="0029321E"/>
    <w:rsid w:val="002933BB"/>
    <w:rsid w:val="002939EC"/>
    <w:rsid w:val="00293A6B"/>
    <w:rsid w:val="00293DE1"/>
    <w:rsid w:val="00293E79"/>
    <w:rsid w:val="00293F79"/>
    <w:rsid w:val="0029400D"/>
    <w:rsid w:val="0029401D"/>
    <w:rsid w:val="0029402F"/>
    <w:rsid w:val="0029407F"/>
    <w:rsid w:val="0029425A"/>
    <w:rsid w:val="0029442C"/>
    <w:rsid w:val="0029449F"/>
    <w:rsid w:val="002944A3"/>
    <w:rsid w:val="002944B2"/>
    <w:rsid w:val="00294924"/>
    <w:rsid w:val="00294AC7"/>
    <w:rsid w:val="00294ADC"/>
    <w:rsid w:val="00294BB0"/>
    <w:rsid w:val="00294BCD"/>
    <w:rsid w:val="00294C9C"/>
    <w:rsid w:val="00294DB9"/>
    <w:rsid w:val="002950B8"/>
    <w:rsid w:val="002950D4"/>
    <w:rsid w:val="002952AD"/>
    <w:rsid w:val="00295614"/>
    <w:rsid w:val="00295789"/>
    <w:rsid w:val="00295A3C"/>
    <w:rsid w:val="00295AEC"/>
    <w:rsid w:val="00295B37"/>
    <w:rsid w:val="00295C2D"/>
    <w:rsid w:val="00295D9F"/>
    <w:rsid w:val="00295F54"/>
    <w:rsid w:val="00295F9A"/>
    <w:rsid w:val="00295FB7"/>
    <w:rsid w:val="002961C8"/>
    <w:rsid w:val="00296371"/>
    <w:rsid w:val="0029637B"/>
    <w:rsid w:val="00296388"/>
    <w:rsid w:val="00296604"/>
    <w:rsid w:val="00296941"/>
    <w:rsid w:val="00296949"/>
    <w:rsid w:val="00296E7A"/>
    <w:rsid w:val="00297009"/>
    <w:rsid w:val="0029702B"/>
    <w:rsid w:val="00297140"/>
    <w:rsid w:val="00297216"/>
    <w:rsid w:val="00297762"/>
    <w:rsid w:val="002978E7"/>
    <w:rsid w:val="002979CA"/>
    <w:rsid w:val="00297A2D"/>
    <w:rsid w:val="00297D7E"/>
    <w:rsid w:val="00297DA5"/>
    <w:rsid w:val="00297DCB"/>
    <w:rsid w:val="002A03BF"/>
    <w:rsid w:val="002A0749"/>
    <w:rsid w:val="002A0E7B"/>
    <w:rsid w:val="002A1644"/>
    <w:rsid w:val="002A1684"/>
    <w:rsid w:val="002A188C"/>
    <w:rsid w:val="002A18F2"/>
    <w:rsid w:val="002A1AF1"/>
    <w:rsid w:val="002A1B32"/>
    <w:rsid w:val="002A1CBB"/>
    <w:rsid w:val="002A20FB"/>
    <w:rsid w:val="002A226C"/>
    <w:rsid w:val="002A22D2"/>
    <w:rsid w:val="002A230C"/>
    <w:rsid w:val="002A250B"/>
    <w:rsid w:val="002A2ADF"/>
    <w:rsid w:val="002A2C5C"/>
    <w:rsid w:val="002A2CF1"/>
    <w:rsid w:val="002A2D94"/>
    <w:rsid w:val="002A2E0E"/>
    <w:rsid w:val="002A2F83"/>
    <w:rsid w:val="002A303C"/>
    <w:rsid w:val="002A3060"/>
    <w:rsid w:val="002A313F"/>
    <w:rsid w:val="002A33B8"/>
    <w:rsid w:val="002A33FE"/>
    <w:rsid w:val="002A356A"/>
    <w:rsid w:val="002A36BB"/>
    <w:rsid w:val="002A38A0"/>
    <w:rsid w:val="002A390F"/>
    <w:rsid w:val="002A3B16"/>
    <w:rsid w:val="002A3D73"/>
    <w:rsid w:val="002A3EB7"/>
    <w:rsid w:val="002A4AC8"/>
    <w:rsid w:val="002A4E07"/>
    <w:rsid w:val="002A4E60"/>
    <w:rsid w:val="002A4ED9"/>
    <w:rsid w:val="002A4FE8"/>
    <w:rsid w:val="002A5249"/>
    <w:rsid w:val="002A532E"/>
    <w:rsid w:val="002A5346"/>
    <w:rsid w:val="002A5479"/>
    <w:rsid w:val="002A5846"/>
    <w:rsid w:val="002A5A3B"/>
    <w:rsid w:val="002A5AFB"/>
    <w:rsid w:val="002A5B77"/>
    <w:rsid w:val="002A5BD9"/>
    <w:rsid w:val="002A5BE8"/>
    <w:rsid w:val="002A6016"/>
    <w:rsid w:val="002A6026"/>
    <w:rsid w:val="002A6092"/>
    <w:rsid w:val="002A613C"/>
    <w:rsid w:val="002A61E2"/>
    <w:rsid w:val="002A628E"/>
    <w:rsid w:val="002A6291"/>
    <w:rsid w:val="002A62C9"/>
    <w:rsid w:val="002A6372"/>
    <w:rsid w:val="002A63F4"/>
    <w:rsid w:val="002A644C"/>
    <w:rsid w:val="002A652B"/>
    <w:rsid w:val="002A67C8"/>
    <w:rsid w:val="002A68FC"/>
    <w:rsid w:val="002A6B59"/>
    <w:rsid w:val="002A6D36"/>
    <w:rsid w:val="002A6EEF"/>
    <w:rsid w:val="002A6F86"/>
    <w:rsid w:val="002A70E4"/>
    <w:rsid w:val="002A7374"/>
    <w:rsid w:val="002A73A6"/>
    <w:rsid w:val="002A73D7"/>
    <w:rsid w:val="002A73F0"/>
    <w:rsid w:val="002A7C28"/>
    <w:rsid w:val="002A7DDB"/>
    <w:rsid w:val="002B0195"/>
    <w:rsid w:val="002B0208"/>
    <w:rsid w:val="002B0473"/>
    <w:rsid w:val="002B04F2"/>
    <w:rsid w:val="002B04FF"/>
    <w:rsid w:val="002B0615"/>
    <w:rsid w:val="002B088E"/>
    <w:rsid w:val="002B08EC"/>
    <w:rsid w:val="002B0A28"/>
    <w:rsid w:val="002B0B4D"/>
    <w:rsid w:val="002B0D60"/>
    <w:rsid w:val="002B0DEC"/>
    <w:rsid w:val="002B0EE9"/>
    <w:rsid w:val="002B1006"/>
    <w:rsid w:val="002B1053"/>
    <w:rsid w:val="002B1094"/>
    <w:rsid w:val="002B118B"/>
    <w:rsid w:val="002B11B2"/>
    <w:rsid w:val="002B13B6"/>
    <w:rsid w:val="002B13CD"/>
    <w:rsid w:val="002B1BC6"/>
    <w:rsid w:val="002B1E63"/>
    <w:rsid w:val="002B2163"/>
    <w:rsid w:val="002B21B9"/>
    <w:rsid w:val="002B249E"/>
    <w:rsid w:val="002B2658"/>
    <w:rsid w:val="002B278F"/>
    <w:rsid w:val="002B2821"/>
    <w:rsid w:val="002B2999"/>
    <w:rsid w:val="002B2A3B"/>
    <w:rsid w:val="002B2B27"/>
    <w:rsid w:val="002B2BB2"/>
    <w:rsid w:val="002B2CA3"/>
    <w:rsid w:val="002B2D06"/>
    <w:rsid w:val="002B2E4E"/>
    <w:rsid w:val="002B2EE7"/>
    <w:rsid w:val="002B2F95"/>
    <w:rsid w:val="002B31C8"/>
    <w:rsid w:val="002B31E8"/>
    <w:rsid w:val="002B3971"/>
    <w:rsid w:val="002B3A6A"/>
    <w:rsid w:val="002B3EAB"/>
    <w:rsid w:val="002B40F3"/>
    <w:rsid w:val="002B4174"/>
    <w:rsid w:val="002B41FB"/>
    <w:rsid w:val="002B4432"/>
    <w:rsid w:val="002B4487"/>
    <w:rsid w:val="002B4760"/>
    <w:rsid w:val="002B4831"/>
    <w:rsid w:val="002B4897"/>
    <w:rsid w:val="002B4BA3"/>
    <w:rsid w:val="002B4CD8"/>
    <w:rsid w:val="002B4F36"/>
    <w:rsid w:val="002B4FB5"/>
    <w:rsid w:val="002B5000"/>
    <w:rsid w:val="002B5171"/>
    <w:rsid w:val="002B51CA"/>
    <w:rsid w:val="002B525D"/>
    <w:rsid w:val="002B53F1"/>
    <w:rsid w:val="002B5539"/>
    <w:rsid w:val="002B5886"/>
    <w:rsid w:val="002B5CD3"/>
    <w:rsid w:val="002B5D83"/>
    <w:rsid w:val="002B6232"/>
    <w:rsid w:val="002B661F"/>
    <w:rsid w:val="002B6841"/>
    <w:rsid w:val="002B684E"/>
    <w:rsid w:val="002B6916"/>
    <w:rsid w:val="002B6A00"/>
    <w:rsid w:val="002B6A05"/>
    <w:rsid w:val="002B6B48"/>
    <w:rsid w:val="002B6DC2"/>
    <w:rsid w:val="002B7015"/>
    <w:rsid w:val="002B7190"/>
    <w:rsid w:val="002B719D"/>
    <w:rsid w:val="002B7222"/>
    <w:rsid w:val="002B794C"/>
    <w:rsid w:val="002B7A4C"/>
    <w:rsid w:val="002B7B47"/>
    <w:rsid w:val="002B7B51"/>
    <w:rsid w:val="002B7BA3"/>
    <w:rsid w:val="002B7DB2"/>
    <w:rsid w:val="002C0031"/>
    <w:rsid w:val="002C02B2"/>
    <w:rsid w:val="002C043A"/>
    <w:rsid w:val="002C055F"/>
    <w:rsid w:val="002C0B61"/>
    <w:rsid w:val="002C0D45"/>
    <w:rsid w:val="002C0DC6"/>
    <w:rsid w:val="002C10A9"/>
    <w:rsid w:val="002C1116"/>
    <w:rsid w:val="002C135A"/>
    <w:rsid w:val="002C13F8"/>
    <w:rsid w:val="002C1480"/>
    <w:rsid w:val="002C1497"/>
    <w:rsid w:val="002C14E0"/>
    <w:rsid w:val="002C1533"/>
    <w:rsid w:val="002C1EB6"/>
    <w:rsid w:val="002C2088"/>
    <w:rsid w:val="002C20D0"/>
    <w:rsid w:val="002C20EE"/>
    <w:rsid w:val="002C216A"/>
    <w:rsid w:val="002C2183"/>
    <w:rsid w:val="002C239E"/>
    <w:rsid w:val="002C23CF"/>
    <w:rsid w:val="002C2702"/>
    <w:rsid w:val="002C2733"/>
    <w:rsid w:val="002C28EA"/>
    <w:rsid w:val="002C2B37"/>
    <w:rsid w:val="002C2C2F"/>
    <w:rsid w:val="002C2C9B"/>
    <w:rsid w:val="002C2CFE"/>
    <w:rsid w:val="002C2D2E"/>
    <w:rsid w:val="002C2D37"/>
    <w:rsid w:val="002C2E5F"/>
    <w:rsid w:val="002C2FB3"/>
    <w:rsid w:val="002C36D2"/>
    <w:rsid w:val="002C36FD"/>
    <w:rsid w:val="002C39A2"/>
    <w:rsid w:val="002C3D9D"/>
    <w:rsid w:val="002C4009"/>
    <w:rsid w:val="002C40A2"/>
    <w:rsid w:val="002C428F"/>
    <w:rsid w:val="002C4521"/>
    <w:rsid w:val="002C4614"/>
    <w:rsid w:val="002C46AE"/>
    <w:rsid w:val="002C4A10"/>
    <w:rsid w:val="002C4BDF"/>
    <w:rsid w:val="002C4F9B"/>
    <w:rsid w:val="002C502F"/>
    <w:rsid w:val="002C51A0"/>
    <w:rsid w:val="002C5262"/>
    <w:rsid w:val="002C5419"/>
    <w:rsid w:val="002C543E"/>
    <w:rsid w:val="002C54DE"/>
    <w:rsid w:val="002C55EE"/>
    <w:rsid w:val="002C5850"/>
    <w:rsid w:val="002C5975"/>
    <w:rsid w:val="002C5B5C"/>
    <w:rsid w:val="002C6135"/>
    <w:rsid w:val="002C6150"/>
    <w:rsid w:val="002C62E8"/>
    <w:rsid w:val="002C655F"/>
    <w:rsid w:val="002C65C9"/>
    <w:rsid w:val="002C6618"/>
    <w:rsid w:val="002C667C"/>
    <w:rsid w:val="002C676C"/>
    <w:rsid w:val="002C68DD"/>
    <w:rsid w:val="002C6A45"/>
    <w:rsid w:val="002C6BFB"/>
    <w:rsid w:val="002C6DDE"/>
    <w:rsid w:val="002C6F42"/>
    <w:rsid w:val="002C71B8"/>
    <w:rsid w:val="002C736E"/>
    <w:rsid w:val="002C73AA"/>
    <w:rsid w:val="002C75D9"/>
    <w:rsid w:val="002C7637"/>
    <w:rsid w:val="002C76B8"/>
    <w:rsid w:val="002C76EF"/>
    <w:rsid w:val="002C7C4C"/>
    <w:rsid w:val="002C7D56"/>
    <w:rsid w:val="002C7EB3"/>
    <w:rsid w:val="002C7ED7"/>
    <w:rsid w:val="002C7F56"/>
    <w:rsid w:val="002C7FD2"/>
    <w:rsid w:val="002D0014"/>
    <w:rsid w:val="002D0030"/>
    <w:rsid w:val="002D0223"/>
    <w:rsid w:val="002D05B3"/>
    <w:rsid w:val="002D0B79"/>
    <w:rsid w:val="002D0D9F"/>
    <w:rsid w:val="002D0DAC"/>
    <w:rsid w:val="002D1230"/>
    <w:rsid w:val="002D153C"/>
    <w:rsid w:val="002D1786"/>
    <w:rsid w:val="002D1935"/>
    <w:rsid w:val="002D1A31"/>
    <w:rsid w:val="002D1D12"/>
    <w:rsid w:val="002D2087"/>
    <w:rsid w:val="002D20B0"/>
    <w:rsid w:val="002D2197"/>
    <w:rsid w:val="002D24AD"/>
    <w:rsid w:val="002D2701"/>
    <w:rsid w:val="002D2B13"/>
    <w:rsid w:val="002D2E6F"/>
    <w:rsid w:val="002D2F22"/>
    <w:rsid w:val="002D30A3"/>
    <w:rsid w:val="002D3107"/>
    <w:rsid w:val="002D318C"/>
    <w:rsid w:val="002D324D"/>
    <w:rsid w:val="002D3396"/>
    <w:rsid w:val="002D33EC"/>
    <w:rsid w:val="002D36A6"/>
    <w:rsid w:val="002D396C"/>
    <w:rsid w:val="002D3FCC"/>
    <w:rsid w:val="002D4350"/>
    <w:rsid w:val="002D43B0"/>
    <w:rsid w:val="002D46C3"/>
    <w:rsid w:val="002D46D7"/>
    <w:rsid w:val="002D4765"/>
    <w:rsid w:val="002D4D27"/>
    <w:rsid w:val="002D4E54"/>
    <w:rsid w:val="002D4EF4"/>
    <w:rsid w:val="002D5078"/>
    <w:rsid w:val="002D5195"/>
    <w:rsid w:val="002D5483"/>
    <w:rsid w:val="002D5670"/>
    <w:rsid w:val="002D567A"/>
    <w:rsid w:val="002D5716"/>
    <w:rsid w:val="002D5A0A"/>
    <w:rsid w:val="002D5A16"/>
    <w:rsid w:val="002D5B0C"/>
    <w:rsid w:val="002D5BB4"/>
    <w:rsid w:val="002D5CDA"/>
    <w:rsid w:val="002D5E3B"/>
    <w:rsid w:val="002D60A5"/>
    <w:rsid w:val="002D620A"/>
    <w:rsid w:val="002D62C6"/>
    <w:rsid w:val="002D662D"/>
    <w:rsid w:val="002D6793"/>
    <w:rsid w:val="002D68CF"/>
    <w:rsid w:val="002D69B7"/>
    <w:rsid w:val="002D6BB4"/>
    <w:rsid w:val="002D6C4A"/>
    <w:rsid w:val="002D6D2B"/>
    <w:rsid w:val="002D6F75"/>
    <w:rsid w:val="002D6FC2"/>
    <w:rsid w:val="002D76C7"/>
    <w:rsid w:val="002D7751"/>
    <w:rsid w:val="002D78C9"/>
    <w:rsid w:val="002D78F1"/>
    <w:rsid w:val="002D798B"/>
    <w:rsid w:val="002D7A01"/>
    <w:rsid w:val="002D7E06"/>
    <w:rsid w:val="002D7F16"/>
    <w:rsid w:val="002E0075"/>
    <w:rsid w:val="002E0184"/>
    <w:rsid w:val="002E0469"/>
    <w:rsid w:val="002E052B"/>
    <w:rsid w:val="002E0B6D"/>
    <w:rsid w:val="002E0D55"/>
    <w:rsid w:val="002E1040"/>
    <w:rsid w:val="002E1114"/>
    <w:rsid w:val="002E11D7"/>
    <w:rsid w:val="002E14CB"/>
    <w:rsid w:val="002E14D4"/>
    <w:rsid w:val="002E1F16"/>
    <w:rsid w:val="002E2064"/>
    <w:rsid w:val="002E22A1"/>
    <w:rsid w:val="002E2741"/>
    <w:rsid w:val="002E27A6"/>
    <w:rsid w:val="002E2837"/>
    <w:rsid w:val="002E28DB"/>
    <w:rsid w:val="002E29E4"/>
    <w:rsid w:val="002E2A57"/>
    <w:rsid w:val="002E2B31"/>
    <w:rsid w:val="002E2B9F"/>
    <w:rsid w:val="002E2E0C"/>
    <w:rsid w:val="002E2F6F"/>
    <w:rsid w:val="002E30D1"/>
    <w:rsid w:val="002E310F"/>
    <w:rsid w:val="002E3144"/>
    <w:rsid w:val="002E3387"/>
    <w:rsid w:val="002E3391"/>
    <w:rsid w:val="002E339B"/>
    <w:rsid w:val="002E3913"/>
    <w:rsid w:val="002E3ABD"/>
    <w:rsid w:val="002E3B7A"/>
    <w:rsid w:val="002E3BFE"/>
    <w:rsid w:val="002E3C92"/>
    <w:rsid w:val="002E3D8E"/>
    <w:rsid w:val="002E3F22"/>
    <w:rsid w:val="002E3F54"/>
    <w:rsid w:val="002E4206"/>
    <w:rsid w:val="002E43B5"/>
    <w:rsid w:val="002E43DD"/>
    <w:rsid w:val="002E4557"/>
    <w:rsid w:val="002E49B2"/>
    <w:rsid w:val="002E4C13"/>
    <w:rsid w:val="002E502E"/>
    <w:rsid w:val="002E5334"/>
    <w:rsid w:val="002E5362"/>
    <w:rsid w:val="002E53D3"/>
    <w:rsid w:val="002E5504"/>
    <w:rsid w:val="002E5686"/>
    <w:rsid w:val="002E56D0"/>
    <w:rsid w:val="002E576A"/>
    <w:rsid w:val="002E58FE"/>
    <w:rsid w:val="002E5B55"/>
    <w:rsid w:val="002E5CDA"/>
    <w:rsid w:val="002E5D1E"/>
    <w:rsid w:val="002E603D"/>
    <w:rsid w:val="002E6120"/>
    <w:rsid w:val="002E6172"/>
    <w:rsid w:val="002E633D"/>
    <w:rsid w:val="002E64E8"/>
    <w:rsid w:val="002E666D"/>
    <w:rsid w:val="002E6D15"/>
    <w:rsid w:val="002E6DDE"/>
    <w:rsid w:val="002E7013"/>
    <w:rsid w:val="002E7091"/>
    <w:rsid w:val="002E7188"/>
    <w:rsid w:val="002E727C"/>
    <w:rsid w:val="002E73E0"/>
    <w:rsid w:val="002E7514"/>
    <w:rsid w:val="002E7672"/>
    <w:rsid w:val="002E79CB"/>
    <w:rsid w:val="002E7A12"/>
    <w:rsid w:val="002E7B91"/>
    <w:rsid w:val="002E7E4E"/>
    <w:rsid w:val="002F009B"/>
    <w:rsid w:val="002F02DF"/>
    <w:rsid w:val="002F067F"/>
    <w:rsid w:val="002F0696"/>
    <w:rsid w:val="002F0731"/>
    <w:rsid w:val="002F0A90"/>
    <w:rsid w:val="002F0B53"/>
    <w:rsid w:val="002F0F0E"/>
    <w:rsid w:val="002F10C9"/>
    <w:rsid w:val="002F133A"/>
    <w:rsid w:val="002F1373"/>
    <w:rsid w:val="002F16A3"/>
    <w:rsid w:val="002F1A31"/>
    <w:rsid w:val="002F1A80"/>
    <w:rsid w:val="002F1B2C"/>
    <w:rsid w:val="002F1CE8"/>
    <w:rsid w:val="002F1DB1"/>
    <w:rsid w:val="002F1F2D"/>
    <w:rsid w:val="002F210D"/>
    <w:rsid w:val="002F224C"/>
    <w:rsid w:val="002F22FB"/>
    <w:rsid w:val="002F240B"/>
    <w:rsid w:val="002F2494"/>
    <w:rsid w:val="002F29A9"/>
    <w:rsid w:val="002F2B07"/>
    <w:rsid w:val="002F2B34"/>
    <w:rsid w:val="002F2EE3"/>
    <w:rsid w:val="002F2F03"/>
    <w:rsid w:val="002F2FE3"/>
    <w:rsid w:val="002F353C"/>
    <w:rsid w:val="002F38B0"/>
    <w:rsid w:val="002F3A4D"/>
    <w:rsid w:val="002F3C80"/>
    <w:rsid w:val="002F3DCB"/>
    <w:rsid w:val="002F4100"/>
    <w:rsid w:val="002F427D"/>
    <w:rsid w:val="002F4821"/>
    <w:rsid w:val="002F4A7D"/>
    <w:rsid w:val="002F4E10"/>
    <w:rsid w:val="002F513A"/>
    <w:rsid w:val="002F52F1"/>
    <w:rsid w:val="002F5338"/>
    <w:rsid w:val="002F53A9"/>
    <w:rsid w:val="002F54A0"/>
    <w:rsid w:val="002F5A2C"/>
    <w:rsid w:val="002F5A82"/>
    <w:rsid w:val="002F5AE5"/>
    <w:rsid w:val="002F60D3"/>
    <w:rsid w:val="002F6131"/>
    <w:rsid w:val="002F6303"/>
    <w:rsid w:val="002F649E"/>
    <w:rsid w:val="002F64CF"/>
    <w:rsid w:val="002F656E"/>
    <w:rsid w:val="002F68F0"/>
    <w:rsid w:val="002F6C53"/>
    <w:rsid w:val="002F6D06"/>
    <w:rsid w:val="002F6E3E"/>
    <w:rsid w:val="002F6EA8"/>
    <w:rsid w:val="002F6EC7"/>
    <w:rsid w:val="002F727C"/>
    <w:rsid w:val="002F72C9"/>
    <w:rsid w:val="002F72E1"/>
    <w:rsid w:val="002F7568"/>
    <w:rsid w:val="002F7830"/>
    <w:rsid w:val="002F796A"/>
    <w:rsid w:val="002F7A04"/>
    <w:rsid w:val="002F7C2E"/>
    <w:rsid w:val="002F7C81"/>
    <w:rsid w:val="002F7D99"/>
    <w:rsid w:val="002F7F60"/>
    <w:rsid w:val="0030007F"/>
    <w:rsid w:val="003002FD"/>
    <w:rsid w:val="00300359"/>
    <w:rsid w:val="003003C3"/>
    <w:rsid w:val="003006B8"/>
    <w:rsid w:val="00300C9E"/>
    <w:rsid w:val="00300D9C"/>
    <w:rsid w:val="00300DFE"/>
    <w:rsid w:val="00300F0B"/>
    <w:rsid w:val="00301090"/>
    <w:rsid w:val="003012E9"/>
    <w:rsid w:val="003013BC"/>
    <w:rsid w:val="00301446"/>
    <w:rsid w:val="003017FC"/>
    <w:rsid w:val="00301EE5"/>
    <w:rsid w:val="00302190"/>
    <w:rsid w:val="003025DA"/>
    <w:rsid w:val="003026DD"/>
    <w:rsid w:val="0030286C"/>
    <w:rsid w:val="00302C47"/>
    <w:rsid w:val="00302E73"/>
    <w:rsid w:val="003030BB"/>
    <w:rsid w:val="00303199"/>
    <w:rsid w:val="00303373"/>
    <w:rsid w:val="003033E3"/>
    <w:rsid w:val="003035FA"/>
    <w:rsid w:val="0030360E"/>
    <w:rsid w:val="0030382B"/>
    <w:rsid w:val="003038AC"/>
    <w:rsid w:val="00303AD6"/>
    <w:rsid w:val="00303ADB"/>
    <w:rsid w:val="00303E04"/>
    <w:rsid w:val="00303FC1"/>
    <w:rsid w:val="0030406E"/>
    <w:rsid w:val="003043A6"/>
    <w:rsid w:val="0030448D"/>
    <w:rsid w:val="00304627"/>
    <w:rsid w:val="0030483E"/>
    <w:rsid w:val="00304B7C"/>
    <w:rsid w:val="00304DBC"/>
    <w:rsid w:val="00304F33"/>
    <w:rsid w:val="00304FF1"/>
    <w:rsid w:val="00305202"/>
    <w:rsid w:val="00305353"/>
    <w:rsid w:val="00305370"/>
    <w:rsid w:val="003054DC"/>
    <w:rsid w:val="003055C5"/>
    <w:rsid w:val="00305894"/>
    <w:rsid w:val="0030591A"/>
    <w:rsid w:val="00305928"/>
    <w:rsid w:val="0030592B"/>
    <w:rsid w:val="00305B76"/>
    <w:rsid w:val="00305C02"/>
    <w:rsid w:val="00306114"/>
    <w:rsid w:val="00306308"/>
    <w:rsid w:val="0030632C"/>
    <w:rsid w:val="003066FB"/>
    <w:rsid w:val="003068FE"/>
    <w:rsid w:val="00306918"/>
    <w:rsid w:val="00306AD3"/>
    <w:rsid w:val="00306FF4"/>
    <w:rsid w:val="003070BD"/>
    <w:rsid w:val="0030729D"/>
    <w:rsid w:val="003075B8"/>
    <w:rsid w:val="00307671"/>
    <w:rsid w:val="003078A8"/>
    <w:rsid w:val="003078D8"/>
    <w:rsid w:val="00310231"/>
    <w:rsid w:val="003104E5"/>
    <w:rsid w:val="00310694"/>
    <w:rsid w:val="003107E1"/>
    <w:rsid w:val="0031089F"/>
    <w:rsid w:val="0031097C"/>
    <w:rsid w:val="00310A56"/>
    <w:rsid w:val="00310C44"/>
    <w:rsid w:val="00310C5B"/>
    <w:rsid w:val="00310D56"/>
    <w:rsid w:val="00310D7C"/>
    <w:rsid w:val="003111C3"/>
    <w:rsid w:val="0031133C"/>
    <w:rsid w:val="00311408"/>
    <w:rsid w:val="0031156E"/>
    <w:rsid w:val="003115A5"/>
    <w:rsid w:val="00311646"/>
    <w:rsid w:val="0031165B"/>
    <w:rsid w:val="00311727"/>
    <w:rsid w:val="00311733"/>
    <w:rsid w:val="00311845"/>
    <w:rsid w:val="0031191B"/>
    <w:rsid w:val="00311A83"/>
    <w:rsid w:val="00311C1B"/>
    <w:rsid w:val="00311E0D"/>
    <w:rsid w:val="003120ED"/>
    <w:rsid w:val="003120F4"/>
    <w:rsid w:val="0031226A"/>
    <w:rsid w:val="00312507"/>
    <w:rsid w:val="003129D6"/>
    <w:rsid w:val="00312C2B"/>
    <w:rsid w:val="0031307B"/>
    <w:rsid w:val="003130AA"/>
    <w:rsid w:val="003130B2"/>
    <w:rsid w:val="003131E5"/>
    <w:rsid w:val="00313466"/>
    <w:rsid w:val="00313507"/>
    <w:rsid w:val="00313726"/>
    <w:rsid w:val="003138F3"/>
    <w:rsid w:val="00313A12"/>
    <w:rsid w:val="00313A94"/>
    <w:rsid w:val="00313E87"/>
    <w:rsid w:val="00314642"/>
    <w:rsid w:val="003146C8"/>
    <w:rsid w:val="003149A2"/>
    <w:rsid w:val="00314AD7"/>
    <w:rsid w:val="00314B32"/>
    <w:rsid w:val="00314D89"/>
    <w:rsid w:val="00314E0A"/>
    <w:rsid w:val="00314F06"/>
    <w:rsid w:val="003150D7"/>
    <w:rsid w:val="00315604"/>
    <w:rsid w:val="00315688"/>
    <w:rsid w:val="003157FD"/>
    <w:rsid w:val="00315819"/>
    <w:rsid w:val="003158C1"/>
    <w:rsid w:val="00315B80"/>
    <w:rsid w:val="00315E28"/>
    <w:rsid w:val="00316258"/>
    <w:rsid w:val="00316656"/>
    <w:rsid w:val="003167D7"/>
    <w:rsid w:val="0031683E"/>
    <w:rsid w:val="00316862"/>
    <w:rsid w:val="003168DF"/>
    <w:rsid w:val="003169DD"/>
    <w:rsid w:val="00316C03"/>
    <w:rsid w:val="00316CB6"/>
    <w:rsid w:val="003170C2"/>
    <w:rsid w:val="00317519"/>
    <w:rsid w:val="00317D31"/>
    <w:rsid w:val="00317E22"/>
    <w:rsid w:val="00317E68"/>
    <w:rsid w:val="00317F6B"/>
    <w:rsid w:val="00317F93"/>
    <w:rsid w:val="00320006"/>
    <w:rsid w:val="003203CB"/>
    <w:rsid w:val="0032056C"/>
    <w:rsid w:val="003205E1"/>
    <w:rsid w:val="003208B1"/>
    <w:rsid w:val="003209F5"/>
    <w:rsid w:val="00320BAE"/>
    <w:rsid w:val="00320BBB"/>
    <w:rsid w:val="00320D08"/>
    <w:rsid w:val="00320DE1"/>
    <w:rsid w:val="00320F76"/>
    <w:rsid w:val="003211F7"/>
    <w:rsid w:val="00321686"/>
    <w:rsid w:val="00321856"/>
    <w:rsid w:val="00321A8E"/>
    <w:rsid w:val="00321B73"/>
    <w:rsid w:val="00321C03"/>
    <w:rsid w:val="00321C91"/>
    <w:rsid w:val="00321D8A"/>
    <w:rsid w:val="00322362"/>
    <w:rsid w:val="0032246A"/>
    <w:rsid w:val="0032246F"/>
    <w:rsid w:val="003224A3"/>
    <w:rsid w:val="0032253A"/>
    <w:rsid w:val="00322552"/>
    <w:rsid w:val="00322600"/>
    <w:rsid w:val="0032262B"/>
    <w:rsid w:val="0032282C"/>
    <w:rsid w:val="00322885"/>
    <w:rsid w:val="00322945"/>
    <w:rsid w:val="00322A64"/>
    <w:rsid w:val="00322B2D"/>
    <w:rsid w:val="00322C8E"/>
    <w:rsid w:val="00322E48"/>
    <w:rsid w:val="00322F04"/>
    <w:rsid w:val="00322F6A"/>
    <w:rsid w:val="00323175"/>
    <w:rsid w:val="00323584"/>
    <w:rsid w:val="003239D6"/>
    <w:rsid w:val="00323D0C"/>
    <w:rsid w:val="00323EA1"/>
    <w:rsid w:val="00323FB7"/>
    <w:rsid w:val="00323FEB"/>
    <w:rsid w:val="00324244"/>
    <w:rsid w:val="00324406"/>
    <w:rsid w:val="00324520"/>
    <w:rsid w:val="003246D2"/>
    <w:rsid w:val="003247DD"/>
    <w:rsid w:val="00324972"/>
    <w:rsid w:val="003249A2"/>
    <w:rsid w:val="00324ACB"/>
    <w:rsid w:val="00324B5C"/>
    <w:rsid w:val="00324B6E"/>
    <w:rsid w:val="00324B83"/>
    <w:rsid w:val="00324C22"/>
    <w:rsid w:val="00324D24"/>
    <w:rsid w:val="00324FBC"/>
    <w:rsid w:val="00325239"/>
    <w:rsid w:val="00325431"/>
    <w:rsid w:val="003256F5"/>
    <w:rsid w:val="00325782"/>
    <w:rsid w:val="00325ECB"/>
    <w:rsid w:val="00325EFA"/>
    <w:rsid w:val="00325FE3"/>
    <w:rsid w:val="00325FF2"/>
    <w:rsid w:val="003260B6"/>
    <w:rsid w:val="00326CE3"/>
    <w:rsid w:val="00326E7E"/>
    <w:rsid w:val="00326F09"/>
    <w:rsid w:val="0032739B"/>
    <w:rsid w:val="0032758A"/>
    <w:rsid w:val="003275BC"/>
    <w:rsid w:val="003275FE"/>
    <w:rsid w:val="00327842"/>
    <w:rsid w:val="00327C5D"/>
    <w:rsid w:val="00330064"/>
    <w:rsid w:val="003304A0"/>
    <w:rsid w:val="003306AB"/>
    <w:rsid w:val="0033082A"/>
    <w:rsid w:val="00330BC7"/>
    <w:rsid w:val="00330D38"/>
    <w:rsid w:val="0033103E"/>
    <w:rsid w:val="0033107D"/>
    <w:rsid w:val="003315C5"/>
    <w:rsid w:val="003318DA"/>
    <w:rsid w:val="00331967"/>
    <w:rsid w:val="00331D25"/>
    <w:rsid w:val="00331E34"/>
    <w:rsid w:val="00331F06"/>
    <w:rsid w:val="00331F16"/>
    <w:rsid w:val="00332001"/>
    <w:rsid w:val="00332156"/>
    <w:rsid w:val="003322C2"/>
    <w:rsid w:val="003324FA"/>
    <w:rsid w:val="00332704"/>
    <w:rsid w:val="00332853"/>
    <w:rsid w:val="003328EF"/>
    <w:rsid w:val="00332A6B"/>
    <w:rsid w:val="00332B0D"/>
    <w:rsid w:val="00333013"/>
    <w:rsid w:val="0033308D"/>
    <w:rsid w:val="003331DD"/>
    <w:rsid w:val="003332DB"/>
    <w:rsid w:val="003335C8"/>
    <w:rsid w:val="00333751"/>
    <w:rsid w:val="00333AD1"/>
    <w:rsid w:val="00333B08"/>
    <w:rsid w:val="00333D84"/>
    <w:rsid w:val="00333ED3"/>
    <w:rsid w:val="00334075"/>
    <w:rsid w:val="00334247"/>
    <w:rsid w:val="003342D1"/>
    <w:rsid w:val="00334423"/>
    <w:rsid w:val="003344A1"/>
    <w:rsid w:val="0033458F"/>
    <w:rsid w:val="00334616"/>
    <w:rsid w:val="003348F0"/>
    <w:rsid w:val="0033494B"/>
    <w:rsid w:val="00334B3A"/>
    <w:rsid w:val="00334DA4"/>
    <w:rsid w:val="00334F3A"/>
    <w:rsid w:val="00335087"/>
    <w:rsid w:val="003351F9"/>
    <w:rsid w:val="00335253"/>
    <w:rsid w:val="00335507"/>
    <w:rsid w:val="00335553"/>
    <w:rsid w:val="00335677"/>
    <w:rsid w:val="003356CF"/>
    <w:rsid w:val="003357D6"/>
    <w:rsid w:val="00335C47"/>
    <w:rsid w:val="00335CFB"/>
    <w:rsid w:val="00335DF5"/>
    <w:rsid w:val="00335E94"/>
    <w:rsid w:val="00335EBD"/>
    <w:rsid w:val="00335EBE"/>
    <w:rsid w:val="00335EE3"/>
    <w:rsid w:val="00335EE7"/>
    <w:rsid w:val="00335FD5"/>
    <w:rsid w:val="003362FD"/>
    <w:rsid w:val="003364EF"/>
    <w:rsid w:val="0033650B"/>
    <w:rsid w:val="00336709"/>
    <w:rsid w:val="00336772"/>
    <w:rsid w:val="003368E6"/>
    <w:rsid w:val="00336AFA"/>
    <w:rsid w:val="00336B81"/>
    <w:rsid w:val="00336F72"/>
    <w:rsid w:val="00337154"/>
    <w:rsid w:val="0033722E"/>
    <w:rsid w:val="00337362"/>
    <w:rsid w:val="00337483"/>
    <w:rsid w:val="00337763"/>
    <w:rsid w:val="0033787D"/>
    <w:rsid w:val="0033789F"/>
    <w:rsid w:val="00337C24"/>
    <w:rsid w:val="00337C83"/>
    <w:rsid w:val="00337C85"/>
    <w:rsid w:val="00337CBE"/>
    <w:rsid w:val="00337EFA"/>
    <w:rsid w:val="0034012E"/>
    <w:rsid w:val="00340197"/>
    <w:rsid w:val="003403D0"/>
    <w:rsid w:val="00340718"/>
    <w:rsid w:val="00340956"/>
    <w:rsid w:val="00340ACA"/>
    <w:rsid w:val="00340FEC"/>
    <w:rsid w:val="00341194"/>
    <w:rsid w:val="00341222"/>
    <w:rsid w:val="0034125D"/>
    <w:rsid w:val="00341676"/>
    <w:rsid w:val="003416E7"/>
    <w:rsid w:val="003416F5"/>
    <w:rsid w:val="00341754"/>
    <w:rsid w:val="003419F2"/>
    <w:rsid w:val="00341BE4"/>
    <w:rsid w:val="00341C45"/>
    <w:rsid w:val="00341CD3"/>
    <w:rsid w:val="00341D5A"/>
    <w:rsid w:val="00341E74"/>
    <w:rsid w:val="00341FEC"/>
    <w:rsid w:val="003420C8"/>
    <w:rsid w:val="00342790"/>
    <w:rsid w:val="00342817"/>
    <w:rsid w:val="00342B6F"/>
    <w:rsid w:val="00342C3B"/>
    <w:rsid w:val="00342CAD"/>
    <w:rsid w:val="00342E47"/>
    <w:rsid w:val="00342E75"/>
    <w:rsid w:val="003432DE"/>
    <w:rsid w:val="0034342E"/>
    <w:rsid w:val="00343451"/>
    <w:rsid w:val="00343469"/>
    <w:rsid w:val="0034367A"/>
    <w:rsid w:val="003437B1"/>
    <w:rsid w:val="00343863"/>
    <w:rsid w:val="00343990"/>
    <w:rsid w:val="00343A2D"/>
    <w:rsid w:val="00343AD4"/>
    <w:rsid w:val="00343AE3"/>
    <w:rsid w:val="00343D86"/>
    <w:rsid w:val="00343D90"/>
    <w:rsid w:val="00343FB4"/>
    <w:rsid w:val="003440D4"/>
    <w:rsid w:val="00344529"/>
    <w:rsid w:val="003445D7"/>
    <w:rsid w:val="00344C4E"/>
    <w:rsid w:val="00344C5C"/>
    <w:rsid w:val="00344E28"/>
    <w:rsid w:val="00344F33"/>
    <w:rsid w:val="00344FDD"/>
    <w:rsid w:val="0034507C"/>
    <w:rsid w:val="003453A7"/>
    <w:rsid w:val="00345657"/>
    <w:rsid w:val="003457A5"/>
    <w:rsid w:val="0034588D"/>
    <w:rsid w:val="00345B1D"/>
    <w:rsid w:val="00345B9D"/>
    <w:rsid w:val="00345CDB"/>
    <w:rsid w:val="00345CDE"/>
    <w:rsid w:val="00345E0E"/>
    <w:rsid w:val="00345ED7"/>
    <w:rsid w:val="0034659F"/>
    <w:rsid w:val="00346891"/>
    <w:rsid w:val="0034694C"/>
    <w:rsid w:val="00346A04"/>
    <w:rsid w:val="00346A77"/>
    <w:rsid w:val="00346AC5"/>
    <w:rsid w:val="00346B67"/>
    <w:rsid w:val="00346C84"/>
    <w:rsid w:val="00347675"/>
    <w:rsid w:val="00347826"/>
    <w:rsid w:val="00347903"/>
    <w:rsid w:val="00347932"/>
    <w:rsid w:val="003479AC"/>
    <w:rsid w:val="00347BF3"/>
    <w:rsid w:val="00347DBE"/>
    <w:rsid w:val="003500AB"/>
    <w:rsid w:val="003501E1"/>
    <w:rsid w:val="0035038F"/>
    <w:rsid w:val="00350536"/>
    <w:rsid w:val="00350730"/>
    <w:rsid w:val="00350801"/>
    <w:rsid w:val="00350854"/>
    <w:rsid w:val="00350B3C"/>
    <w:rsid w:val="00350BB7"/>
    <w:rsid w:val="00350D64"/>
    <w:rsid w:val="00350E0B"/>
    <w:rsid w:val="00350E88"/>
    <w:rsid w:val="00350F49"/>
    <w:rsid w:val="00351021"/>
    <w:rsid w:val="0035146C"/>
    <w:rsid w:val="00351523"/>
    <w:rsid w:val="003516CB"/>
    <w:rsid w:val="00351849"/>
    <w:rsid w:val="003518CD"/>
    <w:rsid w:val="00351D90"/>
    <w:rsid w:val="00351DC3"/>
    <w:rsid w:val="00351FDA"/>
    <w:rsid w:val="00352183"/>
    <w:rsid w:val="00352213"/>
    <w:rsid w:val="003523A5"/>
    <w:rsid w:val="0035246A"/>
    <w:rsid w:val="003525C1"/>
    <w:rsid w:val="003526F6"/>
    <w:rsid w:val="003528A2"/>
    <w:rsid w:val="0035298E"/>
    <w:rsid w:val="00352C41"/>
    <w:rsid w:val="00352D53"/>
    <w:rsid w:val="00352EF4"/>
    <w:rsid w:val="0035302F"/>
    <w:rsid w:val="00353521"/>
    <w:rsid w:val="00353531"/>
    <w:rsid w:val="003536E5"/>
    <w:rsid w:val="003538AA"/>
    <w:rsid w:val="00353AA3"/>
    <w:rsid w:val="00353BBE"/>
    <w:rsid w:val="00353BFF"/>
    <w:rsid w:val="00353C20"/>
    <w:rsid w:val="00353CF5"/>
    <w:rsid w:val="00353D13"/>
    <w:rsid w:val="00353DC5"/>
    <w:rsid w:val="003540F7"/>
    <w:rsid w:val="003541F6"/>
    <w:rsid w:val="003542D8"/>
    <w:rsid w:val="003543E1"/>
    <w:rsid w:val="003543E2"/>
    <w:rsid w:val="00354403"/>
    <w:rsid w:val="003544E1"/>
    <w:rsid w:val="003548C0"/>
    <w:rsid w:val="00354C50"/>
    <w:rsid w:val="00354CCE"/>
    <w:rsid w:val="00354F69"/>
    <w:rsid w:val="00354FA3"/>
    <w:rsid w:val="00355006"/>
    <w:rsid w:val="0035553B"/>
    <w:rsid w:val="003558BC"/>
    <w:rsid w:val="00355A41"/>
    <w:rsid w:val="00355ACF"/>
    <w:rsid w:val="00355D79"/>
    <w:rsid w:val="00355DF4"/>
    <w:rsid w:val="00355E7A"/>
    <w:rsid w:val="00356010"/>
    <w:rsid w:val="003560CA"/>
    <w:rsid w:val="00356401"/>
    <w:rsid w:val="00356590"/>
    <w:rsid w:val="00356868"/>
    <w:rsid w:val="00356887"/>
    <w:rsid w:val="00356AEF"/>
    <w:rsid w:val="00356BB1"/>
    <w:rsid w:val="00356BC5"/>
    <w:rsid w:val="00356C53"/>
    <w:rsid w:val="00356C70"/>
    <w:rsid w:val="00356E3B"/>
    <w:rsid w:val="0035707F"/>
    <w:rsid w:val="0035734A"/>
    <w:rsid w:val="00357409"/>
    <w:rsid w:val="003576EF"/>
    <w:rsid w:val="00357A94"/>
    <w:rsid w:val="00357AB0"/>
    <w:rsid w:val="00357D84"/>
    <w:rsid w:val="00360B62"/>
    <w:rsid w:val="00360C00"/>
    <w:rsid w:val="00360D58"/>
    <w:rsid w:val="003610F0"/>
    <w:rsid w:val="00361268"/>
    <w:rsid w:val="0036131C"/>
    <w:rsid w:val="003614A4"/>
    <w:rsid w:val="003614FD"/>
    <w:rsid w:val="00361507"/>
    <w:rsid w:val="00361E16"/>
    <w:rsid w:val="00361E35"/>
    <w:rsid w:val="00361E4E"/>
    <w:rsid w:val="00362049"/>
    <w:rsid w:val="0036240C"/>
    <w:rsid w:val="003625F6"/>
    <w:rsid w:val="00362814"/>
    <w:rsid w:val="003629E4"/>
    <w:rsid w:val="00362B13"/>
    <w:rsid w:val="00362C72"/>
    <w:rsid w:val="00362E76"/>
    <w:rsid w:val="00362EBB"/>
    <w:rsid w:val="00362F35"/>
    <w:rsid w:val="003632EA"/>
    <w:rsid w:val="00363398"/>
    <w:rsid w:val="0036339A"/>
    <w:rsid w:val="0036352F"/>
    <w:rsid w:val="00363543"/>
    <w:rsid w:val="00363595"/>
    <w:rsid w:val="00363679"/>
    <w:rsid w:val="00363859"/>
    <w:rsid w:val="003639E6"/>
    <w:rsid w:val="00363B68"/>
    <w:rsid w:val="00363C40"/>
    <w:rsid w:val="00363D69"/>
    <w:rsid w:val="00363E11"/>
    <w:rsid w:val="00363F72"/>
    <w:rsid w:val="0036408A"/>
    <w:rsid w:val="00364400"/>
    <w:rsid w:val="00364497"/>
    <w:rsid w:val="003644C9"/>
    <w:rsid w:val="00364557"/>
    <w:rsid w:val="00364639"/>
    <w:rsid w:val="003646AF"/>
    <w:rsid w:val="00364ABB"/>
    <w:rsid w:val="00364ED8"/>
    <w:rsid w:val="003651F8"/>
    <w:rsid w:val="003652CE"/>
    <w:rsid w:val="00365776"/>
    <w:rsid w:val="00365A9D"/>
    <w:rsid w:val="00365B03"/>
    <w:rsid w:val="00365FAE"/>
    <w:rsid w:val="003662F9"/>
    <w:rsid w:val="0036631D"/>
    <w:rsid w:val="0036643C"/>
    <w:rsid w:val="003665A4"/>
    <w:rsid w:val="003666A2"/>
    <w:rsid w:val="003666FB"/>
    <w:rsid w:val="00366825"/>
    <w:rsid w:val="00366DF0"/>
    <w:rsid w:val="00366EDE"/>
    <w:rsid w:val="00366FF6"/>
    <w:rsid w:val="0036708F"/>
    <w:rsid w:val="0036719A"/>
    <w:rsid w:val="003675AC"/>
    <w:rsid w:val="0036769E"/>
    <w:rsid w:val="003676D0"/>
    <w:rsid w:val="00367891"/>
    <w:rsid w:val="00367C79"/>
    <w:rsid w:val="00370261"/>
    <w:rsid w:val="003709B9"/>
    <w:rsid w:val="00370B4F"/>
    <w:rsid w:val="00370BBF"/>
    <w:rsid w:val="00371166"/>
    <w:rsid w:val="0037126E"/>
    <w:rsid w:val="0037135A"/>
    <w:rsid w:val="0037183C"/>
    <w:rsid w:val="00371989"/>
    <w:rsid w:val="00371A16"/>
    <w:rsid w:val="00371D70"/>
    <w:rsid w:val="00371EB3"/>
    <w:rsid w:val="00372384"/>
    <w:rsid w:val="00372441"/>
    <w:rsid w:val="003726AA"/>
    <w:rsid w:val="0037283A"/>
    <w:rsid w:val="003728B3"/>
    <w:rsid w:val="00372BEE"/>
    <w:rsid w:val="00372D19"/>
    <w:rsid w:val="00372D1E"/>
    <w:rsid w:val="00372D37"/>
    <w:rsid w:val="00373129"/>
    <w:rsid w:val="003734D6"/>
    <w:rsid w:val="00373B08"/>
    <w:rsid w:val="00373B15"/>
    <w:rsid w:val="00373E1A"/>
    <w:rsid w:val="00373F61"/>
    <w:rsid w:val="003743CD"/>
    <w:rsid w:val="0037470D"/>
    <w:rsid w:val="00374A8A"/>
    <w:rsid w:val="00374BDD"/>
    <w:rsid w:val="00374CA6"/>
    <w:rsid w:val="00374D21"/>
    <w:rsid w:val="00374D7E"/>
    <w:rsid w:val="00374DDD"/>
    <w:rsid w:val="00375009"/>
    <w:rsid w:val="003750B5"/>
    <w:rsid w:val="003750E8"/>
    <w:rsid w:val="003755CB"/>
    <w:rsid w:val="00375734"/>
    <w:rsid w:val="00375B75"/>
    <w:rsid w:val="00375D2B"/>
    <w:rsid w:val="00375D66"/>
    <w:rsid w:val="00375E87"/>
    <w:rsid w:val="0037611A"/>
    <w:rsid w:val="0037648E"/>
    <w:rsid w:val="0037669C"/>
    <w:rsid w:val="0037683C"/>
    <w:rsid w:val="00376B1A"/>
    <w:rsid w:val="00376C76"/>
    <w:rsid w:val="0037709C"/>
    <w:rsid w:val="003771E1"/>
    <w:rsid w:val="00377376"/>
    <w:rsid w:val="003779C5"/>
    <w:rsid w:val="00377A8F"/>
    <w:rsid w:val="00377CD3"/>
    <w:rsid w:val="00380122"/>
    <w:rsid w:val="00380199"/>
    <w:rsid w:val="00380311"/>
    <w:rsid w:val="00380321"/>
    <w:rsid w:val="00380868"/>
    <w:rsid w:val="00380878"/>
    <w:rsid w:val="00380BD8"/>
    <w:rsid w:val="00380C3D"/>
    <w:rsid w:val="00380D4D"/>
    <w:rsid w:val="00380F58"/>
    <w:rsid w:val="00381238"/>
    <w:rsid w:val="00381416"/>
    <w:rsid w:val="0038176C"/>
    <w:rsid w:val="003817D3"/>
    <w:rsid w:val="00381EDD"/>
    <w:rsid w:val="00381F44"/>
    <w:rsid w:val="003821DC"/>
    <w:rsid w:val="003822D5"/>
    <w:rsid w:val="0038282B"/>
    <w:rsid w:val="003828E0"/>
    <w:rsid w:val="00382943"/>
    <w:rsid w:val="00382AF8"/>
    <w:rsid w:val="00382C00"/>
    <w:rsid w:val="00382D37"/>
    <w:rsid w:val="00382DF4"/>
    <w:rsid w:val="0038347A"/>
    <w:rsid w:val="003835FE"/>
    <w:rsid w:val="00383B2F"/>
    <w:rsid w:val="00383C2D"/>
    <w:rsid w:val="00383F0C"/>
    <w:rsid w:val="003840DB"/>
    <w:rsid w:val="00384105"/>
    <w:rsid w:val="00384161"/>
    <w:rsid w:val="00384488"/>
    <w:rsid w:val="003844F8"/>
    <w:rsid w:val="0038452E"/>
    <w:rsid w:val="003849DF"/>
    <w:rsid w:val="00384B3E"/>
    <w:rsid w:val="00384B53"/>
    <w:rsid w:val="00384B73"/>
    <w:rsid w:val="00385282"/>
    <w:rsid w:val="00385411"/>
    <w:rsid w:val="003854C5"/>
    <w:rsid w:val="00385B31"/>
    <w:rsid w:val="00385C5B"/>
    <w:rsid w:val="00385D6C"/>
    <w:rsid w:val="00385F89"/>
    <w:rsid w:val="0038613F"/>
    <w:rsid w:val="00386151"/>
    <w:rsid w:val="0038628F"/>
    <w:rsid w:val="003863C2"/>
    <w:rsid w:val="003865C2"/>
    <w:rsid w:val="00386A0F"/>
    <w:rsid w:val="00386B30"/>
    <w:rsid w:val="00386BB2"/>
    <w:rsid w:val="00386D1C"/>
    <w:rsid w:val="003870CB"/>
    <w:rsid w:val="003871AA"/>
    <w:rsid w:val="0038730E"/>
    <w:rsid w:val="00387753"/>
    <w:rsid w:val="003878AF"/>
    <w:rsid w:val="003878E3"/>
    <w:rsid w:val="00387B37"/>
    <w:rsid w:val="003901A9"/>
    <w:rsid w:val="00390249"/>
    <w:rsid w:val="00390293"/>
    <w:rsid w:val="003904BF"/>
    <w:rsid w:val="003904F0"/>
    <w:rsid w:val="0039051A"/>
    <w:rsid w:val="0039070E"/>
    <w:rsid w:val="0039083D"/>
    <w:rsid w:val="003909ED"/>
    <w:rsid w:val="00390BD7"/>
    <w:rsid w:val="00390CE5"/>
    <w:rsid w:val="00390CF4"/>
    <w:rsid w:val="00390E5E"/>
    <w:rsid w:val="0039100B"/>
    <w:rsid w:val="00391214"/>
    <w:rsid w:val="00391298"/>
    <w:rsid w:val="00391299"/>
    <w:rsid w:val="003912BC"/>
    <w:rsid w:val="0039131E"/>
    <w:rsid w:val="0039133B"/>
    <w:rsid w:val="00391340"/>
    <w:rsid w:val="003913B2"/>
    <w:rsid w:val="003919F2"/>
    <w:rsid w:val="003920A4"/>
    <w:rsid w:val="003923A8"/>
    <w:rsid w:val="003923AA"/>
    <w:rsid w:val="00392446"/>
    <w:rsid w:val="00392591"/>
    <w:rsid w:val="00392597"/>
    <w:rsid w:val="00392869"/>
    <w:rsid w:val="0039290C"/>
    <w:rsid w:val="00392A04"/>
    <w:rsid w:val="00392A54"/>
    <w:rsid w:val="00392C8A"/>
    <w:rsid w:val="00392CE1"/>
    <w:rsid w:val="003930A9"/>
    <w:rsid w:val="0039317B"/>
    <w:rsid w:val="003932C8"/>
    <w:rsid w:val="003936E9"/>
    <w:rsid w:val="003937A9"/>
    <w:rsid w:val="00393969"/>
    <w:rsid w:val="003939AB"/>
    <w:rsid w:val="00393C7E"/>
    <w:rsid w:val="00393D9C"/>
    <w:rsid w:val="00393DF4"/>
    <w:rsid w:val="003941C7"/>
    <w:rsid w:val="00394289"/>
    <w:rsid w:val="003943D7"/>
    <w:rsid w:val="003945F5"/>
    <w:rsid w:val="0039486D"/>
    <w:rsid w:val="003948CF"/>
    <w:rsid w:val="00394A42"/>
    <w:rsid w:val="00394E49"/>
    <w:rsid w:val="00394E6B"/>
    <w:rsid w:val="0039512F"/>
    <w:rsid w:val="0039525D"/>
    <w:rsid w:val="0039534A"/>
    <w:rsid w:val="003953D5"/>
    <w:rsid w:val="003954BD"/>
    <w:rsid w:val="0039593D"/>
    <w:rsid w:val="00395BC7"/>
    <w:rsid w:val="00395C2A"/>
    <w:rsid w:val="00395D65"/>
    <w:rsid w:val="00395DBC"/>
    <w:rsid w:val="003961DC"/>
    <w:rsid w:val="0039642C"/>
    <w:rsid w:val="00396577"/>
    <w:rsid w:val="0039674E"/>
    <w:rsid w:val="003969F0"/>
    <w:rsid w:val="003969FE"/>
    <w:rsid w:val="00396B1B"/>
    <w:rsid w:val="00396BAF"/>
    <w:rsid w:val="00396D50"/>
    <w:rsid w:val="00396E62"/>
    <w:rsid w:val="00396F9C"/>
    <w:rsid w:val="00396FCC"/>
    <w:rsid w:val="00396FD4"/>
    <w:rsid w:val="00397070"/>
    <w:rsid w:val="0039708B"/>
    <w:rsid w:val="00397093"/>
    <w:rsid w:val="003970D0"/>
    <w:rsid w:val="003972A9"/>
    <w:rsid w:val="003973E9"/>
    <w:rsid w:val="003974E7"/>
    <w:rsid w:val="003974F6"/>
    <w:rsid w:val="003976EB"/>
    <w:rsid w:val="003976F2"/>
    <w:rsid w:val="00397798"/>
    <w:rsid w:val="0039789F"/>
    <w:rsid w:val="003978DA"/>
    <w:rsid w:val="0039797D"/>
    <w:rsid w:val="00397A1B"/>
    <w:rsid w:val="00397B6E"/>
    <w:rsid w:val="00397B85"/>
    <w:rsid w:val="00397C01"/>
    <w:rsid w:val="00397EE2"/>
    <w:rsid w:val="003A004E"/>
    <w:rsid w:val="003A006C"/>
    <w:rsid w:val="003A012A"/>
    <w:rsid w:val="003A02D9"/>
    <w:rsid w:val="003A035A"/>
    <w:rsid w:val="003A073D"/>
    <w:rsid w:val="003A0809"/>
    <w:rsid w:val="003A0ACE"/>
    <w:rsid w:val="003A0C02"/>
    <w:rsid w:val="003A0C3A"/>
    <w:rsid w:val="003A0D36"/>
    <w:rsid w:val="003A0E71"/>
    <w:rsid w:val="003A0E89"/>
    <w:rsid w:val="003A1230"/>
    <w:rsid w:val="003A1664"/>
    <w:rsid w:val="003A1855"/>
    <w:rsid w:val="003A193D"/>
    <w:rsid w:val="003A1942"/>
    <w:rsid w:val="003A1A63"/>
    <w:rsid w:val="003A1E4E"/>
    <w:rsid w:val="003A1E71"/>
    <w:rsid w:val="003A1EA9"/>
    <w:rsid w:val="003A1FFC"/>
    <w:rsid w:val="003A2081"/>
    <w:rsid w:val="003A2094"/>
    <w:rsid w:val="003A2492"/>
    <w:rsid w:val="003A252D"/>
    <w:rsid w:val="003A255E"/>
    <w:rsid w:val="003A25A5"/>
    <w:rsid w:val="003A25C1"/>
    <w:rsid w:val="003A26DD"/>
    <w:rsid w:val="003A2715"/>
    <w:rsid w:val="003A274E"/>
    <w:rsid w:val="003A29DE"/>
    <w:rsid w:val="003A2CEA"/>
    <w:rsid w:val="003A2F2F"/>
    <w:rsid w:val="003A3006"/>
    <w:rsid w:val="003A30BB"/>
    <w:rsid w:val="003A312C"/>
    <w:rsid w:val="003A31EF"/>
    <w:rsid w:val="003A3339"/>
    <w:rsid w:val="003A3399"/>
    <w:rsid w:val="003A35C5"/>
    <w:rsid w:val="003A368A"/>
    <w:rsid w:val="003A36A6"/>
    <w:rsid w:val="003A3751"/>
    <w:rsid w:val="003A380B"/>
    <w:rsid w:val="003A39D0"/>
    <w:rsid w:val="003A3A85"/>
    <w:rsid w:val="003A3BA8"/>
    <w:rsid w:val="003A434D"/>
    <w:rsid w:val="003A44AF"/>
    <w:rsid w:val="003A47C0"/>
    <w:rsid w:val="003A49DD"/>
    <w:rsid w:val="003A4B6B"/>
    <w:rsid w:val="003A4BD0"/>
    <w:rsid w:val="003A4C27"/>
    <w:rsid w:val="003A4CA3"/>
    <w:rsid w:val="003A4CEB"/>
    <w:rsid w:val="003A4DF4"/>
    <w:rsid w:val="003A4E00"/>
    <w:rsid w:val="003A4F5D"/>
    <w:rsid w:val="003A4FDA"/>
    <w:rsid w:val="003A51A7"/>
    <w:rsid w:val="003A520E"/>
    <w:rsid w:val="003A52D5"/>
    <w:rsid w:val="003A53AA"/>
    <w:rsid w:val="003A53D1"/>
    <w:rsid w:val="003A54D6"/>
    <w:rsid w:val="003A575B"/>
    <w:rsid w:val="003A588B"/>
    <w:rsid w:val="003A5CD5"/>
    <w:rsid w:val="003A5DB9"/>
    <w:rsid w:val="003A5DE2"/>
    <w:rsid w:val="003A5FF3"/>
    <w:rsid w:val="003A6049"/>
    <w:rsid w:val="003A63D4"/>
    <w:rsid w:val="003A6428"/>
    <w:rsid w:val="003A6652"/>
    <w:rsid w:val="003A66D1"/>
    <w:rsid w:val="003A673B"/>
    <w:rsid w:val="003A675F"/>
    <w:rsid w:val="003A6805"/>
    <w:rsid w:val="003A6820"/>
    <w:rsid w:val="003A6A31"/>
    <w:rsid w:val="003A6A5E"/>
    <w:rsid w:val="003A6B58"/>
    <w:rsid w:val="003A6C5F"/>
    <w:rsid w:val="003A6DBA"/>
    <w:rsid w:val="003A6E80"/>
    <w:rsid w:val="003A6F4E"/>
    <w:rsid w:val="003A7288"/>
    <w:rsid w:val="003A7D2C"/>
    <w:rsid w:val="003A7DE8"/>
    <w:rsid w:val="003B0059"/>
    <w:rsid w:val="003B008A"/>
    <w:rsid w:val="003B0879"/>
    <w:rsid w:val="003B0A07"/>
    <w:rsid w:val="003B0D2D"/>
    <w:rsid w:val="003B0D3F"/>
    <w:rsid w:val="003B0EEE"/>
    <w:rsid w:val="003B0EFE"/>
    <w:rsid w:val="003B112B"/>
    <w:rsid w:val="003B113E"/>
    <w:rsid w:val="003B1190"/>
    <w:rsid w:val="003B12C9"/>
    <w:rsid w:val="003B1483"/>
    <w:rsid w:val="003B15BB"/>
    <w:rsid w:val="003B1830"/>
    <w:rsid w:val="003B19E6"/>
    <w:rsid w:val="003B1A10"/>
    <w:rsid w:val="003B1B93"/>
    <w:rsid w:val="003B1D46"/>
    <w:rsid w:val="003B1FEC"/>
    <w:rsid w:val="003B204B"/>
    <w:rsid w:val="003B222A"/>
    <w:rsid w:val="003B24CB"/>
    <w:rsid w:val="003B2562"/>
    <w:rsid w:val="003B2688"/>
    <w:rsid w:val="003B297D"/>
    <w:rsid w:val="003B2A87"/>
    <w:rsid w:val="003B2BD4"/>
    <w:rsid w:val="003B2E4F"/>
    <w:rsid w:val="003B32F1"/>
    <w:rsid w:val="003B346F"/>
    <w:rsid w:val="003B348A"/>
    <w:rsid w:val="003B363C"/>
    <w:rsid w:val="003B36F7"/>
    <w:rsid w:val="003B37F1"/>
    <w:rsid w:val="003B37FF"/>
    <w:rsid w:val="003B3B94"/>
    <w:rsid w:val="003B3D9E"/>
    <w:rsid w:val="003B400B"/>
    <w:rsid w:val="003B4155"/>
    <w:rsid w:val="003B4634"/>
    <w:rsid w:val="003B4A57"/>
    <w:rsid w:val="003B4A8A"/>
    <w:rsid w:val="003B4BEE"/>
    <w:rsid w:val="003B4CA4"/>
    <w:rsid w:val="003B4D96"/>
    <w:rsid w:val="003B51FB"/>
    <w:rsid w:val="003B53BA"/>
    <w:rsid w:val="003B5425"/>
    <w:rsid w:val="003B54BE"/>
    <w:rsid w:val="003B55A3"/>
    <w:rsid w:val="003B576A"/>
    <w:rsid w:val="003B5831"/>
    <w:rsid w:val="003B5A5B"/>
    <w:rsid w:val="003B5A73"/>
    <w:rsid w:val="003B5B84"/>
    <w:rsid w:val="003B5D6A"/>
    <w:rsid w:val="003B5E4E"/>
    <w:rsid w:val="003B666B"/>
    <w:rsid w:val="003B672F"/>
    <w:rsid w:val="003B67F5"/>
    <w:rsid w:val="003B68A0"/>
    <w:rsid w:val="003B6AA5"/>
    <w:rsid w:val="003B6B61"/>
    <w:rsid w:val="003B6C1F"/>
    <w:rsid w:val="003B6C62"/>
    <w:rsid w:val="003B6CA5"/>
    <w:rsid w:val="003B6E82"/>
    <w:rsid w:val="003B6EAD"/>
    <w:rsid w:val="003B711F"/>
    <w:rsid w:val="003B7197"/>
    <w:rsid w:val="003B73ED"/>
    <w:rsid w:val="003B7651"/>
    <w:rsid w:val="003B79D6"/>
    <w:rsid w:val="003B79DC"/>
    <w:rsid w:val="003B7A6C"/>
    <w:rsid w:val="003B7DBF"/>
    <w:rsid w:val="003B7E82"/>
    <w:rsid w:val="003B7EA3"/>
    <w:rsid w:val="003B7F84"/>
    <w:rsid w:val="003B7F92"/>
    <w:rsid w:val="003B7FCF"/>
    <w:rsid w:val="003C0878"/>
    <w:rsid w:val="003C08DD"/>
    <w:rsid w:val="003C0976"/>
    <w:rsid w:val="003C0A83"/>
    <w:rsid w:val="003C0AA8"/>
    <w:rsid w:val="003C11AA"/>
    <w:rsid w:val="003C16B0"/>
    <w:rsid w:val="003C16B2"/>
    <w:rsid w:val="003C1780"/>
    <w:rsid w:val="003C18BB"/>
    <w:rsid w:val="003C1959"/>
    <w:rsid w:val="003C220D"/>
    <w:rsid w:val="003C224B"/>
    <w:rsid w:val="003C234B"/>
    <w:rsid w:val="003C2458"/>
    <w:rsid w:val="003C2694"/>
    <w:rsid w:val="003C27DB"/>
    <w:rsid w:val="003C2C8D"/>
    <w:rsid w:val="003C2CA3"/>
    <w:rsid w:val="003C2D86"/>
    <w:rsid w:val="003C31D6"/>
    <w:rsid w:val="003C321E"/>
    <w:rsid w:val="003C3471"/>
    <w:rsid w:val="003C368E"/>
    <w:rsid w:val="003C3697"/>
    <w:rsid w:val="003C36E2"/>
    <w:rsid w:val="003C3732"/>
    <w:rsid w:val="003C37CF"/>
    <w:rsid w:val="003C396B"/>
    <w:rsid w:val="003C39DC"/>
    <w:rsid w:val="003C3AF8"/>
    <w:rsid w:val="003C3DD0"/>
    <w:rsid w:val="003C3FE9"/>
    <w:rsid w:val="003C4265"/>
    <w:rsid w:val="003C42CC"/>
    <w:rsid w:val="003C42D3"/>
    <w:rsid w:val="003C4342"/>
    <w:rsid w:val="003C435D"/>
    <w:rsid w:val="003C439C"/>
    <w:rsid w:val="003C440B"/>
    <w:rsid w:val="003C4420"/>
    <w:rsid w:val="003C442C"/>
    <w:rsid w:val="003C44EA"/>
    <w:rsid w:val="003C4599"/>
    <w:rsid w:val="003C45F1"/>
    <w:rsid w:val="003C474E"/>
    <w:rsid w:val="003C478B"/>
    <w:rsid w:val="003C4C0E"/>
    <w:rsid w:val="003C4D1A"/>
    <w:rsid w:val="003C4D88"/>
    <w:rsid w:val="003C4FC8"/>
    <w:rsid w:val="003C4FF1"/>
    <w:rsid w:val="003C511D"/>
    <w:rsid w:val="003C5216"/>
    <w:rsid w:val="003C5262"/>
    <w:rsid w:val="003C54E1"/>
    <w:rsid w:val="003C577E"/>
    <w:rsid w:val="003C5A76"/>
    <w:rsid w:val="003C5B3D"/>
    <w:rsid w:val="003C6144"/>
    <w:rsid w:val="003C6171"/>
    <w:rsid w:val="003C61EC"/>
    <w:rsid w:val="003C63D4"/>
    <w:rsid w:val="003C69B5"/>
    <w:rsid w:val="003C69BC"/>
    <w:rsid w:val="003C6B5A"/>
    <w:rsid w:val="003C6D60"/>
    <w:rsid w:val="003C6F7C"/>
    <w:rsid w:val="003C6FD1"/>
    <w:rsid w:val="003C7200"/>
    <w:rsid w:val="003C72D8"/>
    <w:rsid w:val="003C7566"/>
    <w:rsid w:val="003C77C3"/>
    <w:rsid w:val="003C7895"/>
    <w:rsid w:val="003C78FE"/>
    <w:rsid w:val="003C7A1E"/>
    <w:rsid w:val="003C7D1E"/>
    <w:rsid w:val="003C7FA0"/>
    <w:rsid w:val="003D0289"/>
    <w:rsid w:val="003D03C1"/>
    <w:rsid w:val="003D0410"/>
    <w:rsid w:val="003D0414"/>
    <w:rsid w:val="003D0424"/>
    <w:rsid w:val="003D089D"/>
    <w:rsid w:val="003D0949"/>
    <w:rsid w:val="003D0C5F"/>
    <w:rsid w:val="003D0C8E"/>
    <w:rsid w:val="003D0CD2"/>
    <w:rsid w:val="003D10E8"/>
    <w:rsid w:val="003D1300"/>
    <w:rsid w:val="003D1340"/>
    <w:rsid w:val="003D1417"/>
    <w:rsid w:val="003D15B3"/>
    <w:rsid w:val="003D1864"/>
    <w:rsid w:val="003D1A29"/>
    <w:rsid w:val="003D2062"/>
    <w:rsid w:val="003D2063"/>
    <w:rsid w:val="003D24E4"/>
    <w:rsid w:val="003D2586"/>
    <w:rsid w:val="003D2685"/>
    <w:rsid w:val="003D2C49"/>
    <w:rsid w:val="003D34C1"/>
    <w:rsid w:val="003D360D"/>
    <w:rsid w:val="003D37BE"/>
    <w:rsid w:val="003D385B"/>
    <w:rsid w:val="003D39D4"/>
    <w:rsid w:val="003D3A54"/>
    <w:rsid w:val="003D3ABA"/>
    <w:rsid w:val="003D3B45"/>
    <w:rsid w:val="003D3BE3"/>
    <w:rsid w:val="003D3C14"/>
    <w:rsid w:val="003D3D69"/>
    <w:rsid w:val="003D3E4F"/>
    <w:rsid w:val="003D3FBA"/>
    <w:rsid w:val="003D403D"/>
    <w:rsid w:val="003D405E"/>
    <w:rsid w:val="003D40C3"/>
    <w:rsid w:val="003D4157"/>
    <w:rsid w:val="003D4288"/>
    <w:rsid w:val="003D43A2"/>
    <w:rsid w:val="003D44FC"/>
    <w:rsid w:val="003D4573"/>
    <w:rsid w:val="003D4714"/>
    <w:rsid w:val="003D476B"/>
    <w:rsid w:val="003D48B9"/>
    <w:rsid w:val="003D494B"/>
    <w:rsid w:val="003D49CD"/>
    <w:rsid w:val="003D4A8D"/>
    <w:rsid w:val="003D4B9F"/>
    <w:rsid w:val="003D4C11"/>
    <w:rsid w:val="003D4CE5"/>
    <w:rsid w:val="003D4D6F"/>
    <w:rsid w:val="003D4ED8"/>
    <w:rsid w:val="003D4F2C"/>
    <w:rsid w:val="003D513C"/>
    <w:rsid w:val="003D5143"/>
    <w:rsid w:val="003D5156"/>
    <w:rsid w:val="003D523F"/>
    <w:rsid w:val="003D52B2"/>
    <w:rsid w:val="003D56A5"/>
    <w:rsid w:val="003D56BB"/>
    <w:rsid w:val="003D5714"/>
    <w:rsid w:val="003D5C0A"/>
    <w:rsid w:val="003D5C9D"/>
    <w:rsid w:val="003D5F6F"/>
    <w:rsid w:val="003D5FF9"/>
    <w:rsid w:val="003D630A"/>
    <w:rsid w:val="003D6311"/>
    <w:rsid w:val="003D64BA"/>
    <w:rsid w:val="003D674A"/>
    <w:rsid w:val="003D6821"/>
    <w:rsid w:val="003D6871"/>
    <w:rsid w:val="003D6947"/>
    <w:rsid w:val="003D6A81"/>
    <w:rsid w:val="003D6CB6"/>
    <w:rsid w:val="003D6E0E"/>
    <w:rsid w:val="003D6EE6"/>
    <w:rsid w:val="003D6F8B"/>
    <w:rsid w:val="003D70FD"/>
    <w:rsid w:val="003D72F2"/>
    <w:rsid w:val="003D7479"/>
    <w:rsid w:val="003D74E0"/>
    <w:rsid w:val="003D756C"/>
    <w:rsid w:val="003D75C8"/>
    <w:rsid w:val="003D7654"/>
    <w:rsid w:val="003D7704"/>
    <w:rsid w:val="003D78A9"/>
    <w:rsid w:val="003D7C22"/>
    <w:rsid w:val="003D7CDE"/>
    <w:rsid w:val="003D7D7C"/>
    <w:rsid w:val="003D7DCE"/>
    <w:rsid w:val="003D7F38"/>
    <w:rsid w:val="003E0297"/>
    <w:rsid w:val="003E04EF"/>
    <w:rsid w:val="003E0676"/>
    <w:rsid w:val="003E079B"/>
    <w:rsid w:val="003E0BA0"/>
    <w:rsid w:val="003E0C86"/>
    <w:rsid w:val="003E0D20"/>
    <w:rsid w:val="003E0D4A"/>
    <w:rsid w:val="003E0DC9"/>
    <w:rsid w:val="003E0DD0"/>
    <w:rsid w:val="003E0DF7"/>
    <w:rsid w:val="003E0FA5"/>
    <w:rsid w:val="003E1129"/>
    <w:rsid w:val="003E11C0"/>
    <w:rsid w:val="003E134F"/>
    <w:rsid w:val="003E1377"/>
    <w:rsid w:val="003E152A"/>
    <w:rsid w:val="003E158D"/>
    <w:rsid w:val="003E177F"/>
    <w:rsid w:val="003E18A6"/>
    <w:rsid w:val="003E1932"/>
    <w:rsid w:val="003E1942"/>
    <w:rsid w:val="003E1A1B"/>
    <w:rsid w:val="003E1AB9"/>
    <w:rsid w:val="003E1B51"/>
    <w:rsid w:val="003E1F68"/>
    <w:rsid w:val="003E1FCC"/>
    <w:rsid w:val="003E2678"/>
    <w:rsid w:val="003E268E"/>
    <w:rsid w:val="003E283E"/>
    <w:rsid w:val="003E2921"/>
    <w:rsid w:val="003E29BE"/>
    <w:rsid w:val="003E2A5E"/>
    <w:rsid w:val="003E2A95"/>
    <w:rsid w:val="003E2CED"/>
    <w:rsid w:val="003E2D02"/>
    <w:rsid w:val="003E2E59"/>
    <w:rsid w:val="003E2E5B"/>
    <w:rsid w:val="003E31A3"/>
    <w:rsid w:val="003E31CE"/>
    <w:rsid w:val="003E31FA"/>
    <w:rsid w:val="003E3322"/>
    <w:rsid w:val="003E362E"/>
    <w:rsid w:val="003E3661"/>
    <w:rsid w:val="003E37BF"/>
    <w:rsid w:val="003E3885"/>
    <w:rsid w:val="003E38A2"/>
    <w:rsid w:val="003E3B67"/>
    <w:rsid w:val="003E3CD3"/>
    <w:rsid w:val="003E3D36"/>
    <w:rsid w:val="003E3DFD"/>
    <w:rsid w:val="003E484F"/>
    <w:rsid w:val="003E48D0"/>
    <w:rsid w:val="003E4969"/>
    <w:rsid w:val="003E4B43"/>
    <w:rsid w:val="003E4BA9"/>
    <w:rsid w:val="003E4C7E"/>
    <w:rsid w:val="003E4E06"/>
    <w:rsid w:val="003E4E6C"/>
    <w:rsid w:val="003E51F2"/>
    <w:rsid w:val="003E533F"/>
    <w:rsid w:val="003E56BB"/>
    <w:rsid w:val="003E56DB"/>
    <w:rsid w:val="003E5717"/>
    <w:rsid w:val="003E5ADB"/>
    <w:rsid w:val="003E5B44"/>
    <w:rsid w:val="003E5BB3"/>
    <w:rsid w:val="003E5C66"/>
    <w:rsid w:val="003E5D88"/>
    <w:rsid w:val="003E5E11"/>
    <w:rsid w:val="003E608E"/>
    <w:rsid w:val="003E613F"/>
    <w:rsid w:val="003E6366"/>
    <w:rsid w:val="003E65C7"/>
    <w:rsid w:val="003E6716"/>
    <w:rsid w:val="003E69E1"/>
    <w:rsid w:val="003E6B35"/>
    <w:rsid w:val="003E6C76"/>
    <w:rsid w:val="003E6E8F"/>
    <w:rsid w:val="003E707B"/>
    <w:rsid w:val="003E70A8"/>
    <w:rsid w:val="003E78E8"/>
    <w:rsid w:val="003E7A0B"/>
    <w:rsid w:val="003E7B91"/>
    <w:rsid w:val="003E7C3A"/>
    <w:rsid w:val="003F01D8"/>
    <w:rsid w:val="003F0358"/>
    <w:rsid w:val="003F0518"/>
    <w:rsid w:val="003F0584"/>
    <w:rsid w:val="003F0605"/>
    <w:rsid w:val="003F0866"/>
    <w:rsid w:val="003F0F21"/>
    <w:rsid w:val="003F0F4F"/>
    <w:rsid w:val="003F0FE3"/>
    <w:rsid w:val="003F1397"/>
    <w:rsid w:val="003F139D"/>
    <w:rsid w:val="003F143A"/>
    <w:rsid w:val="003F1B54"/>
    <w:rsid w:val="003F1B6D"/>
    <w:rsid w:val="003F1D8E"/>
    <w:rsid w:val="003F1E17"/>
    <w:rsid w:val="003F1F95"/>
    <w:rsid w:val="003F2224"/>
    <w:rsid w:val="003F234B"/>
    <w:rsid w:val="003F24C6"/>
    <w:rsid w:val="003F24E5"/>
    <w:rsid w:val="003F25D5"/>
    <w:rsid w:val="003F263E"/>
    <w:rsid w:val="003F26E4"/>
    <w:rsid w:val="003F272B"/>
    <w:rsid w:val="003F2818"/>
    <w:rsid w:val="003F284C"/>
    <w:rsid w:val="003F29B7"/>
    <w:rsid w:val="003F2D44"/>
    <w:rsid w:val="003F2E27"/>
    <w:rsid w:val="003F2E64"/>
    <w:rsid w:val="003F3278"/>
    <w:rsid w:val="003F32CC"/>
    <w:rsid w:val="003F338A"/>
    <w:rsid w:val="003F377D"/>
    <w:rsid w:val="003F3983"/>
    <w:rsid w:val="003F39D9"/>
    <w:rsid w:val="003F3A0D"/>
    <w:rsid w:val="003F3A63"/>
    <w:rsid w:val="003F3A70"/>
    <w:rsid w:val="003F3C67"/>
    <w:rsid w:val="003F3CD9"/>
    <w:rsid w:val="003F3D3A"/>
    <w:rsid w:val="003F3F3B"/>
    <w:rsid w:val="003F3F7E"/>
    <w:rsid w:val="003F4178"/>
    <w:rsid w:val="003F4223"/>
    <w:rsid w:val="003F4263"/>
    <w:rsid w:val="003F43CB"/>
    <w:rsid w:val="003F44BF"/>
    <w:rsid w:val="003F479A"/>
    <w:rsid w:val="003F4A4A"/>
    <w:rsid w:val="003F4E28"/>
    <w:rsid w:val="003F4E6D"/>
    <w:rsid w:val="003F4F01"/>
    <w:rsid w:val="003F4FEF"/>
    <w:rsid w:val="003F50D0"/>
    <w:rsid w:val="003F5353"/>
    <w:rsid w:val="003F540E"/>
    <w:rsid w:val="003F5445"/>
    <w:rsid w:val="003F5459"/>
    <w:rsid w:val="003F55FE"/>
    <w:rsid w:val="003F56B2"/>
    <w:rsid w:val="003F58A5"/>
    <w:rsid w:val="003F590D"/>
    <w:rsid w:val="003F598A"/>
    <w:rsid w:val="003F5C41"/>
    <w:rsid w:val="003F5D9B"/>
    <w:rsid w:val="003F64AA"/>
    <w:rsid w:val="003F677B"/>
    <w:rsid w:val="003F67BE"/>
    <w:rsid w:val="003F67F7"/>
    <w:rsid w:val="003F6826"/>
    <w:rsid w:val="003F68C9"/>
    <w:rsid w:val="003F68DA"/>
    <w:rsid w:val="003F6A9E"/>
    <w:rsid w:val="003F6C4C"/>
    <w:rsid w:val="003F6CCC"/>
    <w:rsid w:val="003F6D23"/>
    <w:rsid w:val="003F6E78"/>
    <w:rsid w:val="003F715A"/>
    <w:rsid w:val="003F72E2"/>
    <w:rsid w:val="003F73D0"/>
    <w:rsid w:val="003F7464"/>
    <w:rsid w:val="003F7770"/>
    <w:rsid w:val="003F7991"/>
    <w:rsid w:val="003F7A5B"/>
    <w:rsid w:val="003F7BCA"/>
    <w:rsid w:val="003F7F5D"/>
    <w:rsid w:val="0040019F"/>
    <w:rsid w:val="00400673"/>
    <w:rsid w:val="00400711"/>
    <w:rsid w:val="00400952"/>
    <w:rsid w:val="00400D76"/>
    <w:rsid w:val="00401075"/>
    <w:rsid w:val="00401360"/>
    <w:rsid w:val="004016FB"/>
    <w:rsid w:val="00401966"/>
    <w:rsid w:val="00401BF6"/>
    <w:rsid w:val="00401C15"/>
    <w:rsid w:val="004022C5"/>
    <w:rsid w:val="0040239C"/>
    <w:rsid w:val="004028A2"/>
    <w:rsid w:val="00402912"/>
    <w:rsid w:val="00402ACE"/>
    <w:rsid w:val="00402D97"/>
    <w:rsid w:val="00402EEC"/>
    <w:rsid w:val="00402EF0"/>
    <w:rsid w:val="00402F67"/>
    <w:rsid w:val="00402FA4"/>
    <w:rsid w:val="00403164"/>
    <w:rsid w:val="004031CD"/>
    <w:rsid w:val="004033BD"/>
    <w:rsid w:val="00403637"/>
    <w:rsid w:val="004039A0"/>
    <w:rsid w:val="00403B30"/>
    <w:rsid w:val="00403D74"/>
    <w:rsid w:val="00403E54"/>
    <w:rsid w:val="0040416C"/>
    <w:rsid w:val="0040429F"/>
    <w:rsid w:val="004042A6"/>
    <w:rsid w:val="004042AC"/>
    <w:rsid w:val="00404341"/>
    <w:rsid w:val="004043C4"/>
    <w:rsid w:val="004043C5"/>
    <w:rsid w:val="004044EA"/>
    <w:rsid w:val="00404566"/>
    <w:rsid w:val="00404791"/>
    <w:rsid w:val="004047A3"/>
    <w:rsid w:val="00404973"/>
    <w:rsid w:val="00404A8F"/>
    <w:rsid w:val="00404E04"/>
    <w:rsid w:val="00404F1F"/>
    <w:rsid w:val="0040505D"/>
    <w:rsid w:val="004050A1"/>
    <w:rsid w:val="004056B8"/>
    <w:rsid w:val="004058C8"/>
    <w:rsid w:val="00405A15"/>
    <w:rsid w:val="00405AF5"/>
    <w:rsid w:val="00405B8B"/>
    <w:rsid w:val="00405C2D"/>
    <w:rsid w:val="00405D98"/>
    <w:rsid w:val="00405E27"/>
    <w:rsid w:val="004060A3"/>
    <w:rsid w:val="00406165"/>
    <w:rsid w:val="00406A1C"/>
    <w:rsid w:val="00406BFE"/>
    <w:rsid w:val="00406CBC"/>
    <w:rsid w:val="00406DD3"/>
    <w:rsid w:val="00407008"/>
    <w:rsid w:val="00407075"/>
    <w:rsid w:val="004070D7"/>
    <w:rsid w:val="00407123"/>
    <w:rsid w:val="00407158"/>
    <w:rsid w:val="004073CC"/>
    <w:rsid w:val="0040755B"/>
    <w:rsid w:val="00407573"/>
    <w:rsid w:val="004075C4"/>
    <w:rsid w:val="004075E0"/>
    <w:rsid w:val="00407634"/>
    <w:rsid w:val="00407655"/>
    <w:rsid w:val="00407AA8"/>
    <w:rsid w:val="00407B9D"/>
    <w:rsid w:val="00407BCF"/>
    <w:rsid w:val="00407C3F"/>
    <w:rsid w:val="004100D7"/>
    <w:rsid w:val="00410159"/>
    <w:rsid w:val="00410492"/>
    <w:rsid w:val="00410642"/>
    <w:rsid w:val="00410888"/>
    <w:rsid w:val="00410B65"/>
    <w:rsid w:val="00410BB4"/>
    <w:rsid w:val="00410C36"/>
    <w:rsid w:val="00410E91"/>
    <w:rsid w:val="00410FEC"/>
    <w:rsid w:val="0041124C"/>
    <w:rsid w:val="004112DF"/>
    <w:rsid w:val="00411406"/>
    <w:rsid w:val="004115E3"/>
    <w:rsid w:val="0041170D"/>
    <w:rsid w:val="00411775"/>
    <w:rsid w:val="00411CF7"/>
    <w:rsid w:val="00411E23"/>
    <w:rsid w:val="00412052"/>
    <w:rsid w:val="0041213E"/>
    <w:rsid w:val="0041232F"/>
    <w:rsid w:val="00412441"/>
    <w:rsid w:val="0041262B"/>
    <w:rsid w:val="0041274E"/>
    <w:rsid w:val="004129D2"/>
    <w:rsid w:val="004129DF"/>
    <w:rsid w:val="00412C0A"/>
    <w:rsid w:val="00412C1D"/>
    <w:rsid w:val="00412C28"/>
    <w:rsid w:val="00412C57"/>
    <w:rsid w:val="00412DBE"/>
    <w:rsid w:val="00413029"/>
    <w:rsid w:val="00413176"/>
    <w:rsid w:val="004131B5"/>
    <w:rsid w:val="00413330"/>
    <w:rsid w:val="00413486"/>
    <w:rsid w:val="004138A7"/>
    <w:rsid w:val="00413A08"/>
    <w:rsid w:val="00413A49"/>
    <w:rsid w:val="00413ABE"/>
    <w:rsid w:val="00413DEB"/>
    <w:rsid w:val="0041416A"/>
    <w:rsid w:val="004141AF"/>
    <w:rsid w:val="00414493"/>
    <w:rsid w:val="00414679"/>
    <w:rsid w:val="00414791"/>
    <w:rsid w:val="00414870"/>
    <w:rsid w:val="004149D4"/>
    <w:rsid w:val="00414A81"/>
    <w:rsid w:val="00414C89"/>
    <w:rsid w:val="00414D36"/>
    <w:rsid w:val="00414D87"/>
    <w:rsid w:val="00414E77"/>
    <w:rsid w:val="00415033"/>
    <w:rsid w:val="00415226"/>
    <w:rsid w:val="00415622"/>
    <w:rsid w:val="00415693"/>
    <w:rsid w:val="004158BA"/>
    <w:rsid w:val="00415AFF"/>
    <w:rsid w:val="00415CF8"/>
    <w:rsid w:val="00415DF9"/>
    <w:rsid w:val="004160C4"/>
    <w:rsid w:val="004160FC"/>
    <w:rsid w:val="004161EB"/>
    <w:rsid w:val="00416444"/>
    <w:rsid w:val="00416447"/>
    <w:rsid w:val="00416549"/>
    <w:rsid w:val="0041676F"/>
    <w:rsid w:val="00416816"/>
    <w:rsid w:val="00416837"/>
    <w:rsid w:val="00416935"/>
    <w:rsid w:val="00416A4C"/>
    <w:rsid w:val="00416C9B"/>
    <w:rsid w:val="00416F09"/>
    <w:rsid w:val="00416F39"/>
    <w:rsid w:val="00416FEB"/>
    <w:rsid w:val="004170E2"/>
    <w:rsid w:val="00417311"/>
    <w:rsid w:val="0041738A"/>
    <w:rsid w:val="00417390"/>
    <w:rsid w:val="00417397"/>
    <w:rsid w:val="00417443"/>
    <w:rsid w:val="00417523"/>
    <w:rsid w:val="004176F2"/>
    <w:rsid w:val="004179BA"/>
    <w:rsid w:val="00417ABB"/>
    <w:rsid w:val="00417B8E"/>
    <w:rsid w:val="00417BAE"/>
    <w:rsid w:val="00417C96"/>
    <w:rsid w:val="00417F25"/>
    <w:rsid w:val="0042014E"/>
    <w:rsid w:val="0042021E"/>
    <w:rsid w:val="004202E4"/>
    <w:rsid w:val="00420313"/>
    <w:rsid w:val="00420442"/>
    <w:rsid w:val="00420678"/>
    <w:rsid w:val="0042094D"/>
    <w:rsid w:val="00420AFD"/>
    <w:rsid w:val="00420E8B"/>
    <w:rsid w:val="004210E0"/>
    <w:rsid w:val="004213BD"/>
    <w:rsid w:val="004213C4"/>
    <w:rsid w:val="004214B4"/>
    <w:rsid w:val="004218AE"/>
    <w:rsid w:val="00421A4B"/>
    <w:rsid w:val="00421A91"/>
    <w:rsid w:val="00421A9D"/>
    <w:rsid w:val="00421D64"/>
    <w:rsid w:val="00421EDC"/>
    <w:rsid w:val="004220E6"/>
    <w:rsid w:val="0042217B"/>
    <w:rsid w:val="004222DA"/>
    <w:rsid w:val="004222F7"/>
    <w:rsid w:val="00422440"/>
    <w:rsid w:val="004226CB"/>
    <w:rsid w:val="004230A5"/>
    <w:rsid w:val="00423201"/>
    <w:rsid w:val="004234EA"/>
    <w:rsid w:val="00423892"/>
    <w:rsid w:val="004238AD"/>
    <w:rsid w:val="00423A8C"/>
    <w:rsid w:val="00423A90"/>
    <w:rsid w:val="00423BE2"/>
    <w:rsid w:val="00423C8A"/>
    <w:rsid w:val="00423D6E"/>
    <w:rsid w:val="00423D92"/>
    <w:rsid w:val="00423F23"/>
    <w:rsid w:val="00424059"/>
    <w:rsid w:val="004240C8"/>
    <w:rsid w:val="0042419D"/>
    <w:rsid w:val="0042429A"/>
    <w:rsid w:val="0042435F"/>
    <w:rsid w:val="004247DC"/>
    <w:rsid w:val="00424989"/>
    <w:rsid w:val="00424C4F"/>
    <w:rsid w:val="00425476"/>
    <w:rsid w:val="00425501"/>
    <w:rsid w:val="00425505"/>
    <w:rsid w:val="0042555D"/>
    <w:rsid w:val="0042571F"/>
    <w:rsid w:val="004258CA"/>
    <w:rsid w:val="00425B79"/>
    <w:rsid w:val="00425C01"/>
    <w:rsid w:val="00425E9D"/>
    <w:rsid w:val="004260FA"/>
    <w:rsid w:val="00426102"/>
    <w:rsid w:val="004261A3"/>
    <w:rsid w:val="004262C3"/>
    <w:rsid w:val="0042650F"/>
    <w:rsid w:val="0042689F"/>
    <w:rsid w:val="004268BA"/>
    <w:rsid w:val="00426DF4"/>
    <w:rsid w:val="00426E97"/>
    <w:rsid w:val="00426EC8"/>
    <w:rsid w:val="00427043"/>
    <w:rsid w:val="004271F6"/>
    <w:rsid w:val="00427663"/>
    <w:rsid w:val="00427A60"/>
    <w:rsid w:val="00427D0A"/>
    <w:rsid w:val="0043010D"/>
    <w:rsid w:val="00430509"/>
    <w:rsid w:val="004305E9"/>
    <w:rsid w:val="004306E3"/>
    <w:rsid w:val="00430807"/>
    <w:rsid w:val="00430A37"/>
    <w:rsid w:val="00430B52"/>
    <w:rsid w:val="00430F9D"/>
    <w:rsid w:val="004313AF"/>
    <w:rsid w:val="0043143B"/>
    <w:rsid w:val="00431453"/>
    <w:rsid w:val="004315CC"/>
    <w:rsid w:val="004317FC"/>
    <w:rsid w:val="00431876"/>
    <w:rsid w:val="004318EC"/>
    <w:rsid w:val="00431989"/>
    <w:rsid w:val="00431C0B"/>
    <w:rsid w:val="00431C62"/>
    <w:rsid w:val="00431D3A"/>
    <w:rsid w:val="00431DF3"/>
    <w:rsid w:val="0043250D"/>
    <w:rsid w:val="00432559"/>
    <w:rsid w:val="004328DB"/>
    <w:rsid w:val="0043295A"/>
    <w:rsid w:val="00432B05"/>
    <w:rsid w:val="00432B11"/>
    <w:rsid w:val="00432C41"/>
    <w:rsid w:val="00432CE6"/>
    <w:rsid w:val="00432D3F"/>
    <w:rsid w:val="00432E54"/>
    <w:rsid w:val="00432EA7"/>
    <w:rsid w:val="004331EF"/>
    <w:rsid w:val="00433209"/>
    <w:rsid w:val="00433287"/>
    <w:rsid w:val="004332DD"/>
    <w:rsid w:val="004333CA"/>
    <w:rsid w:val="0043344C"/>
    <w:rsid w:val="004334C6"/>
    <w:rsid w:val="00433640"/>
    <w:rsid w:val="004336A8"/>
    <w:rsid w:val="00433782"/>
    <w:rsid w:val="0043396E"/>
    <w:rsid w:val="004339AA"/>
    <w:rsid w:val="004339D8"/>
    <w:rsid w:val="00433F45"/>
    <w:rsid w:val="00433F81"/>
    <w:rsid w:val="00434136"/>
    <w:rsid w:val="0043417D"/>
    <w:rsid w:val="00434373"/>
    <w:rsid w:val="004345A5"/>
    <w:rsid w:val="0043463E"/>
    <w:rsid w:val="0043467B"/>
    <w:rsid w:val="004346FF"/>
    <w:rsid w:val="004349D9"/>
    <w:rsid w:val="00434A52"/>
    <w:rsid w:val="00434B25"/>
    <w:rsid w:val="00434C9E"/>
    <w:rsid w:val="00434FC7"/>
    <w:rsid w:val="00435044"/>
    <w:rsid w:val="004350B3"/>
    <w:rsid w:val="004350DB"/>
    <w:rsid w:val="0043569C"/>
    <w:rsid w:val="0043583B"/>
    <w:rsid w:val="004358A4"/>
    <w:rsid w:val="00435951"/>
    <w:rsid w:val="00435A16"/>
    <w:rsid w:val="00435A45"/>
    <w:rsid w:val="00435BBA"/>
    <w:rsid w:val="00435D1A"/>
    <w:rsid w:val="00435D24"/>
    <w:rsid w:val="00435E3A"/>
    <w:rsid w:val="00435F00"/>
    <w:rsid w:val="004361FF"/>
    <w:rsid w:val="00436244"/>
    <w:rsid w:val="004365F8"/>
    <w:rsid w:val="004366F2"/>
    <w:rsid w:val="0043679B"/>
    <w:rsid w:val="00436952"/>
    <w:rsid w:val="00436A31"/>
    <w:rsid w:val="00436BEC"/>
    <w:rsid w:val="00436D4B"/>
    <w:rsid w:val="00436D8E"/>
    <w:rsid w:val="00436DC7"/>
    <w:rsid w:val="00436F03"/>
    <w:rsid w:val="00436FD6"/>
    <w:rsid w:val="00437201"/>
    <w:rsid w:val="00437286"/>
    <w:rsid w:val="004379E2"/>
    <w:rsid w:val="00437ADA"/>
    <w:rsid w:val="00437B4E"/>
    <w:rsid w:val="0044016C"/>
    <w:rsid w:val="00440275"/>
    <w:rsid w:val="00440417"/>
    <w:rsid w:val="0044042E"/>
    <w:rsid w:val="00440698"/>
    <w:rsid w:val="00440C55"/>
    <w:rsid w:val="00440E4A"/>
    <w:rsid w:val="0044120D"/>
    <w:rsid w:val="00441304"/>
    <w:rsid w:val="004413FD"/>
    <w:rsid w:val="0044143F"/>
    <w:rsid w:val="0044146D"/>
    <w:rsid w:val="004414A7"/>
    <w:rsid w:val="004415D8"/>
    <w:rsid w:val="004417B5"/>
    <w:rsid w:val="0044186E"/>
    <w:rsid w:val="0044189A"/>
    <w:rsid w:val="00441CFF"/>
    <w:rsid w:val="00441E02"/>
    <w:rsid w:val="00441E1F"/>
    <w:rsid w:val="004422B8"/>
    <w:rsid w:val="00442517"/>
    <w:rsid w:val="00442594"/>
    <w:rsid w:val="004425C2"/>
    <w:rsid w:val="00442657"/>
    <w:rsid w:val="004427F9"/>
    <w:rsid w:val="00442CE0"/>
    <w:rsid w:val="00442DAC"/>
    <w:rsid w:val="0044305F"/>
    <w:rsid w:val="004430E8"/>
    <w:rsid w:val="00443226"/>
    <w:rsid w:val="00443345"/>
    <w:rsid w:val="0044339A"/>
    <w:rsid w:val="004435F8"/>
    <w:rsid w:val="00443657"/>
    <w:rsid w:val="00443692"/>
    <w:rsid w:val="0044383D"/>
    <w:rsid w:val="0044393B"/>
    <w:rsid w:val="0044395A"/>
    <w:rsid w:val="00443A7F"/>
    <w:rsid w:val="00443CD4"/>
    <w:rsid w:val="00443CF8"/>
    <w:rsid w:val="00443EA1"/>
    <w:rsid w:val="00443F2A"/>
    <w:rsid w:val="00444181"/>
    <w:rsid w:val="004441D8"/>
    <w:rsid w:val="00444306"/>
    <w:rsid w:val="00444353"/>
    <w:rsid w:val="0044440F"/>
    <w:rsid w:val="00444D9E"/>
    <w:rsid w:val="00445047"/>
    <w:rsid w:val="00445382"/>
    <w:rsid w:val="0044544E"/>
    <w:rsid w:val="004454D6"/>
    <w:rsid w:val="00445612"/>
    <w:rsid w:val="00445758"/>
    <w:rsid w:val="00445960"/>
    <w:rsid w:val="00445A29"/>
    <w:rsid w:val="00445A80"/>
    <w:rsid w:val="00445C19"/>
    <w:rsid w:val="00445C53"/>
    <w:rsid w:val="0044615E"/>
    <w:rsid w:val="00446208"/>
    <w:rsid w:val="00446339"/>
    <w:rsid w:val="0044638F"/>
    <w:rsid w:val="004464A6"/>
    <w:rsid w:val="0044652F"/>
    <w:rsid w:val="004465E4"/>
    <w:rsid w:val="00446608"/>
    <w:rsid w:val="00446B1F"/>
    <w:rsid w:val="00446CAA"/>
    <w:rsid w:val="00446E4F"/>
    <w:rsid w:val="00446EBF"/>
    <w:rsid w:val="00446FAE"/>
    <w:rsid w:val="00446FCC"/>
    <w:rsid w:val="00447201"/>
    <w:rsid w:val="004473EE"/>
    <w:rsid w:val="004474A3"/>
    <w:rsid w:val="004475E5"/>
    <w:rsid w:val="00447628"/>
    <w:rsid w:val="00447931"/>
    <w:rsid w:val="004479BC"/>
    <w:rsid w:val="004479CD"/>
    <w:rsid w:val="004479D7"/>
    <w:rsid w:val="00447B95"/>
    <w:rsid w:val="00447BAC"/>
    <w:rsid w:val="00447E96"/>
    <w:rsid w:val="00447F36"/>
    <w:rsid w:val="004502D5"/>
    <w:rsid w:val="00450724"/>
    <w:rsid w:val="004507AD"/>
    <w:rsid w:val="004508D5"/>
    <w:rsid w:val="00450926"/>
    <w:rsid w:val="00450AE3"/>
    <w:rsid w:val="00450CE2"/>
    <w:rsid w:val="00450D9C"/>
    <w:rsid w:val="00450DA8"/>
    <w:rsid w:val="004512B8"/>
    <w:rsid w:val="004512DC"/>
    <w:rsid w:val="0045178E"/>
    <w:rsid w:val="00451913"/>
    <w:rsid w:val="00451AD4"/>
    <w:rsid w:val="00451BAA"/>
    <w:rsid w:val="00451C3A"/>
    <w:rsid w:val="00451CE6"/>
    <w:rsid w:val="00451D7D"/>
    <w:rsid w:val="0045218D"/>
    <w:rsid w:val="00452334"/>
    <w:rsid w:val="00452817"/>
    <w:rsid w:val="0045295C"/>
    <w:rsid w:val="004529B4"/>
    <w:rsid w:val="00452BA8"/>
    <w:rsid w:val="00452BE9"/>
    <w:rsid w:val="00452EB0"/>
    <w:rsid w:val="0045319C"/>
    <w:rsid w:val="00453250"/>
    <w:rsid w:val="00453343"/>
    <w:rsid w:val="004533A5"/>
    <w:rsid w:val="004534EB"/>
    <w:rsid w:val="004536DA"/>
    <w:rsid w:val="0045381F"/>
    <w:rsid w:val="004539D5"/>
    <w:rsid w:val="00453AEF"/>
    <w:rsid w:val="00453C74"/>
    <w:rsid w:val="00453D85"/>
    <w:rsid w:val="00453EFC"/>
    <w:rsid w:val="00453F57"/>
    <w:rsid w:val="00454160"/>
    <w:rsid w:val="0045417B"/>
    <w:rsid w:val="00454422"/>
    <w:rsid w:val="0045466B"/>
    <w:rsid w:val="00454741"/>
    <w:rsid w:val="00454E01"/>
    <w:rsid w:val="00454EB2"/>
    <w:rsid w:val="00454FC4"/>
    <w:rsid w:val="00455117"/>
    <w:rsid w:val="0045515D"/>
    <w:rsid w:val="00455162"/>
    <w:rsid w:val="004551B4"/>
    <w:rsid w:val="0045526D"/>
    <w:rsid w:val="00455551"/>
    <w:rsid w:val="00455847"/>
    <w:rsid w:val="00455986"/>
    <w:rsid w:val="004559C9"/>
    <w:rsid w:val="00455AC9"/>
    <w:rsid w:val="00455AE6"/>
    <w:rsid w:val="00455B2A"/>
    <w:rsid w:val="00455BA3"/>
    <w:rsid w:val="00455BF6"/>
    <w:rsid w:val="00455D5C"/>
    <w:rsid w:val="00456082"/>
    <w:rsid w:val="00456198"/>
    <w:rsid w:val="004563D7"/>
    <w:rsid w:val="00456435"/>
    <w:rsid w:val="0045657D"/>
    <w:rsid w:val="0045658B"/>
    <w:rsid w:val="004569A8"/>
    <w:rsid w:val="004569B2"/>
    <w:rsid w:val="00456E24"/>
    <w:rsid w:val="00456FA7"/>
    <w:rsid w:val="00457002"/>
    <w:rsid w:val="0045700A"/>
    <w:rsid w:val="0045723F"/>
    <w:rsid w:val="0045730F"/>
    <w:rsid w:val="004574D8"/>
    <w:rsid w:val="004575BA"/>
    <w:rsid w:val="00457824"/>
    <w:rsid w:val="004579DE"/>
    <w:rsid w:val="00457AAF"/>
    <w:rsid w:val="00457B06"/>
    <w:rsid w:val="00457D73"/>
    <w:rsid w:val="00457F3A"/>
    <w:rsid w:val="00460215"/>
    <w:rsid w:val="004603FE"/>
    <w:rsid w:val="00460493"/>
    <w:rsid w:val="004604CB"/>
    <w:rsid w:val="00460640"/>
    <w:rsid w:val="00460676"/>
    <w:rsid w:val="004608DB"/>
    <w:rsid w:val="00460E06"/>
    <w:rsid w:val="0046110D"/>
    <w:rsid w:val="00461320"/>
    <w:rsid w:val="004616ED"/>
    <w:rsid w:val="004618AF"/>
    <w:rsid w:val="00461A1C"/>
    <w:rsid w:val="00461C12"/>
    <w:rsid w:val="00461C93"/>
    <w:rsid w:val="00462034"/>
    <w:rsid w:val="00462220"/>
    <w:rsid w:val="00462335"/>
    <w:rsid w:val="0046239C"/>
    <w:rsid w:val="00462446"/>
    <w:rsid w:val="00462644"/>
    <w:rsid w:val="004626BE"/>
    <w:rsid w:val="00462791"/>
    <w:rsid w:val="0046279A"/>
    <w:rsid w:val="00462942"/>
    <w:rsid w:val="00462A98"/>
    <w:rsid w:val="00462C13"/>
    <w:rsid w:val="00462C2E"/>
    <w:rsid w:val="00462C96"/>
    <w:rsid w:val="00462DB6"/>
    <w:rsid w:val="00462E93"/>
    <w:rsid w:val="00462F57"/>
    <w:rsid w:val="004631C4"/>
    <w:rsid w:val="004632D7"/>
    <w:rsid w:val="004632EA"/>
    <w:rsid w:val="00463321"/>
    <w:rsid w:val="0046335F"/>
    <w:rsid w:val="00463537"/>
    <w:rsid w:val="0046364F"/>
    <w:rsid w:val="004637F1"/>
    <w:rsid w:val="0046389C"/>
    <w:rsid w:val="00463B9F"/>
    <w:rsid w:val="00463C90"/>
    <w:rsid w:val="00463D9E"/>
    <w:rsid w:val="00463FEA"/>
    <w:rsid w:val="004640F4"/>
    <w:rsid w:val="00464246"/>
    <w:rsid w:val="00464458"/>
    <w:rsid w:val="0046473D"/>
    <w:rsid w:val="00464760"/>
    <w:rsid w:val="00464908"/>
    <w:rsid w:val="00464E06"/>
    <w:rsid w:val="00464E3B"/>
    <w:rsid w:val="00464E87"/>
    <w:rsid w:val="00464ECF"/>
    <w:rsid w:val="00464F33"/>
    <w:rsid w:val="004650BF"/>
    <w:rsid w:val="0046563E"/>
    <w:rsid w:val="0046579E"/>
    <w:rsid w:val="004658B4"/>
    <w:rsid w:val="004658C3"/>
    <w:rsid w:val="004659E5"/>
    <w:rsid w:val="00465B97"/>
    <w:rsid w:val="00465E2D"/>
    <w:rsid w:val="0046602E"/>
    <w:rsid w:val="004660FE"/>
    <w:rsid w:val="004665DB"/>
    <w:rsid w:val="004666D1"/>
    <w:rsid w:val="00466705"/>
    <w:rsid w:val="004668E5"/>
    <w:rsid w:val="00466AA8"/>
    <w:rsid w:val="00466D6C"/>
    <w:rsid w:val="0046707B"/>
    <w:rsid w:val="00467249"/>
    <w:rsid w:val="004672D8"/>
    <w:rsid w:val="00467527"/>
    <w:rsid w:val="004675AD"/>
    <w:rsid w:val="0046767F"/>
    <w:rsid w:val="0046768F"/>
    <w:rsid w:val="00467935"/>
    <w:rsid w:val="00467E21"/>
    <w:rsid w:val="00467FE4"/>
    <w:rsid w:val="00470030"/>
    <w:rsid w:val="00470342"/>
    <w:rsid w:val="00470854"/>
    <w:rsid w:val="004709CF"/>
    <w:rsid w:val="00470A7A"/>
    <w:rsid w:val="00470B95"/>
    <w:rsid w:val="00470C82"/>
    <w:rsid w:val="00470EC2"/>
    <w:rsid w:val="00471109"/>
    <w:rsid w:val="004712AF"/>
    <w:rsid w:val="00471379"/>
    <w:rsid w:val="004713DA"/>
    <w:rsid w:val="004714DE"/>
    <w:rsid w:val="00471550"/>
    <w:rsid w:val="004715E5"/>
    <w:rsid w:val="00471625"/>
    <w:rsid w:val="0047168C"/>
    <w:rsid w:val="004716C4"/>
    <w:rsid w:val="0047178A"/>
    <w:rsid w:val="004717A4"/>
    <w:rsid w:val="00471B2A"/>
    <w:rsid w:val="00471B5A"/>
    <w:rsid w:val="004726C3"/>
    <w:rsid w:val="00472AA8"/>
    <w:rsid w:val="00472DC1"/>
    <w:rsid w:val="00472E66"/>
    <w:rsid w:val="00472ECC"/>
    <w:rsid w:val="00472FEA"/>
    <w:rsid w:val="00473069"/>
    <w:rsid w:val="00473109"/>
    <w:rsid w:val="00473337"/>
    <w:rsid w:val="004733EF"/>
    <w:rsid w:val="00473498"/>
    <w:rsid w:val="00473549"/>
    <w:rsid w:val="004735D1"/>
    <w:rsid w:val="004738F0"/>
    <w:rsid w:val="00473A4E"/>
    <w:rsid w:val="00473DDA"/>
    <w:rsid w:val="00473F18"/>
    <w:rsid w:val="00474186"/>
    <w:rsid w:val="004743AB"/>
    <w:rsid w:val="004743E9"/>
    <w:rsid w:val="004744DC"/>
    <w:rsid w:val="00474A60"/>
    <w:rsid w:val="00474B4F"/>
    <w:rsid w:val="00474BA8"/>
    <w:rsid w:val="00475132"/>
    <w:rsid w:val="00475152"/>
    <w:rsid w:val="004751B6"/>
    <w:rsid w:val="004752F6"/>
    <w:rsid w:val="004754CA"/>
    <w:rsid w:val="004756D2"/>
    <w:rsid w:val="0047573B"/>
    <w:rsid w:val="00475826"/>
    <w:rsid w:val="004759AA"/>
    <w:rsid w:val="004759C6"/>
    <w:rsid w:val="00475A8A"/>
    <w:rsid w:val="00475E2C"/>
    <w:rsid w:val="00475EA9"/>
    <w:rsid w:val="00475EFE"/>
    <w:rsid w:val="00476089"/>
    <w:rsid w:val="00476107"/>
    <w:rsid w:val="004762E0"/>
    <w:rsid w:val="00476481"/>
    <w:rsid w:val="0047655D"/>
    <w:rsid w:val="0047667D"/>
    <w:rsid w:val="00476684"/>
    <w:rsid w:val="0047668F"/>
    <w:rsid w:val="00476C54"/>
    <w:rsid w:val="00476CBA"/>
    <w:rsid w:val="00476E8F"/>
    <w:rsid w:val="00476F1B"/>
    <w:rsid w:val="0047760A"/>
    <w:rsid w:val="0047765D"/>
    <w:rsid w:val="00477A30"/>
    <w:rsid w:val="00477AA4"/>
    <w:rsid w:val="00477BBD"/>
    <w:rsid w:val="00477C4A"/>
    <w:rsid w:val="00477F1C"/>
    <w:rsid w:val="00477F63"/>
    <w:rsid w:val="00477FC5"/>
    <w:rsid w:val="00480252"/>
    <w:rsid w:val="0048043B"/>
    <w:rsid w:val="004808BE"/>
    <w:rsid w:val="00480AC2"/>
    <w:rsid w:val="00480DAD"/>
    <w:rsid w:val="00480F67"/>
    <w:rsid w:val="00480F79"/>
    <w:rsid w:val="00481140"/>
    <w:rsid w:val="004812F6"/>
    <w:rsid w:val="004814A3"/>
    <w:rsid w:val="0048161B"/>
    <w:rsid w:val="0048177C"/>
    <w:rsid w:val="004817F2"/>
    <w:rsid w:val="00481A56"/>
    <w:rsid w:val="00481A5A"/>
    <w:rsid w:val="00481AE2"/>
    <w:rsid w:val="00481AEE"/>
    <w:rsid w:val="00481B53"/>
    <w:rsid w:val="00481E9C"/>
    <w:rsid w:val="00481F97"/>
    <w:rsid w:val="00482062"/>
    <w:rsid w:val="0048220C"/>
    <w:rsid w:val="004823BE"/>
    <w:rsid w:val="004823C4"/>
    <w:rsid w:val="00482418"/>
    <w:rsid w:val="0048278D"/>
    <w:rsid w:val="004829AF"/>
    <w:rsid w:val="00482A2F"/>
    <w:rsid w:val="00482A64"/>
    <w:rsid w:val="00482B99"/>
    <w:rsid w:val="00482D03"/>
    <w:rsid w:val="00482EDF"/>
    <w:rsid w:val="00482FFF"/>
    <w:rsid w:val="004832E3"/>
    <w:rsid w:val="004833B5"/>
    <w:rsid w:val="004834EE"/>
    <w:rsid w:val="004837A7"/>
    <w:rsid w:val="004838F4"/>
    <w:rsid w:val="00483991"/>
    <w:rsid w:val="00483BAF"/>
    <w:rsid w:val="00483DE2"/>
    <w:rsid w:val="004842D5"/>
    <w:rsid w:val="00484878"/>
    <w:rsid w:val="00484A2A"/>
    <w:rsid w:val="00484AAC"/>
    <w:rsid w:val="00484BA7"/>
    <w:rsid w:val="00484E98"/>
    <w:rsid w:val="00485047"/>
    <w:rsid w:val="004853B9"/>
    <w:rsid w:val="004854EE"/>
    <w:rsid w:val="004858FF"/>
    <w:rsid w:val="00485E25"/>
    <w:rsid w:val="00485EDC"/>
    <w:rsid w:val="00485EDE"/>
    <w:rsid w:val="00485FB4"/>
    <w:rsid w:val="00485FEF"/>
    <w:rsid w:val="004860AB"/>
    <w:rsid w:val="004860EC"/>
    <w:rsid w:val="0048618A"/>
    <w:rsid w:val="00486551"/>
    <w:rsid w:val="00486D91"/>
    <w:rsid w:val="00486ECB"/>
    <w:rsid w:val="00486FA9"/>
    <w:rsid w:val="00487021"/>
    <w:rsid w:val="004873A6"/>
    <w:rsid w:val="00487965"/>
    <w:rsid w:val="00487C88"/>
    <w:rsid w:val="00487CEA"/>
    <w:rsid w:val="00487E2B"/>
    <w:rsid w:val="00487EBA"/>
    <w:rsid w:val="00487EBD"/>
    <w:rsid w:val="00487EF6"/>
    <w:rsid w:val="00490300"/>
    <w:rsid w:val="00490355"/>
    <w:rsid w:val="00490542"/>
    <w:rsid w:val="004905C9"/>
    <w:rsid w:val="004908AA"/>
    <w:rsid w:val="0049093F"/>
    <w:rsid w:val="004909C0"/>
    <w:rsid w:val="00490A2F"/>
    <w:rsid w:val="00490A42"/>
    <w:rsid w:val="00490A81"/>
    <w:rsid w:val="00490B48"/>
    <w:rsid w:val="00490B6C"/>
    <w:rsid w:val="00490C35"/>
    <w:rsid w:val="00490D2F"/>
    <w:rsid w:val="00490E51"/>
    <w:rsid w:val="00491119"/>
    <w:rsid w:val="00491362"/>
    <w:rsid w:val="004914B7"/>
    <w:rsid w:val="004915BB"/>
    <w:rsid w:val="00491660"/>
    <w:rsid w:val="0049174A"/>
    <w:rsid w:val="004917CD"/>
    <w:rsid w:val="004918D6"/>
    <w:rsid w:val="00491E5B"/>
    <w:rsid w:val="00491EF9"/>
    <w:rsid w:val="00492053"/>
    <w:rsid w:val="004920E0"/>
    <w:rsid w:val="0049222A"/>
    <w:rsid w:val="00492256"/>
    <w:rsid w:val="004927DE"/>
    <w:rsid w:val="0049291D"/>
    <w:rsid w:val="00492A2E"/>
    <w:rsid w:val="00492B47"/>
    <w:rsid w:val="00492BE7"/>
    <w:rsid w:val="00492BF3"/>
    <w:rsid w:val="00492DF4"/>
    <w:rsid w:val="00492E83"/>
    <w:rsid w:val="0049304F"/>
    <w:rsid w:val="0049316B"/>
    <w:rsid w:val="00493466"/>
    <w:rsid w:val="004934F0"/>
    <w:rsid w:val="00493519"/>
    <w:rsid w:val="004935BD"/>
    <w:rsid w:val="00493639"/>
    <w:rsid w:val="00493A61"/>
    <w:rsid w:val="00493C80"/>
    <w:rsid w:val="00493D2C"/>
    <w:rsid w:val="00493E3C"/>
    <w:rsid w:val="00493E61"/>
    <w:rsid w:val="00493FCF"/>
    <w:rsid w:val="00494291"/>
    <w:rsid w:val="0049429A"/>
    <w:rsid w:val="0049449C"/>
    <w:rsid w:val="00494728"/>
    <w:rsid w:val="00494934"/>
    <w:rsid w:val="00494948"/>
    <w:rsid w:val="00494971"/>
    <w:rsid w:val="00494B1A"/>
    <w:rsid w:val="00494C63"/>
    <w:rsid w:val="00494EB6"/>
    <w:rsid w:val="004950B8"/>
    <w:rsid w:val="00495158"/>
    <w:rsid w:val="00495257"/>
    <w:rsid w:val="00495364"/>
    <w:rsid w:val="00495497"/>
    <w:rsid w:val="0049564D"/>
    <w:rsid w:val="0049571C"/>
    <w:rsid w:val="00495F01"/>
    <w:rsid w:val="00496330"/>
    <w:rsid w:val="00496402"/>
    <w:rsid w:val="004964D9"/>
    <w:rsid w:val="004968F4"/>
    <w:rsid w:val="0049699A"/>
    <w:rsid w:val="004969D6"/>
    <w:rsid w:val="00496AD3"/>
    <w:rsid w:val="00496B82"/>
    <w:rsid w:val="00496B97"/>
    <w:rsid w:val="00496C2A"/>
    <w:rsid w:val="00496D9D"/>
    <w:rsid w:val="00496E2A"/>
    <w:rsid w:val="004971C4"/>
    <w:rsid w:val="0049725E"/>
    <w:rsid w:val="00497282"/>
    <w:rsid w:val="004974A7"/>
    <w:rsid w:val="004975B7"/>
    <w:rsid w:val="004975D4"/>
    <w:rsid w:val="00497789"/>
    <w:rsid w:val="0049778B"/>
    <w:rsid w:val="00497D08"/>
    <w:rsid w:val="00497D40"/>
    <w:rsid w:val="00497E24"/>
    <w:rsid w:val="00497EC2"/>
    <w:rsid w:val="004A0052"/>
    <w:rsid w:val="004A0068"/>
    <w:rsid w:val="004A0182"/>
    <w:rsid w:val="004A035E"/>
    <w:rsid w:val="004A0494"/>
    <w:rsid w:val="004A077D"/>
    <w:rsid w:val="004A0786"/>
    <w:rsid w:val="004A097C"/>
    <w:rsid w:val="004A0B88"/>
    <w:rsid w:val="004A0D32"/>
    <w:rsid w:val="004A0E54"/>
    <w:rsid w:val="004A112E"/>
    <w:rsid w:val="004A1160"/>
    <w:rsid w:val="004A11CB"/>
    <w:rsid w:val="004A12DE"/>
    <w:rsid w:val="004A1512"/>
    <w:rsid w:val="004A155D"/>
    <w:rsid w:val="004A1560"/>
    <w:rsid w:val="004A15C2"/>
    <w:rsid w:val="004A16FF"/>
    <w:rsid w:val="004A19F7"/>
    <w:rsid w:val="004A2310"/>
    <w:rsid w:val="004A28FB"/>
    <w:rsid w:val="004A2919"/>
    <w:rsid w:val="004A2C18"/>
    <w:rsid w:val="004A2D63"/>
    <w:rsid w:val="004A2F6C"/>
    <w:rsid w:val="004A32F2"/>
    <w:rsid w:val="004A3335"/>
    <w:rsid w:val="004A35A9"/>
    <w:rsid w:val="004A364A"/>
    <w:rsid w:val="004A36A8"/>
    <w:rsid w:val="004A3773"/>
    <w:rsid w:val="004A39F9"/>
    <w:rsid w:val="004A3B10"/>
    <w:rsid w:val="004A3DB0"/>
    <w:rsid w:val="004A3F62"/>
    <w:rsid w:val="004A3FE9"/>
    <w:rsid w:val="004A406C"/>
    <w:rsid w:val="004A420A"/>
    <w:rsid w:val="004A431F"/>
    <w:rsid w:val="004A435B"/>
    <w:rsid w:val="004A458A"/>
    <w:rsid w:val="004A4773"/>
    <w:rsid w:val="004A47D2"/>
    <w:rsid w:val="004A4918"/>
    <w:rsid w:val="004A49E9"/>
    <w:rsid w:val="004A4A02"/>
    <w:rsid w:val="004A4B83"/>
    <w:rsid w:val="004A4E45"/>
    <w:rsid w:val="004A51AD"/>
    <w:rsid w:val="004A526A"/>
    <w:rsid w:val="004A545D"/>
    <w:rsid w:val="004A569B"/>
    <w:rsid w:val="004A5848"/>
    <w:rsid w:val="004A5ACE"/>
    <w:rsid w:val="004A5B96"/>
    <w:rsid w:val="004A5F26"/>
    <w:rsid w:val="004A6072"/>
    <w:rsid w:val="004A63B3"/>
    <w:rsid w:val="004A66BB"/>
    <w:rsid w:val="004A6772"/>
    <w:rsid w:val="004A6A9F"/>
    <w:rsid w:val="004A6E99"/>
    <w:rsid w:val="004A6F8F"/>
    <w:rsid w:val="004A70AD"/>
    <w:rsid w:val="004A71D8"/>
    <w:rsid w:val="004A742A"/>
    <w:rsid w:val="004A7813"/>
    <w:rsid w:val="004A78C8"/>
    <w:rsid w:val="004A7944"/>
    <w:rsid w:val="004A79FC"/>
    <w:rsid w:val="004A7BAA"/>
    <w:rsid w:val="004A7D2B"/>
    <w:rsid w:val="004B001D"/>
    <w:rsid w:val="004B003B"/>
    <w:rsid w:val="004B00FC"/>
    <w:rsid w:val="004B01AB"/>
    <w:rsid w:val="004B0303"/>
    <w:rsid w:val="004B04A1"/>
    <w:rsid w:val="004B063D"/>
    <w:rsid w:val="004B088F"/>
    <w:rsid w:val="004B1118"/>
    <w:rsid w:val="004B12A9"/>
    <w:rsid w:val="004B1696"/>
    <w:rsid w:val="004B174B"/>
    <w:rsid w:val="004B179B"/>
    <w:rsid w:val="004B1886"/>
    <w:rsid w:val="004B1AC8"/>
    <w:rsid w:val="004B1C5E"/>
    <w:rsid w:val="004B1D2F"/>
    <w:rsid w:val="004B1EC3"/>
    <w:rsid w:val="004B1EC9"/>
    <w:rsid w:val="004B2426"/>
    <w:rsid w:val="004B2619"/>
    <w:rsid w:val="004B2A5E"/>
    <w:rsid w:val="004B2D48"/>
    <w:rsid w:val="004B2F46"/>
    <w:rsid w:val="004B2F7E"/>
    <w:rsid w:val="004B3055"/>
    <w:rsid w:val="004B30C0"/>
    <w:rsid w:val="004B360A"/>
    <w:rsid w:val="004B371B"/>
    <w:rsid w:val="004B3727"/>
    <w:rsid w:val="004B38BB"/>
    <w:rsid w:val="004B3959"/>
    <w:rsid w:val="004B398A"/>
    <w:rsid w:val="004B3AE5"/>
    <w:rsid w:val="004B3AF3"/>
    <w:rsid w:val="004B3BC7"/>
    <w:rsid w:val="004B3BDF"/>
    <w:rsid w:val="004B3CA7"/>
    <w:rsid w:val="004B3F20"/>
    <w:rsid w:val="004B43AD"/>
    <w:rsid w:val="004B442B"/>
    <w:rsid w:val="004B44C6"/>
    <w:rsid w:val="004B461A"/>
    <w:rsid w:val="004B4725"/>
    <w:rsid w:val="004B48A9"/>
    <w:rsid w:val="004B48DA"/>
    <w:rsid w:val="004B4ED0"/>
    <w:rsid w:val="004B5036"/>
    <w:rsid w:val="004B5324"/>
    <w:rsid w:val="004B564D"/>
    <w:rsid w:val="004B576B"/>
    <w:rsid w:val="004B59C9"/>
    <w:rsid w:val="004B5C12"/>
    <w:rsid w:val="004B5F2B"/>
    <w:rsid w:val="004B6817"/>
    <w:rsid w:val="004B69C5"/>
    <w:rsid w:val="004B6A25"/>
    <w:rsid w:val="004B6CF3"/>
    <w:rsid w:val="004B6D7F"/>
    <w:rsid w:val="004B6E81"/>
    <w:rsid w:val="004B6ED8"/>
    <w:rsid w:val="004B6EE5"/>
    <w:rsid w:val="004B716C"/>
    <w:rsid w:val="004B7369"/>
    <w:rsid w:val="004B739E"/>
    <w:rsid w:val="004B74D5"/>
    <w:rsid w:val="004B75B9"/>
    <w:rsid w:val="004B7659"/>
    <w:rsid w:val="004B7826"/>
    <w:rsid w:val="004B7887"/>
    <w:rsid w:val="004B7C5F"/>
    <w:rsid w:val="004B7DFC"/>
    <w:rsid w:val="004B7E4D"/>
    <w:rsid w:val="004C0124"/>
    <w:rsid w:val="004C020A"/>
    <w:rsid w:val="004C04EF"/>
    <w:rsid w:val="004C0512"/>
    <w:rsid w:val="004C0732"/>
    <w:rsid w:val="004C07CB"/>
    <w:rsid w:val="004C0DD2"/>
    <w:rsid w:val="004C0EA4"/>
    <w:rsid w:val="004C1075"/>
    <w:rsid w:val="004C10AF"/>
    <w:rsid w:val="004C12B9"/>
    <w:rsid w:val="004C1403"/>
    <w:rsid w:val="004C1408"/>
    <w:rsid w:val="004C143D"/>
    <w:rsid w:val="004C1973"/>
    <w:rsid w:val="004C1A11"/>
    <w:rsid w:val="004C1BCC"/>
    <w:rsid w:val="004C1CBF"/>
    <w:rsid w:val="004C1DFC"/>
    <w:rsid w:val="004C2016"/>
    <w:rsid w:val="004C21AF"/>
    <w:rsid w:val="004C220B"/>
    <w:rsid w:val="004C2400"/>
    <w:rsid w:val="004C250A"/>
    <w:rsid w:val="004C26F8"/>
    <w:rsid w:val="004C26FF"/>
    <w:rsid w:val="004C2926"/>
    <w:rsid w:val="004C2A39"/>
    <w:rsid w:val="004C2BB1"/>
    <w:rsid w:val="004C2DF1"/>
    <w:rsid w:val="004C3601"/>
    <w:rsid w:val="004C3656"/>
    <w:rsid w:val="004C3AC3"/>
    <w:rsid w:val="004C3B49"/>
    <w:rsid w:val="004C3DA8"/>
    <w:rsid w:val="004C3DB7"/>
    <w:rsid w:val="004C4095"/>
    <w:rsid w:val="004C425D"/>
    <w:rsid w:val="004C4400"/>
    <w:rsid w:val="004C44EB"/>
    <w:rsid w:val="004C45C7"/>
    <w:rsid w:val="004C4698"/>
    <w:rsid w:val="004C49D9"/>
    <w:rsid w:val="004C4B58"/>
    <w:rsid w:val="004C4C37"/>
    <w:rsid w:val="004C4E7E"/>
    <w:rsid w:val="004C516F"/>
    <w:rsid w:val="004C5198"/>
    <w:rsid w:val="004C5384"/>
    <w:rsid w:val="004C54B5"/>
    <w:rsid w:val="004C55A2"/>
    <w:rsid w:val="004C5673"/>
    <w:rsid w:val="004C5737"/>
    <w:rsid w:val="004C57CF"/>
    <w:rsid w:val="004C5863"/>
    <w:rsid w:val="004C5A0C"/>
    <w:rsid w:val="004C5B0D"/>
    <w:rsid w:val="004C5D20"/>
    <w:rsid w:val="004C6084"/>
    <w:rsid w:val="004C6201"/>
    <w:rsid w:val="004C6236"/>
    <w:rsid w:val="004C6382"/>
    <w:rsid w:val="004C685B"/>
    <w:rsid w:val="004C69EB"/>
    <w:rsid w:val="004C6BEC"/>
    <w:rsid w:val="004C6D5E"/>
    <w:rsid w:val="004C7086"/>
    <w:rsid w:val="004C7210"/>
    <w:rsid w:val="004C7291"/>
    <w:rsid w:val="004C73C3"/>
    <w:rsid w:val="004C743E"/>
    <w:rsid w:val="004C756B"/>
    <w:rsid w:val="004C75EC"/>
    <w:rsid w:val="004C76D0"/>
    <w:rsid w:val="004C7752"/>
    <w:rsid w:val="004C7814"/>
    <w:rsid w:val="004C78A7"/>
    <w:rsid w:val="004C7924"/>
    <w:rsid w:val="004C79BE"/>
    <w:rsid w:val="004C7A01"/>
    <w:rsid w:val="004C7D73"/>
    <w:rsid w:val="004C7F17"/>
    <w:rsid w:val="004C7F98"/>
    <w:rsid w:val="004D0004"/>
    <w:rsid w:val="004D04D6"/>
    <w:rsid w:val="004D0601"/>
    <w:rsid w:val="004D07B9"/>
    <w:rsid w:val="004D07C0"/>
    <w:rsid w:val="004D0C68"/>
    <w:rsid w:val="004D0EC1"/>
    <w:rsid w:val="004D0EDC"/>
    <w:rsid w:val="004D0F88"/>
    <w:rsid w:val="004D0FAF"/>
    <w:rsid w:val="004D1377"/>
    <w:rsid w:val="004D13EC"/>
    <w:rsid w:val="004D163E"/>
    <w:rsid w:val="004D16BD"/>
    <w:rsid w:val="004D1B08"/>
    <w:rsid w:val="004D1B4A"/>
    <w:rsid w:val="004D1BB5"/>
    <w:rsid w:val="004D1E4D"/>
    <w:rsid w:val="004D1F74"/>
    <w:rsid w:val="004D2027"/>
    <w:rsid w:val="004D2125"/>
    <w:rsid w:val="004D2387"/>
    <w:rsid w:val="004D2580"/>
    <w:rsid w:val="004D259B"/>
    <w:rsid w:val="004D2864"/>
    <w:rsid w:val="004D28A8"/>
    <w:rsid w:val="004D2ADE"/>
    <w:rsid w:val="004D2C05"/>
    <w:rsid w:val="004D2FFA"/>
    <w:rsid w:val="004D3121"/>
    <w:rsid w:val="004D3192"/>
    <w:rsid w:val="004D322F"/>
    <w:rsid w:val="004D362E"/>
    <w:rsid w:val="004D38A3"/>
    <w:rsid w:val="004D3B30"/>
    <w:rsid w:val="004D3BC0"/>
    <w:rsid w:val="004D3C43"/>
    <w:rsid w:val="004D3C9F"/>
    <w:rsid w:val="004D3D55"/>
    <w:rsid w:val="004D3EA3"/>
    <w:rsid w:val="004D3F73"/>
    <w:rsid w:val="004D4104"/>
    <w:rsid w:val="004D422F"/>
    <w:rsid w:val="004D42F3"/>
    <w:rsid w:val="004D4C64"/>
    <w:rsid w:val="004D4CDB"/>
    <w:rsid w:val="004D4D83"/>
    <w:rsid w:val="004D4FFD"/>
    <w:rsid w:val="004D508F"/>
    <w:rsid w:val="004D50F6"/>
    <w:rsid w:val="004D5409"/>
    <w:rsid w:val="004D55F8"/>
    <w:rsid w:val="004D5641"/>
    <w:rsid w:val="004D56C8"/>
    <w:rsid w:val="004D5737"/>
    <w:rsid w:val="004D5862"/>
    <w:rsid w:val="004D58CC"/>
    <w:rsid w:val="004D5938"/>
    <w:rsid w:val="004D5CD0"/>
    <w:rsid w:val="004D5D60"/>
    <w:rsid w:val="004D5EFA"/>
    <w:rsid w:val="004D5FC7"/>
    <w:rsid w:val="004D6048"/>
    <w:rsid w:val="004D626A"/>
    <w:rsid w:val="004D6341"/>
    <w:rsid w:val="004D635A"/>
    <w:rsid w:val="004D645E"/>
    <w:rsid w:val="004D67E2"/>
    <w:rsid w:val="004D68FC"/>
    <w:rsid w:val="004D6AE1"/>
    <w:rsid w:val="004D70BF"/>
    <w:rsid w:val="004D726F"/>
    <w:rsid w:val="004D72CB"/>
    <w:rsid w:val="004D72F9"/>
    <w:rsid w:val="004D7426"/>
    <w:rsid w:val="004D7566"/>
    <w:rsid w:val="004D7594"/>
    <w:rsid w:val="004D777D"/>
    <w:rsid w:val="004D78E0"/>
    <w:rsid w:val="004D7DFF"/>
    <w:rsid w:val="004D7F90"/>
    <w:rsid w:val="004D7FC5"/>
    <w:rsid w:val="004E0000"/>
    <w:rsid w:val="004E0191"/>
    <w:rsid w:val="004E0614"/>
    <w:rsid w:val="004E0647"/>
    <w:rsid w:val="004E0718"/>
    <w:rsid w:val="004E0827"/>
    <w:rsid w:val="004E09E9"/>
    <w:rsid w:val="004E0B7B"/>
    <w:rsid w:val="004E0BB8"/>
    <w:rsid w:val="004E0C57"/>
    <w:rsid w:val="004E0ED9"/>
    <w:rsid w:val="004E11C0"/>
    <w:rsid w:val="004E1313"/>
    <w:rsid w:val="004E1597"/>
    <w:rsid w:val="004E1711"/>
    <w:rsid w:val="004E17EE"/>
    <w:rsid w:val="004E1A05"/>
    <w:rsid w:val="004E1AE5"/>
    <w:rsid w:val="004E1B0E"/>
    <w:rsid w:val="004E1C51"/>
    <w:rsid w:val="004E20BF"/>
    <w:rsid w:val="004E2148"/>
    <w:rsid w:val="004E2151"/>
    <w:rsid w:val="004E21F6"/>
    <w:rsid w:val="004E234A"/>
    <w:rsid w:val="004E2614"/>
    <w:rsid w:val="004E26F0"/>
    <w:rsid w:val="004E2870"/>
    <w:rsid w:val="004E2B16"/>
    <w:rsid w:val="004E2B88"/>
    <w:rsid w:val="004E2D2A"/>
    <w:rsid w:val="004E2E4E"/>
    <w:rsid w:val="004E2F8E"/>
    <w:rsid w:val="004E310D"/>
    <w:rsid w:val="004E3469"/>
    <w:rsid w:val="004E351E"/>
    <w:rsid w:val="004E36B5"/>
    <w:rsid w:val="004E36C2"/>
    <w:rsid w:val="004E371A"/>
    <w:rsid w:val="004E37B8"/>
    <w:rsid w:val="004E391A"/>
    <w:rsid w:val="004E39C1"/>
    <w:rsid w:val="004E3A4E"/>
    <w:rsid w:val="004E3B1B"/>
    <w:rsid w:val="004E3C23"/>
    <w:rsid w:val="004E3C46"/>
    <w:rsid w:val="004E3F1A"/>
    <w:rsid w:val="004E3F4D"/>
    <w:rsid w:val="004E4434"/>
    <w:rsid w:val="004E44D8"/>
    <w:rsid w:val="004E475E"/>
    <w:rsid w:val="004E498E"/>
    <w:rsid w:val="004E4A8F"/>
    <w:rsid w:val="004E4A9C"/>
    <w:rsid w:val="004E4AB1"/>
    <w:rsid w:val="004E4ABD"/>
    <w:rsid w:val="004E4C52"/>
    <w:rsid w:val="004E4CEE"/>
    <w:rsid w:val="004E4E1B"/>
    <w:rsid w:val="004E4EDC"/>
    <w:rsid w:val="004E4F8A"/>
    <w:rsid w:val="004E50D7"/>
    <w:rsid w:val="004E5104"/>
    <w:rsid w:val="004E51A2"/>
    <w:rsid w:val="004E5302"/>
    <w:rsid w:val="004E530C"/>
    <w:rsid w:val="004E541C"/>
    <w:rsid w:val="004E6103"/>
    <w:rsid w:val="004E6215"/>
    <w:rsid w:val="004E62FC"/>
    <w:rsid w:val="004E63CB"/>
    <w:rsid w:val="004E64F2"/>
    <w:rsid w:val="004E6577"/>
    <w:rsid w:val="004E658D"/>
    <w:rsid w:val="004E6998"/>
    <w:rsid w:val="004E6CA0"/>
    <w:rsid w:val="004E6E5E"/>
    <w:rsid w:val="004E719B"/>
    <w:rsid w:val="004E7212"/>
    <w:rsid w:val="004E74A7"/>
    <w:rsid w:val="004E74FE"/>
    <w:rsid w:val="004E786F"/>
    <w:rsid w:val="004E7873"/>
    <w:rsid w:val="004E7AA6"/>
    <w:rsid w:val="004E7C63"/>
    <w:rsid w:val="004E7C9E"/>
    <w:rsid w:val="004E7D75"/>
    <w:rsid w:val="004E7E50"/>
    <w:rsid w:val="004E7EC6"/>
    <w:rsid w:val="004F018D"/>
    <w:rsid w:val="004F01F8"/>
    <w:rsid w:val="004F029B"/>
    <w:rsid w:val="004F031F"/>
    <w:rsid w:val="004F0526"/>
    <w:rsid w:val="004F052F"/>
    <w:rsid w:val="004F085D"/>
    <w:rsid w:val="004F0864"/>
    <w:rsid w:val="004F09F1"/>
    <w:rsid w:val="004F0AE5"/>
    <w:rsid w:val="004F0F59"/>
    <w:rsid w:val="004F120D"/>
    <w:rsid w:val="004F1230"/>
    <w:rsid w:val="004F1378"/>
    <w:rsid w:val="004F1993"/>
    <w:rsid w:val="004F1F0E"/>
    <w:rsid w:val="004F1F8B"/>
    <w:rsid w:val="004F1FE8"/>
    <w:rsid w:val="004F2050"/>
    <w:rsid w:val="004F2328"/>
    <w:rsid w:val="004F232D"/>
    <w:rsid w:val="004F26FF"/>
    <w:rsid w:val="004F2787"/>
    <w:rsid w:val="004F2E01"/>
    <w:rsid w:val="004F2EEB"/>
    <w:rsid w:val="004F3001"/>
    <w:rsid w:val="004F309E"/>
    <w:rsid w:val="004F334F"/>
    <w:rsid w:val="004F35F0"/>
    <w:rsid w:val="004F36AB"/>
    <w:rsid w:val="004F36D9"/>
    <w:rsid w:val="004F3719"/>
    <w:rsid w:val="004F37E7"/>
    <w:rsid w:val="004F3901"/>
    <w:rsid w:val="004F3914"/>
    <w:rsid w:val="004F3AAD"/>
    <w:rsid w:val="004F3AD9"/>
    <w:rsid w:val="004F3D6E"/>
    <w:rsid w:val="004F3E21"/>
    <w:rsid w:val="004F3E7E"/>
    <w:rsid w:val="004F4742"/>
    <w:rsid w:val="004F4924"/>
    <w:rsid w:val="004F4C61"/>
    <w:rsid w:val="004F4DD5"/>
    <w:rsid w:val="004F53AB"/>
    <w:rsid w:val="004F5475"/>
    <w:rsid w:val="004F55A7"/>
    <w:rsid w:val="004F56EC"/>
    <w:rsid w:val="004F5706"/>
    <w:rsid w:val="004F594E"/>
    <w:rsid w:val="004F59E8"/>
    <w:rsid w:val="004F5C45"/>
    <w:rsid w:val="004F5CA3"/>
    <w:rsid w:val="004F5CCC"/>
    <w:rsid w:val="004F5D9E"/>
    <w:rsid w:val="004F5EFC"/>
    <w:rsid w:val="004F6092"/>
    <w:rsid w:val="004F63FF"/>
    <w:rsid w:val="004F6769"/>
    <w:rsid w:val="004F68A4"/>
    <w:rsid w:val="004F6936"/>
    <w:rsid w:val="004F6A95"/>
    <w:rsid w:val="004F6B6C"/>
    <w:rsid w:val="004F6CCF"/>
    <w:rsid w:val="004F6D80"/>
    <w:rsid w:val="004F7155"/>
    <w:rsid w:val="004F719B"/>
    <w:rsid w:val="004F71F6"/>
    <w:rsid w:val="004F731A"/>
    <w:rsid w:val="004F765B"/>
    <w:rsid w:val="004F7662"/>
    <w:rsid w:val="004F77A7"/>
    <w:rsid w:val="004F787F"/>
    <w:rsid w:val="004F7915"/>
    <w:rsid w:val="004F7A31"/>
    <w:rsid w:val="004F7B79"/>
    <w:rsid w:val="004F7C5A"/>
    <w:rsid w:val="004F7E4B"/>
    <w:rsid w:val="004F7E63"/>
    <w:rsid w:val="00500072"/>
    <w:rsid w:val="005000EC"/>
    <w:rsid w:val="005000FD"/>
    <w:rsid w:val="005003EC"/>
    <w:rsid w:val="00500514"/>
    <w:rsid w:val="0050053D"/>
    <w:rsid w:val="00500609"/>
    <w:rsid w:val="00500B39"/>
    <w:rsid w:val="00500D13"/>
    <w:rsid w:val="0050136F"/>
    <w:rsid w:val="0050153B"/>
    <w:rsid w:val="005015D8"/>
    <w:rsid w:val="00501672"/>
    <w:rsid w:val="00501743"/>
    <w:rsid w:val="00501811"/>
    <w:rsid w:val="00501B6D"/>
    <w:rsid w:val="00501F71"/>
    <w:rsid w:val="0050200C"/>
    <w:rsid w:val="00502205"/>
    <w:rsid w:val="00502227"/>
    <w:rsid w:val="0050257D"/>
    <w:rsid w:val="005026D6"/>
    <w:rsid w:val="005029CE"/>
    <w:rsid w:val="00502A39"/>
    <w:rsid w:val="00502B31"/>
    <w:rsid w:val="00502BF1"/>
    <w:rsid w:val="00502D2C"/>
    <w:rsid w:val="00502E1B"/>
    <w:rsid w:val="0050312C"/>
    <w:rsid w:val="005033C0"/>
    <w:rsid w:val="00503412"/>
    <w:rsid w:val="00503649"/>
    <w:rsid w:val="0050365D"/>
    <w:rsid w:val="005038C6"/>
    <w:rsid w:val="00503949"/>
    <w:rsid w:val="0050397C"/>
    <w:rsid w:val="00503BB5"/>
    <w:rsid w:val="00503D1A"/>
    <w:rsid w:val="00503EF6"/>
    <w:rsid w:val="00503FA3"/>
    <w:rsid w:val="00504046"/>
    <w:rsid w:val="00504380"/>
    <w:rsid w:val="00504571"/>
    <w:rsid w:val="00504674"/>
    <w:rsid w:val="0050468F"/>
    <w:rsid w:val="005048EC"/>
    <w:rsid w:val="00504AA9"/>
    <w:rsid w:val="00504C9E"/>
    <w:rsid w:val="005051B7"/>
    <w:rsid w:val="00505382"/>
    <w:rsid w:val="005053B9"/>
    <w:rsid w:val="00505556"/>
    <w:rsid w:val="0050586C"/>
    <w:rsid w:val="00505976"/>
    <w:rsid w:val="005059EF"/>
    <w:rsid w:val="00505A8A"/>
    <w:rsid w:val="00505A94"/>
    <w:rsid w:val="00506081"/>
    <w:rsid w:val="00506370"/>
    <w:rsid w:val="005065DB"/>
    <w:rsid w:val="00506604"/>
    <w:rsid w:val="00506667"/>
    <w:rsid w:val="005068B1"/>
    <w:rsid w:val="00506C19"/>
    <w:rsid w:val="00506CA3"/>
    <w:rsid w:val="00506D7E"/>
    <w:rsid w:val="00506E9E"/>
    <w:rsid w:val="00506FB5"/>
    <w:rsid w:val="0050715D"/>
    <w:rsid w:val="005071F1"/>
    <w:rsid w:val="005072BD"/>
    <w:rsid w:val="00507331"/>
    <w:rsid w:val="0050737E"/>
    <w:rsid w:val="005073A2"/>
    <w:rsid w:val="00507476"/>
    <w:rsid w:val="005077A9"/>
    <w:rsid w:val="00507853"/>
    <w:rsid w:val="005078CA"/>
    <w:rsid w:val="005078D3"/>
    <w:rsid w:val="005078F2"/>
    <w:rsid w:val="005079E3"/>
    <w:rsid w:val="00507A3D"/>
    <w:rsid w:val="00507A69"/>
    <w:rsid w:val="00507C50"/>
    <w:rsid w:val="00507D23"/>
    <w:rsid w:val="00507DD5"/>
    <w:rsid w:val="00507DF0"/>
    <w:rsid w:val="00510244"/>
    <w:rsid w:val="00510586"/>
    <w:rsid w:val="005105A7"/>
    <w:rsid w:val="005107F1"/>
    <w:rsid w:val="00510921"/>
    <w:rsid w:val="00510B4B"/>
    <w:rsid w:val="00510C9C"/>
    <w:rsid w:val="00510DEC"/>
    <w:rsid w:val="00510F21"/>
    <w:rsid w:val="00510FAD"/>
    <w:rsid w:val="00511036"/>
    <w:rsid w:val="0051117F"/>
    <w:rsid w:val="0051141A"/>
    <w:rsid w:val="00511482"/>
    <w:rsid w:val="005115BA"/>
    <w:rsid w:val="0051165A"/>
    <w:rsid w:val="00511814"/>
    <w:rsid w:val="005119A6"/>
    <w:rsid w:val="005119CA"/>
    <w:rsid w:val="00511CCB"/>
    <w:rsid w:val="00511DC5"/>
    <w:rsid w:val="00512311"/>
    <w:rsid w:val="00512335"/>
    <w:rsid w:val="005125F2"/>
    <w:rsid w:val="0051266D"/>
    <w:rsid w:val="005126B4"/>
    <w:rsid w:val="005127AC"/>
    <w:rsid w:val="00512997"/>
    <w:rsid w:val="00512B5E"/>
    <w:rsid w:val="00512CCF"/>
    <w:rsid w:val="00512D13"/>
    <w:rsid w:val="00512D98"/>
    <w:rsid w:val="00512E20"/>
    <w:rsid w:val="00512E9E"/>
    <w:rsid w:val="00512F09"/>
    <w:rsid w:val="00513138"/>
    <w:rsid w:val="0051348A"/>
    <w:rsid w:val="0051350C"/>
    <w:rsid w:val="00513543"/>
    <w:rsid w:val="00513625"/>
    <w:rsid w:val="00513759"/>
    <w:rsid w:val="0051377C"/>
    <w:rsid w:val="00513A62"/>
    <w:rsid w:val="00513B85"/>
    <w:rsid w:val="00513D29"/>
    <w:rsid w:val="00513EAE"/>
    <w:rsid w:val="00513EF5"/>
    <w:rsid w:val="00513F1A"/>
    <w:rsid w:val="00514196"/>
    <w:rsid w:val="00514235"/>
    <w:rsid w:val="005142E2"/>
    <w:rsid w:val="0051456B"/>
    <w:rsid w:val="00514660"/>
    <w:rsid w:val="0051473E"/>
    <w:rsid w:val="005147D2"/>
    <w:rsid w:val="0051497D"/>
    <w:rsid w:val="00514BAB"/>
    <w:rsid w:val="00514DC2"/>
    <w:rsid w:val="005151BB"/>
    <w:rsid w:val="00515250"/>
    <w:rsid w:val="00515537"/>
    <w:rsid w:val="0051570A"/>
    <w:rsid w:val="00515740"/>
    <w:rsid w:val="0051576E"/>
    <w:rsid w:val="00515861"/>
    <w:rsid w:val="005158BA"/>
    <w:rsid w:val="00515A44"/>
    <w:rsid w:val="00515A4D"/>
    <w:rsid w:val="00515CA5"/>
    <w:rsid w:val="00515E62"/>
    <w:rsid w:val="00515F07"/>
    <w:rsid w:val="0051602F"/>
    <w:rsid w:val="005162F3"/>
    <w:rsid w:val="0051630E"/>
    <w:rsid w:val="0051640A"/>
    <w:rsid w:val="005166A1"/>
    <w:rsid w:val="005166C2"/>
    <w:rsid w:val="005166CA"/>
    <w:rsid w:val="005167F4"/>
    <w:rsid w:val="005169A7"/>
    <w:rsid w:val="00516B9D"/>
    <w:rsid w:val="00516CA5"/>
    <w:rsid w:val="00516CFA"/>
    <w:rsid w:val="00516FE3"/>
    <w:rsid w:val="00517025"/>
    <w:rsid w:val="0051707A"/>
    <w:rsid w:val="00517290"/>
    <w:rsid w:val="005176E9"/>
    <w:rsid w:val="0051784D"/>
    <w:rsid w:val="005178A4"/>
    <w:rsid w:val="00517964"/>
    <w:rsid w:val="00517BB5"/>
    <w:rsid w:val="00517E66"/>
    <w:rsid w:val="0052026C"/>
    <w:rsid w:val="005202D8"/>
    <w:rsid w:val="005204D7"/>
    <w:rsid w:val="0052071B"/>
    <w:rsid w:val="00520777"/>
    <w:rsid w:val="005207A4"/>
    <w:rsid w:val="00520855"/>
    <w:rsid w:val="0052086C"/>
    <w:rsid w:val="00520BEF"/>
    <w:rsid w:val="00520D29"/>
    <w:rsid w:val="0052103B"/>
    <w:rsid w:val="0052140C"/>
    <w:rsid w:val="0052174B"/>
    <w:rsid w:val="005219E5"/>
    <w:rsid w:val="005219F7"/>
    <w:rsid w:val="00521B21"/>
    <w:rsid w:val="00521C50"/>
    <w:rsid w:val="00521FB9"/>
    <w:rsid w:val="00521FEF"/>
    <w:rsid w:val="005221FD"/>
    <w:rsid w:val="00522246"/>
    <w:rsid w:val="005224AF"/>
    <w:rsid w:val="00522561"/>
    <w:rsid w:val="00522619"/>
    <w:rsid w:val="00522755"/>
    <w:rsid w:val="0052282A"/>
    <w:rsid w:val="00522901"/>
    <w:rsid w:val="005230D8"/>
    <w:rsid w:val="005231B8"/>
    <w:rsid w:val="0052328B"/>
    <w:rsid w:val="005232D6"/>
    <w:rsid w:val="00523334"/>
    <w:rsid w:val="0052337A"/>
    <w:rsid w:val="00523479"/>
    <w:rsid w:val="005234AE"/>
    <w:rsid w:val="00523530"/>
    <w:rsid w:val="00523695"/>
    <w:rsid w:val="005238A1"/>
    <w:rsid w:val="005239B4"/>
    <w:rsid w:val="00523AE6"/>
    <w:rsid w:val="00523CEB"/>
    <w:rsid w:val="00523DD6"/>
    <w:rsid w:val="00523DE2"/>
    <w:rsid w:val="00523E8E"/>
    <w:rsid w:val="00523EB6"/>
    <w:rsid w:val="00523F43"/>
    <w:rsid w:val="00523F91"/>
    <w:rsid w:val="00523FA2"/>
    <w:rsid w:val="00523FB5"/>
    <w:rsid w:val="00524001"/>
    <w:rsid w:val="00524041"/>
    <w:rsid w:val="00524063"/>
    <w:rsid w:val="0052410C"/>
    <w:rsid w:val="005241F7"/>
    <w:rsid w:val="00524335"/>
    <w:rsid w:val="00524362"/>
    <w:rsid w:val="005244C5"/>
    <w:rsid w:val="005246E8"/>
    <w:rsid w:val="00524761"/>
    <w:rsid w:val="00524F42"/>
    <w:rsid w:val="00524F52"/>
    <w:rsid w:val="00525588"/>
    <w:rsid w:val="005259A5"/>
    <w:rsid w:val="00525B6F"/>
    <w:rsid w:val="00525CDD"/>
    <w:rsid w:val="00525DDF"/>
    <w:rsid w:val="00525EA1"/>
    <w:rsid w:val="00525EC5"/>
    <w:rsid w:val="00525EDB"/>
    <w:rsid w:val="00526181"/>
    <w:rsid w:val="005262B3"/>
    <w:rsid w:val="005262FB"/>
    <w:rsid w:val="00526769"/>
    <w:rsid w:val="00526A04"/>
    <w:rsid w:val="00526B73"/>
    <w:rsid w:val="00526E00"/>
    <w:rsid w:val="00526F05"/>
    <w:rsid w:val="00527048"/>
    <w:rsid w:val="005272E5"/>
    <w:rsid w:val="00527300"/>
    <w:rsid w:val="005273BF"/>
    <w:rsid w:val="00527499"/>
    <w:rsid w:val="005277FF"/>
    <w:rsid w:val="005278A2"/>
    <w:rsid w:val="005278E1"/>
    <w:rsid w:val="00527B62"/>
    <w:rsid w:val="00527BB0"/>
    <w:rsid w:val="00527DCA"/>
    <w:rsid w:val="00527F82"/>
    <w:rsid w:val="00527F91"/>
    <w:rsid w:val="0053013B"/>
    <w:rsid w:val="005307FE"/>
    <w:rsid w:val="005309E5"/>
    <w:rsid w:val="00530C22"/>
    <w:rsid w:val="00530D64"/>
    <w:rsid w:val="00530E90"/>
    <w:rsid w:val="005313B5"/>
    <w:rsid w:val="0053160B"/>
    <w:rsid w:val="00531802"/>
    <w:rsid w:val="0053189E"/>
    <w:rsid w:val="00531AE2"/>
    <w:rsid w:val="00531BF2"/>
    <w:rsid w:val="00531C18"/>
    <w:rsid w:val="00531CC6"/>
    <w:rsid w:val="00531D54"/>
    <w:rsid w:val="00531D7A"/>
    <w:rsid w:val="00531E91"/>
    <w:rsid w:val="00531FEF"/>
    <w:rsid w:val="00532155"/>
    <w:rsid w:val="005322D0"/>
    <w:rsid w:val="00532630"/>
    <w:rsid w:val="0053285D"/>
    <w:rsid w:val="00532969"/>
    <w:rsid w:val="00532F5A"/>
    <w:rsid w:val="00532FB3"/>
    <w:rsid w:val="00533106"/>
    <w:rsid w:val="005331E3"/>
    <w:rsid w:val="0053323C"/>
    <w:rsid w:val="005333AB"/>
    <w:rsid w:val="00533431"/>
    <w:rsid w:val="00533469"/>
    <w:rsid w:val="00533756"/>
    <w:rsid w:val="00533921"/>
    <w:rsid w:val="005339AB"/>
    <w:rsid w:val="005339EE"/>
    <w:rsid w:val="00533BE3"/>
    <w:rsid w:val="00533CD1"/>
    <w:rsid w:val="00533DB6"/>
    <w:rsid w:val="0053408F"/>
    <w:rsid w:val="0053418A"/>
    <w:rsid w:val="005345A6"/>
    <w:rsid w:val="005345F5"/>
    <w:rsid w:val="005346EC"/>
    <w:rsid w:val="00534940"/>
    <w:rsid w:val="00534A44"/>
    <w:rsid w:val="00534C6D"/>
    <w:rsid w:val="00534D19"/>
    <w:rsid w:val="00534DA2"/>
    <w:rsid w:val="00535528"/>
    <w:rsid w:val="00535647"/>
    <w:rsid w:val="005357B3"/>
    <w:rsid w:val="00535B08"/>
    <w:rsid w:val="00535BAA"/>
    <w:rsid w:val="00535CBB"/>
    <w:rsid w:val="00535DD3"/>
    <w:rsid w:val="00535EB3"/>
    <w:rsid w:val="00535FFD"/>
    <w:rsid w:val="0053617A"/>
    <w:rsid w:val="005368E2"/>
    <w:rsid w:val="005369D0"/>
    <w:rsid w:val="00536A6B"/>
    <w:rsid w:val="00536BE3"/>
    <w:rsid w:val="00536E5C"/>
    <w:rsid w:val="00537026"/>
    <w:rsid w:val="0053741B"/>
    <w:rsid w:val="0053751C"/>
    <w:rsid w:val="0053753E"/>
    <w:rsid w:val="005375B0"/>
    <w:rsid w:val="005378CD"/>
    <w:rsid w:val="00537943"/>
    <w:rsid w:val="00537A16"/>
    <w:rsid w:val="00537C5C"/>
    <w:rsid w:val="00537D74"/>
    <w:rsid w:val="00537E85"/>
    <w:rsid w:val="00537EBB"/>
    <w:rsid w:val="00537F3A"/>
    <w:rsid w:val="005400EC"/>
    <w:rsid w:val="00540109"/>
    <w:rsid w:val="005403E1"/>
    <w:rsid w:val="00540762"/>
    <w:rsid w:val="00540775"/>
    <w:rsid w:val="005407F1"/>
    <w:rsid w:val="0054080F"/>
    <w:rsid w:val="00540940"/>
    <w:rsid w:val="005409CD"/>
    <w:rsid w:val="00540AD8"/>
    <w:rsid w:val="00540B86"/>
    <w:rsid w:val="0054131A"/>
    <w:rsid w:val="0054136D"/>
    <w:rsid w:val="00541470"/>
    <w:rsid w:val="00541485"/>
    <w:rsid w:val="005414EA"/>
    <w:rsid w:val="00541733"/>
    <w:rsid w:val="0054184A"/>
    <w:rsid w:val="0054194A"/>
    <w:rsid w:val="00541BC3"/>
    <w:rsid w:val="00541D65"/>
    <w:rsid w:val="00541EFB"/>
    <w:rsid w:val="00541F41"/>
    <w:rsid w:val="00541F8F"/>
    <w:rsid w:val="00541FB4"/>
    <w:rsid w:val="005421B9"/>
    <w:rsid w:val="0054225B"/>
    <w:rsid w:val="005423B6"/>
    <w:rsid w:val="005423CD"/>
    <w:rsid w:val="0054295D"/>
    <w:rsid w:val="00542AC6"/>
    <w:rsid w:val="00542AE0"/>
    <w:rsid w:val="00543145"/>
    <w:rsid w:val="00543655"/>
    <w:rsid w:val="005436CE"/>
    <w:rsid w:val="00543A61"/>
    <w:rsid w:val="00543AA7"/>
    <w:rsid w:val="00543C7C"/>
    <w:rsid w:val="00543D4E"/>
    <w:rsid w:val="00543F3D"/>
    <w:rsid w:val="00543F50"/>
    <w:rsid w:val="0054419D"/>
    <w:rsid w:val="00544394"/>
    <w:rsid w:val="005443D0"/>
    <w:rsid w:val="005446AA"/>
    <w:rsid w:val="005448AF"/>
    <w:rsid w:val="00544A90"/>
    <w:rsid w:val="00544AE8"/>
    <w:rsid w:val="00544B40"/>
    <w:rsid w:val="00544CC5"/>
    <w:rsid w:val="0054528A"/>
    <w:rsid w:val="00545306"/>
    <w:rsid w:val="0054535E"/>
    <w:rsid w:val="0054545C"/>
    <w:rsid w:val="00545470"/>
    <w:rsid w:val="005454C7"/>
    <w:rsid w:val="005455A8"/>
    <w:rsid w:val="005457A7"/>
    <w:rsid w:val="00545831"/>
    <w:rsid w:val="00545F62"/>
    <w:rsid w:val="00546085"/>
    <w:rsid w:val="00546204"/>
    <w:rsid w:val="005464D6"/>
    <w:rsid w:val="00546668"/>
    <w:rsid w:val="005468B4"/>
    <w:rsid w:val="00546916"/>
    <w:rsid w:val="005469C6"/>
    <w:rsid w:val="00546B8D"/>
    <w:rsid w:val="00546C75"/>
    <w:rsid w:val="00546D63"/>
    <w:rsid w:val="00546EB0"/>
    <w:rsid w:val="00546EDC"/>
    <w:rsid w:val="00547088"/>
    <w:rsid w:val="0054710F"/>
    <w:rsid w:val="00547125"/>
    <w:rsid w:val="00547189"/>
    <w:rsid w:val="00547198"/>
    <w:rsid w:val="0054748E"/>
    <w:rsid w:val="005477E1"/>
    <w:rsid w:val="00547C49"/>
    <w:rsid w:val="00547D42"/>
    <w:rsid w:val="00547E55"/>
    <w:rsid w:val="005501CC"/>
    <w:rsid w:val="005502D7"/>
    <w:rsid w:val="005502FF"/>
    <w:rsid w:val="00550607"/>
    <w:rsid w:val="005507EF"/>
    <w:rsid w:val="00550B32"/>
    <w:rsid w:val="00550BC6"/>
    <w:rsid w:val="00550C80"/>
    <w:rsid w:val="00550CD1"/>
    <w:rsid w:val="00550EBA"/>
    <w:rsid w:val="00551023"/>
    <w:rsid w:val="0055142D"/>
    <w:rsid w:val="00551511"/>
    <w:rsid w:val="005515E1"/>
    <w:rsid w:val="00551822"/>
    <w:rsid w:val="005518DC"/>
    <w:rsid w:val="00551D62"/>
    <w:rsid w:val="00552064"/>
    <w:rsid w:val="005522B6"/>
    <w:rsid w:val="0055231B"/>
    <w:rsid w:val="0055233D"/>
    <w:rsid w:val="005523B1"/>
    <w:rsid w:val="00552410"/>
    <w:rsid w:val="00552576"/>
    <w:rsid w:val="0055259E"/>
    <w:rsid w:val="0055261B"/>
    <w:rsid w:val="005527BD"/>
    <w:rsid w:val="00552911"/>
    <w:rsid w:val="00552D41"/>
    <w:rsid w:val="00552DF9"/>
    <w:rsid w:val="00552E9F"/>
    <w:rsid w:val="00552EDD"/>
    <w:rsid w:val="00553145"/>
    <w:rsid w:val="005532C3"/>
    <w:rsid w:val="00553346"/>
    <w:rsid w:val="0055341F"/>
    <w:rsid w:val="005534B3"/>
    <w:rsid w:val="0055373D"/>
    <w:rsid w:val="00553B7B"/>
    <w:rsid w:val="00553C52"/>
    <w:rsid w:val="00553CA7"/>
    <w:rsid w:val="00553E62"/>
    <w:rsid w:val="00553EEA"/>
    <w:rsid w:val="00553F75"/>
    <w:rsid w:val="00553FEF"/>
    <w:rsid w:val="0055404E"/>
    <w:rsid w:val="0055425F"/>
    <w:rsid w:val="0055480A"/>
    <w:rsid w:val="005549C6"/>
    <w:rsid w:val="00554EB6"/>
    <w:rsid w:val="00554F03"/>
    <w:rsid w:val="00554F62"/>
    <w:rsid w:val="00554F73"/>
    <w:rsid w:val="00555048"/>
    <w:rsid w:val="005550C9"/>
    <w:rsid w:val="005552AA"/>
    <w:rsid w:val="005554FC"/>
    <w:rsid w:val="0055553A"/>
    <w:rsid w:val="005555B7"/>
    <w:rsid w:val="00555761"/>
    <w:rsid w:val="00555E7B"/>
    <w:rsid w:val="005562C4"/>
    <w:rsid w:val="00556467"/>
    <w:rsid w:val="00556698"/>
    <w:rsid w:val="00556C77"/>
    <w:rsid w:val="00556CAB"/>
    <w:rsid w:val="00556D24"/>
    <w:rsid w:val="00556DB0"/>
    <w:rsid w:val="005570CF"/>
    <w:rsid w:val="00557233"/>
    <w:rsid w:val="00557330"/>
    <w:rsid w:val="005574CE"/>
    <w:rsid w:val="005574F0"/>
    <w:rsid w:val="0055756D"/>
    <w:rsid w:val="005575F8"/>
    <w:rsid w:val="005577B6"/>
    <w:rsid w:val="00557974"/>
    <w:rsid w:val="005579E3"/>
    <w:rsid w:val="00557B7A"/>
    <w:rsid w:val="00557B83"/>
    <w:rsid w:val="00557C31"/>
    <w:rsid w:val="00557CED"/>
    <w:rsid w:val="00557D48"/>
    <w:rsid w:val="00557E93"/>
    <w:rsid w:val="00557ECF"/>
    <w:rsid w:val="00560217"/>
    <w:rsid w:val="0056026F"/>
    <w:rsid w:val="00560336"/>
    <w:rsid w:val="00560404"/>
    <w:rsid w:val="0056047B"/>
    <w:rsid w:val="005604A3"/>
    <w:rsid w:val="0056082D"/>
    <w:rsid w:val="00560985"/>
    <w:rsid w:val="005609EC"/>
    <w:rsid w:val="00560BDC"/>
    <w:rsid w:val="00560C8F"/>
    <w:rsid w:val="00560D22"/>
    <w:rsid w:val="00560EBD"/>
    <w:rsid w:val="00560EDF"/>
    <w:rsid w:val="005611A9"/>
    <w:rsid w:val="00561225"/>
    <w:rsid w:val="0056125D"/>
    <w:rsid w:val="005612F3"/>
    <w:rsid w:val="005612FC"/>
    <w:rsid w:val="0056191B"/>
    <w:rsid w:val="005619C3"/>
    <w:rsid w:val="00561A03"/>
    <w:rsid w:val="00561A8B"/>
    <w:rsid w:val="00561A92"/>
    <w:rsid w:val="00561C23"/>
    <w:rsid w:val="00561CA4"/>
    <w:rsid w:val="00561D06"/>
    <w:rsid w:val="00561D71"/>
    <w:rsid w:val="00561E44"/>
    <w:rsid w:val="00561F54"/>
    <w:rsid w:val="00562149"/>
    <w:rsid w:val="0056218C"/>
    <w:rsid w:val="00562222"/>
    <w:rsid w:val="005624FA"/>
    <w:rsid w:val="005625B0"/>
    <w:rsid w:val="00562898"/>
    <w:rsid w:val="00562AB3"/>
    <w:rsid w:val="00562ABA"/>
    <w:rsid w:val="00562F24"/>
    <w:rsid w:val="005631DF"/>
    <w:rsid w:val="00563203"/>
    <w:rsid w:val="00563578"/>
    <w:rsid w:val="005635F0"/>
    <w:rsid w:val="00563CEB"/>
    <w:rsid w:val="00563D4A"/>
    <w:rsid w:val="00564071"/>
    <w:rsid w:val="005641D5"/>
    <w:rsid w:val="00564203"/>
    <w:rsid w:val="0056448A"/>
    <w:rsid w:val="00564660"/>
    <w:rsid w:val="0056466C"/>
    <w:rsid w:val="00564812"/>
    <w:rsid w:val="00564816"/>
    <w:rsid w:val="005648BF"/>
    <w:rsid w:val="005648FE"/>
    <w:rsid w:val="0056493B"/>
    <w:rsid w:val="00564A18"/>
    <w:rsid w:val="00564D81"/>
    <w:rsid w:val="00564EB9"/>
    <w:rsid w:val="00564EBD"/>
    <w:rsid w:val="005650C4"/>
    <w:rsid w:val="00565313"/>
    <w:rsid w:val="00565323"/>
    <w:rsid w:val="00565393"/>
    <w:rsid w:val="005655C5"/>
    <w:rsid w:val="00565751"/>
    <w:rsid w:val="005658B0"/>
    <w:rsid w:val="00565AD7"/>
    <w:rsid w:val="00565B74"/>
    <w:rsid w:val="00565F03"/>
    <w:rsid w:val="00565F9C"/>
    <w:rsid w:val="00565FAF"/>
    <w:rsid w:val="00566161"/>
    <w:rsid w:val="00566440"/>
    <w:rsid w:val="00566525"/>
    <w:rsid w:val="00566587"/>
    <w:rsid w:val="00566824"/>
    <w:rsid w:val="00566D48"/>
    <w:rsid w:val="00566F7C"/>
    <w:rsid w:val="00566FFF"/>
    <w:rsid w:val="00567008"/>
    <w:rsid w:val="0056701A"/>
    <w:rsid w:val="00567259"/>
    <w:rsid w:val="0056725E"/>
    <w:rsid w:val="005672F6"/>
    <w:rsid w:val="005673B1"/>
    <w:rsid w:val="0056740A"/>
    <w:rsid w:val="0056749B"/>
    <w:rsid w:val="005677E5"/>
    <w:rsid w:val="005679BD"/>
    <w:rsid w:val="00567B14"/>
    <w:rsid w:val="00567D98"/>
    <w:rsid w:val="00570046"/>
    <w:rsid w:val="0057028B"/>
    <w:rsid w:val="005702C8"/>
    <w:rsid w:val="00570363"/>
    <w:rsid w:val="0057037F"/>
    <w:rsid w:val="005703E1"/>
    <w:rsid w:val="0057066C"/>
    <w:rsid w:val="00570C33"/>
    <w:rsid w:val="00570D6D"/>
    <w:rsid w:val="00570FFB"/>
    <w:rsid w:val="0057105F"/>
    <w:rsid w:val="005712D5"/>
    <w:rsid w:val="00571310"/>
    <w:rsid w:val="005713F5"/>
    <w:rsid w:val="005714CC"/>
    <w:rsid w:val="0057151A"/>
    <w:rsid w:val="0057168E"/>
    <w:rsid w:val="005716BE"/>
    <w:rsid w:val="005719FC"/>
    <w:rsid w:val="00571A9C"/>
    <w:rsid w:val="00571C24"/>
    <w:rsid w:val="00571E62"/>
    <w:rsid w:val="00571ECE"/>
    <w:rsid w:val="00571F2F"/>
    <w:rsid w:val="0057201C"/>
    <w:rsid w:val="00572153"/>
    <w:rsid w:val="0057219E"/>
    <w:rsid w:val="0057227C"/>
    <w:rsid w:val="005723CF"/>
    <w:rsid w:val="0057293D"/>
    <w:rsid w:val="00572D73"/>
    <w:rsid w:val="00572FDB"/>
    <w:rsid w:val="00573270"/>
    <w:rsid w:val="005732CD"/>
    <w:rsid w:val="00573379"/>
    <w:rsid w:val="00573618"/>
    <w:rsid w:val="00573679"/>
    <w:rsid w:val="005739BB"/>
    <w:rsid w:val="00573AF3"/>
    <w:rsid w:val="00573D14"/>
    <w:rsid w:val="00573D86"/>
    <w:rsid w:val="00573F7B"/>
    <w:rsid w:val="0057407A"/>
    <w:rsid w:val="005740C3"/>
    <w:rsid w:val="005741D6"/>
    <w:rsid w:val="005748E4"/>
    <w:rsid w:val="00574990"/>
    <w:rsid w:val="00574A96"/>
    <w:rsid w:val="00574B2E"/>
    <w:rsid w:val="00574BCC"/>
    <w:rsid w:val="00574C9A"/>
    <w:rsid w:val="00574F89"/>
    <w:rsid w:val="00574F9B"/>
    <w:rsid w:val="00575088"/>
    <w:rsid w:val="0057522E"/>
    <w:rsid w:val="00575365"/>
    <w:rsid w:val="005754FA"/>
    <w:rsid w:val="005756A9"/>
    <w:rsid w:val="00575799"/>
    <w:rsid w:val="005758CD"/>
    <w:rsid w:val="00575926"/>
    <w:rsid w:val="00575A86"/>
    <w:rsid w:val="00575B9A"/>
    <w:rsid w:val="00575C56"/>
    <w:rsid w:val="00575C89"/>
    <w:rsid w:val="00575DAD"/>
    <w:rsid w:val="00575E8D"/>
    <w:rsid w:val="00575F7A"/>
    <w:rsid w:val="0057628A"/>
    <w:rsid w:val="00576381"/>
    <w:rsid w:val="005767DF"/>
    <w:rsid w:val="005769E9"/>
    <w:rsid w:val="00576A19"/>
    <w:rsid w:val="00576B2B"/>
    <w:rsid w:val="00576B7B"/>
    <w:rsid w:val="00576B94"/>
    <w:rsid w:val="00576B9A"/>
    <w:rsid w:val="00576CCF"/>
    <w:rsid w:val="00576F33"/>
    <w:rsid w:val="00576F42"/>
    <w:rsid w:val="00576FA4"/>
    <w:rsid w:val="005770E0"/>
    <w:rsid w:val="00577122"/>
    <w:rsid w:val="00577A92"/>
    <w:rsid w:val="00577BCE"/>
    <w:rsid w:val="00577E91"/>
    <w:rsid w:val="005800BB"/>
    <w:rsid w:val="00580261"/>
    <w:rsid w:val="0058039B"/>
    <w:rsid w:val="005803BF"/>
    <w:rsid w:val="005805DC"/>
    <w:rsid w:val="005806A8"/>
    <w:rsid w:val="005808CA"/>
    <w:rsid w:val="00580B35"/>
    <w:rsid w:val="00580B6D"/>
    <w:rsid w:val="00580CC3"/>
    <w:rsid w:val="00580F0F"/>
    <w:rsid w:val="00580F31"/>
    <w:rsid w:val="00580F3C"/>
    <w:rsid w:val="00580F95"/>
    <w:rsid w:val="005810D1"/>
    <w:rsid w:val="005811D1"/>
    <w:rsid w:val="0058135E"/>
    <w:rsid w:val="0058138F"/>
    <w:rsid w:val="00581488"/>
    <w:rsid w:val="005816B8"/>
    <w:rsid w:val="005817DA"/>
    <w:rsid w:val="005819F6"/>
    <w:rsid w:val="00581B80"/>
    <w:rsid w:val="00581F05"/>
    <w:rsid w:val="0058211B"/>
    <w:rsid w:val="00582276"/>
    <w:rsid w:val="00582317"/>
    <w:rsid w:val="0058231B"/>
    <w:rsid w:val="00582542"/>
    <w:rsid w:val="005826C7"/>
    <w:rsid w:val="0058278D"/>
    <w:rsid w:val="0058280E"/>
    <w:rsid w:val="00582815"/>
    <w:rsid w:val="005829BA"/>
    <w:rsid w:val="00582A28"/>
    <w:rsid w:val="00582B36"/>
    <w:rsid w:val="00582D2B"/>
    <w:rsid w:val="00582D53"/>
    <w:rsid w:val="00582F55"/>
    <w:rsid w:val="00583419"/>
    <w:rsid w:val="00583584"/>
    <w:rsid w:val="0058388D"/>
    <w:rsid w:val="00583BC6"/>
    <w:rsid w:val="00583DCB"/>
    <w:rsid w:val="00583FCC"/>
    <w:rsid w:val="00583FD5"/>
    <w:rsid w:val="005841DD"/>
    <w:rsid w:val="005845B0"/>
    <w:rsid w:val="00584694"/>
    <w:rsid w:val="00584763"/>
    <w:rsid w:val="0058486C"/>
    <w:rsid w:val="00584AF7"/>
    <w:rsid w:val="00584BB1"/>
    <w:rsid w:val="00584CAC"/>
    <w:rsid w:val="00585074"/>
    <w:rsid w:val="005852D6"/>
    <w:rsid w:val="00585355"/>
    <w:rsid w:val="00585733"/>
    <w:rsid w:val="005859BA"/>
    <w:rsid w:val="00585A05"/>
    <w:rsid w:val="00585B67"/>
    <w:rsid w:val="00585BF2"/>
    <w:rsid w:val="00585C78"/>
    <w:rsid w:val="00585CE6"/>
    <w:rsid w:val="00585E48"/>
    <w:rsid w:val="005861A5"/>
    <w:rsid w:val="00586381"/>
    <w:rsid w:val="00586661"/>
    <w:rsid w:val="005867D8"/>
    <w:rsid w:val="00586831"/>
    <w:rsid w:val="00586B27"/>
    <w:rsid w:val="00586BB2"/>
    <w:rsid w:val="00586BD3"/>
    <w:rsid w:val="00586CFE"/>
    <w:rsid w:val="00586DB5"/>
    <w:rsid w:val="00586E2E"/>
    <w:rsid w:val="005870BE"/>
    <w:rsid w:val="00587235"/>
    <w:rsid w:val="00587337"/>
    <w:rsid w:val="0058772D"/>
    <w:rsid w:val="0058779A"/>
    <w:rsid w:val="005877A4"/>
    <w:rsid w:val="005877C2"/>
    <w:rsid w:val="00587B01"/>
    <w:rsid w:val="00587DEB"/>
    <w:rsid w:val="00587E40"/>
    <w:rsid w:val="00587F07"/>
    <w:rsid w:val="00590035"/>
    <w:rsid w:val="005900EE"/>
    <w:rsid w:val="00590123"/>
    <w:rsid w:val="00590278"/>
    <w:rsid w:val="00590437"/>
    <w:rsid w:val="00590456"/>
    <w:rsid w:val="005905DF"/>
    <w:rsid w:val="00590956"/>
    <w:rsid w:val="00590A1E"/>
    <w:rsid w:val="00590A34"/>
    <w:rsid w:val="00590CC8"/>
    <w:rsid w:val="00590D12"/>
    <w:rsid w:val="00590E60"/>
    <w:rsid w:val="00590F52"/>
    <w:rsid w:val="0059104C"/>
    <w:rsid w:val="005911D5"/>
    <w:rsid w:val="00591244"/>
    <w:rsid w:val="005912AD"/>
    <w:rsid w:val="005919A8"/>
    <w:rsid w:val="00591D4B"/>
    <w:rsid w:val="00591D65"/>
    <w:rsid w:val="00591EA1"/>
    <w:rsid w:val="00591F0B"/>
    <w:rsid w:val="00591F24"/>
    <w:rsid w:val="00592055"/>
    <w:rsid w:val="00592118"/>
    <w:rsid w:val="00592293"/>
    <w:rsid w:val="005922A4"/>
    <w:rsid w:val="0059264E"/>
    <w:rsid w:val="00592807"/>
    <w:rsid w:val="00592BB4"/>
    <w:rsid w:val="00592D7E"/>
    <w:rsid w:val="00592E76"/>
    <w:rsid w:val="00592FE6"/>
    <w:rsid w:val="0059306F"/>
    <w:rsid w:val="0059307F"/>
    <w:rsid w:val="005930C9"/>
    <w:rsid w:val="00593455"/>
    <w:rsid w:val="00593601"/>
    <w:rsid w:val="0059367F"/>
    <w:rsid w:val="00593968"/>
    <w:rsid w:val="00593A15"/>
    <w:rsid w:val="00593A86"/>
    <w:rsid w:val="00593B70"/>
    <w:rsid w:val="00593F26"/>
    <w:rsid w:val="00593F40"/>
    <w:rsid w:val="00594022"/>
    <w:rsid w:val="00594228"/>
    <w:rsid w:val="0059438B"/>
    <w:rsid w:val="005943C7"/>
    <w:rsid w:val="00594416"/>
    <w:rsid w:val="00594650"/>
    <w:rsid w:val="005946BE"/>
    <w:rsid w:val="005948C7"/>
    <w:rsid w:val="00594E3F"/>
    <w:rsid w:val="00594FD2"/>
    <w:rsid w:val="0059514F"/>
    <w:rsid w:val="005952FB"/>
    <w:rsid w:val="00595623"/>
    <w:rsid w:val="005959B7"/>
    <w:rsid w:val="00595A86"/>
    <w:rsid w:val="00595DC2"/>
    <w:rsid w:val="00595E3F"/>
    <w:rsid w:val="0059600C"/>
    <w:rsid w:val="00596822"/>
    <w:rsid w:val="005968CC"/>
    <w:rsid w:val="00596A53"/>
    <w:rsid w:val="00596A8D"/>
    <w:rsid w:val="00596AD3"/>
    <w:rsid w:val="00596BFE"/>
    <w:rsid w:val="00596FC4"/>
    <w:rsid w:val="00597101"/>
    <w:rsid w:val="00597310"/>
    <w:rsid w:val="0059739A"/>
    <w:rsid w:val="00597462"/>
    <w:rsid w:val="00597711"/>
    <w:rsid w:val="00597752"/>
    <w:rsid w:val="00597C10"/>
    <w:rsid w:val="00597D67"/>
    <w:rsid w:val="00597EDD"/>
    <w:rsid w:val="005A0050"/>
    <w:rsid w:val="005A00D0"/>
    <w:rsid w:val="005A03B3"/>
    <w:rsid w:val="005A0649"/>
    <w:rsid w:val="005A06B4"/>
    <w:rsid w:val="005A0750"/>
    <w:rsid w:val="005A077C"/>
    <w:rsid w:val="005A09E3"/>
    <w:rsid w:val="005A0D88"/>
    <w:rsid w:val="005A0D99"/>
    <w:rsid w:val="005A0DE3"/>
    <w:rsid w:val="005A0E90"/>
    <w:rsid w:val="005A0FFC"/>
    <w:rsid w:val="005A106C"/>
    <w:rsid w:val="005A1080"/>
    <w:rsid w:val="005A1213"/>
    <w:rsid w:val="005A121C"/>
    <w:rsid w:val="005A1252"/>
    <w:rsid w:val="005A141D"/>
    <w:rsid w:val="005A1453"/>
    <w:rsid w:val="005A19E7"/>
    <w:rsid w:val="005A1A69"/>
    <w:rsid w:val="005A1C19"/>
    <w:rsid w:val="005A1CF3"/>
    <w:rsid w:val="005A1F80"/>
    <w:rsid w:val="005A266D"/>
    <w:rsid w:val="005A2734"/>
    <w:rsid w:val="005A2811"/>
    <w:rsid w:val="005A281A"/>
    <w:rsid w:val="005A297B"/>
    <w:rsid w:val="005A2C0A"/>
    <w:rsid w:val="005A2C63"/>
    <w:rsid w:val="005A2F3C"/>
    <w:rsid w:val="005A2F67"/>
    <w:rsid w:val="005A327A"/>
    <w:rsid w:val="005A386C"/>
    <w:rsid w:val="005A391F"/>
    <w:rsid w:val="005A3AD8"/>
    <w:rsid w:val="005A3E64"/>
    <w:rsid w:val="005A40BF"/>
    <w:rsid w:val="005A41B9"/>
    <w:rsid w:val="005A430A"/>
    <w:rsid w:val="005A45C2"/>
    <w:rsid w:val="005A4B75"/>
    <w:rsid w:val="005A4C05"/>
    <w:rsid w:val="005A4C06"/>
    <w:rsid w:val="005A4CCD"/>
    <w:rsid w:val="005A4CFA"/>
    <w:rsid w:val="005A4E6E"/>
    <w:rsid w:val="005A5030"/>
    <w:rsid w:val="005A52CB"/>
    <w:rsid w:val="005A5755"/>
    <w:rsid w:val="005A58C7"/>
    <w:rsid w:val="005A59BE"/>
    <w:rsid w:val="005A5A20"/>
    <w:rsid w:val="005A5ABE"/>
    <w:rsid w:val="005A5BEA"/>
    <w:rsid w:val="005A5D1E"/>
    <w:rsid w:val="005A607F"/>
    <w:rsid w:val="005A60D9"/>
    <w:rsid w:val="005A6132"/>
    <w:rsid w:val="005A616E"/>
    <w:rsid w:val="005A6436"/>
    <w:rsid w:val="005A646E"/>
    <w:rsid w:val="005A6677"/>
    <w:rsid w:val="005A68AC"/>
    <w:rsid w:val="005A6E4A"/>
    <w:rsid w:val="005A6E80"/>
    <w:rsid w:val="005A709C"/>
    <w:rsid w:val="005A7311"/>
    <w:rsid w:val="005A7562"/>
    <w:rsid w:val="005A76FD"/>
    <w:rsid w:val="005A7751"/>
    <w:rsid w:val="005A77E1"/>
    <w:rsid w:val="005A7ACC"/>
    <w:rsid w:val="005A7B9C"/>
    <w:rsid w:val="005A7C78"/>
    <w:rsid w:val="005A7D29"/>
    <w:rsid w:val="005A7E43"/>
    <w:rsid w:val="005A7E90"/>
    <w:rsid w:val="005A7EAD"/>
    <w:rsid w:val="005A7F49"/>
    <w:rsid w:val="005A7FA3"/>
    <w:rsid w:val="005B00FC"/>
    <w:rsid w:val="005B015D"/>
    <w:rsid w:val="005B0A63"/>
    <w:rsid w:val="005B0F58"/>
    <w:rsid w:val="005B0FC9"/>
    <w:rsid w:val="005B13AB"/>
    <w:rsid w:val="005B1A34"/>
    <w:rsid w:val="005B1BD2"/>
    <w:rsid w:val="005B1CD4"/>
    <w:rsid w:val="005B20C3"/>
    <w:rsid w:val="005B21EA"/>
    <w:rsid w:val="005B2333"/>
    <w:rsid w:val="005B265A"/>
    <w:rsid w:val="005B26AC"/>
    <w:rsid w:val="005B2A9E"/>
    <w:rsid w:val="005B2DE0"/>
    <w:rsid w:val="005B2E05"/>
    <w:rsid w:val="005B2EBB"/>
    <w:rsid w:val="005B2F3B"/>
    <w:rsid w:val="005B3062"/>
    <w:rsid w:val="005B341B"/>
    <w:rsid w:val="005B368D"/>
    <w:rsid w:val="005B3800"/>
    <w:rsid w:val="005B38A0"/>
    <w:rsid w:val="005B3A01"/>
    <w:rsid w:val="005B3A27"/>
    <w:rsid w:val="005B3D3C"/>
    <w:rsid w:val="005B3F78"/>
    <w:rsid w:val="005B40D1"/>
    <w:rsid w:val="005B4138"/>
    <w:rsid w:val="005B4302"/>
    <w:rsid w:val="005B43B0"/>
    <w:rsid w:val="005B4485"/>
    <w:rsid w:val="005B44B9"/>
    <w:rsid w:val="005B4635"/>
    <w:rsid w:val="005B4692"/>
    <w:rsid w:val="005B481D"/>
    <w:rsid w:val="005B4934"/>
    <w:rsid w:val="005B4992"/>
    <w:rsid w:val="005B4A16"/>
    <w:rsid w:val="005B4AB2"/>
    <w:rsid w:val="005B4B7B"/>
    <w:rsid w:val="005B50B7"/>
    <w:rsid w:val="005B51AD"/>
    <w:rsid w:val="005B51C6"/>
    <w:rsid w:val="005B54DD"/>
    <w:rsid w:val="005B5545"/>
    <w:rsid w:val="005B5651"/>
    <w:rsid w:val="005B56AB"/>
    <w:rsid w:val="005B5729"/>
    <w:rsid w:val="005B58C4"/>
    <w:rsid w:val="005B5E55"/>
    <w:rsid w:val="005B5F19"/>
    <w:rsid w:val="005B60EF"/>
    <w:rsid w:val="005B6121"/>
    <w:rsid w:val="005B621A"/>
    <w:rsid w:val="005B624B"/>
    <w:rsid w:val="005B63F2"/>
    <w:rsid w:val="005B666E"/>
    <w:rsid w:val="005B66E5"/>
    <w:rsid w:val="005B68ED"/>
    <w:rsid w:val="005B69ED"/>
    <w:rsid w:val="005B6B02"/>
    <w:rsid w:val="005B7014"/>
    <w:rsid w:val="005B7168"/>
    <w:rsid w:val="005B7188"/>
    <w:rsid w:val="005B71D7"/>
    <w:rsid w:val="005B7295"/>
    <w:rsid w:val="005B72F0"/>
    <w:rsid w:val="005B7414"/>
    <w:rsid w:val="005B764B"/>
    <w:rsid w:val="005B7674"/>
    <w:rsid w:val="005B7798"/>
    <w:rsid w:val="005B7851"/>
    <w:rsid w:val="005B7A4D"/>
    <w:rsid w:val="005B7A57"/>
    <w:rsid w:val="005B7A5E"/>
    <w:rsid w:val="005B7C99"/>
    <w:rsid w:val="005B7CF5"/>
    <w:rsid w:val="005B7EA7"/>
    <w:rsid w:val="005C00BA"/>
    <w:rsid w:val="005C054D"/>
    <w:rsid w:val="005C06A7"/>
    <w:rsid w:val="005C08C0"/>
    <w:rsid w:val="005C08D2"/>
    <w:rsid w:val="005C0966"/>
    <w:rsid w:val="005C0BBD"/>
    <w:rsid w:val="005C0CE5"/>
    <w:rsid w:val="005C0D8D"/>
    <w:rsid w:val="005C0DB7"/>
    <w:rsid w:val="005C0F6A"/>
    <w:rsid w:val="005C1237"/>
    <w:rsid w:val="005C1462"/>
    <w:rsid w:val="005C14A6"/>
    <w:rsid w:val="005C1599"/>
    <w:rsid w:val="005C182F"/>
    <w:rsid w:val="005C1A43"/>
    <w:rsid w:val="005C238B"/>
    <w:rsid w:val="005C23E9"/>
    <w:rsid w:val="005C27EA"/>
    <w:rsid w:val="005C2BE6"/>
    <w:rsid w:val="005C2D17"/>
    <w:rsid w:val="005C2DA9"/>
    <w:rsid w:val="005C2E44"/>
    <w:rsid w:val="005C31F0"/>
    <w:rsid w:val="005C3208"/>
    <w:rsid w:val="005C3302"/>
    <w:rsid w:val="005C3452"/>
    <w:rsid w:val="005C36FA"/>
    <w:rsid w:val="005C3717"/>
    <w:rsid w:val="005C3789"/>
    <w:rsid w:val="005C38CC"/>
    <w:rsid w:val="005C3DB2"/>
    <w:rsid w:val="005C40B5"/>
    <w:rsid w:val="005C4201"/>
    <w:rsid w:val="005C4235"/>
    <w:rsid w:val="005C4325"/>
    <w:rsid w:val="005C4376"/>
    <w:rsid w:val="005C4848"/>
    <w:rsid w:val="005C48CE"/>
    <w:rsid w:val="005C491A"/>
    <w:rsid w:val="005C49B2"/>
    <w:rsid w:val="005C4A1C"/>
    <w:rsid w:val="005C4B83"/>
    <w:rsid w:val="005C4B9D"/>
    <w:rsid w:val="005C4D17"/>
    <w:rsid w:val="005C504A"/>
    <w:rsid w:val="005C5225"/>
    <w:rsid w:val="005C5245"/>
    <w:rsid w:val="005C531B"/>
    <w:rsid w:val="005C535B"/>
    <w:rsid w:val="005C54C1"/>
    <w:rsid w:val="005C556D"/>
    <w:rsid w:val="005C5740"/>
    <w:rsid w:val="005C57AF"/>
    <w:rsid w:val="005C580B"/>
    <w:rsid w:val="005C59B0"/>
    <w:rsid w:val="005C5E5E"/>
    <w:rsid w:val="005C62B8"/>
    <w:rsid w:val="005C6431"/>
    <w:rsid w:val="005C64B4"/>
    <w:rsid w:val="005C6688"/>
    <w:rsid w:val="005C66F1"/>
    <w:rsid w:val="005C66F8"/>
    <w:rsid w:val="005C69D0"/>
    <w:rsid w:val="005C6CA3"/>
    <w:rsid w:val="005C7271"/>
    <w:rsid w:val="005C7482"/>
    <w:rsid w:val="005C748E"/>
    <w:rsid w:val="005C7865"/>
    <w:rsid w:val="005C7C0A"/>
    <w:rsid w:val="005C7CA7"/>
    <w:rsid w:val="005D027E"/>
    <w:rsid w:val="005D03A5"/>
    <w:rsid w:val="005D0681"/>
    <w:rsid w:val="005D0A40"/>
    <w:rsid w:val="005D0D97"/>
    <w:rsid w:val="005D0DC3"/>
    <w:rsid w:val="005D0EEF"/>
    <w:rsid w:val="005D0F1E"/>
    <w:rsid w:val="005D13C5"/>
    <w:rsid w:val="005D1505"/>
    <w:rsid w:val="005D1653"/>
    <w:rsid w:val="005D16A9"/>
    <w:rsid w:val="005D17B6"/>
    <w:rsid w:val="005D183A"/>
    <w:rsid w:val="005D1AA2"/>
    <w:rsid w:val="005D1B62"/>
    <w:rsid w:val="005D1CF6"/>
    <w:rsid w:val="005D1DF9"/>
    <w:rsid w:val="005D1E7F"/>
    <w:rsid w:val="005D2495"/>
    <w:rsid w:val="005D25C9"/>
    <w:rsid w:val="005D2661"/>
    <w:rsid w:val="005D273D"/>
    <w:rsid w:val="005D291C"/>
    <w:rsid w:val="005D29BB"/>
    <w:rsid w:val="005D2A18"/>
    <w:rsid w:val="005D2B21"/>
    <w:rsid w:val="005D2BD1"/>
    <w:rsid w:val="005D2C96"/>
    <w:rsid w:val="005D2CBB"/>
    <w:rsid w:val="005D2E81"/>
    <w:rsid w:val="005D2EA0"/>
    <w:rsid w:val="005D2FE0"/>
    <w:rsid w:val="005D3059"/>
    <w:rsid w:val="005D30B7"/>
    <w:rsid w:val="005D320A"/>
    <w:rsid w:val="005D359F"/>
    <w:rsid w:val="005D37D7"/>
    <w:rsid w:val="005D3E9A"/>
    <w:rsid w:val="005D3F09"/>
    <w:rsid w:val="005D3F7E"/>
    <w:rsid w:val="005D3FAC"/>
    <w:rsid w:val="005D40AE"/>
    <w:rsid w:val="005D414B"/>
    <w:rsid w:val="005D420D"/>
    <w:rsid w:val="005D4826"/>
    <w:rsid w:val="005D494C"/>
    <w:rsid w:val="005D4BB0"/>
    <w:rsid w:val="005D4D0B"/>
    <w:rsid w:val="005D4F87"/>
    <w:rsid w:val="005D4FD0"/>
    <w:rsid w:val="005D5070"/>
    <w:rsid w:val="005D54CE"/>
    <w:rsid w:val="005D5640"/>
    <w:rsid w:val="005D58A4"/>
    <w:rsid w:val="005D5A44"/>
    <w:rsid w:val="005D5B01"/>
    <w:rsid w:val="005D5B8D"/>
    <w:rsid w:val="005D5FDD"/>
    <w:rsid w:val="005D6028"/>
    <w:rsid w:val="005D61AF"/>
    <w:rsid w:val="005D62FB"/>
    <w:rsid w:val="005D64B8"/>
    <w:rsid w:val="005D6550"/>
    <w:rsid w:val="005D65B4"/>
    <w:rsid w:val="005D6653"/>
    <w:rsid w:val="005D67C8"/>
    <w:rsid w:val="005D6C0E"/>
    <w:rsid w:val="005D6D91"/>
    <w:rsid w:val="005D6FA0"/>
    <w:rsid w:val="005D7590"/>
    <w:rsid w:val="005D7777"/>
    <w:rsid w:val="005D7820"/>
    <w:rsid w:val="005D784C"/>
    <w:rsid w:val="005D7973"/>
    <w:rsid w:val="005D79A6"/>
    <w:rsid w:val="005D7A99"/>
    <w:rsid w:val="005D7DC6"/>
    <w:rsid w:val="005E0296"/>
    <w:rsid w:val="005E05CC"/>
    <w:rsid w:val="005E0670"/>
    <w:rsid w:val="005E078B"/>
    <w:rsid w:val="005E09E5"/>
    <w:rsid w:val="005E0AEA"/>
    <w:rsid w:val="005E0B6E"/>
    <w:rsid w:val="005E0DCB"/>
    <w:rsid w:val="005E0E58"/>
    <w:rsid w:val="005E0E59"/>
    <w:rsid w:val="005E0EDC"/>
    <w:rsid w:val="005E1044"/>
    <w:rsid w:val="005E11F4"/>
    <w:rsid w:val="005E1218"/>
    <w:rsid w:val="005E143A"/>
    <w:rsid w:val="005E1A2E"/>
    <w:rsid w:val="005E1B25"/>
    <w:rsid w:val="005E1F10"/>
    <w:rsid w:val="005E22DE"/>
    <w:rsid w:val="005E241B"/>
    <w:rsid w:val="005E267D"/>
    <w:rsid w:val="005E27D9"/>
    <w:rsid w:val="005E28D0"/>
    <w:rsid w:val="005E2970"/>
    <w:rsid w:val="005E2A3E"/>
    <w:rsid w:val="005E2EF6"/>
    <w:rsid w:val="005E2FA1"/>
    <w:rsid w:val="005E30F7"/>
    <w:rsid w:val="005E327C"/>
    <w:rsid w:val="005E338D"/>
    <w:rsid w:val="005E350A"/>
    <w:rsid w:val="005E353C"/>
    <w:rsid w:val="005E36C5"/>
    <w:rsid w:val="005E382A"/>
    <w:rsid w:val="005E39DB"/>
    <w:rsid w:val="005E3AB2"/>
    <w:rsid w:val="005E3E90"/>
    <w:rsid w:val="005E3F11"/>
    <w:rsid w:val="005E43A4"/>
    <w:rsid w:val="005E4449"/>
    <w:rsid w:val="005E4CD6"/>
    <w:rsid w:val="005E4CF6"/>
    <w:rsid w:val="005E4F57"/>
    <w:rsid w:val="005E516F"/>
    <w:rsid w:val="005E5349"/>
    <w:rsid w:val="005E53E5"/>
    <w:rsid w:val="005E54AD"/>
    <w:rsid w:val="005E5596"/>
    <w:rsid w:val="005E55ED"/>
    <w:rsid w:val="005E5684"/>
    <w:rsid w:val="005E57E9"/>
    <w:rsid w:val="005E5E29"/>
    <w:rsid w:val="005E5F5E"/>
    <w:rsid w:val="005E6129"/>
    <w:rsid w:val="005E63FF"/>
    <w:rsid w:val="005E6570"/>
    <w:rsid w:val="005E6784"/>
    <w:rsid w:val="005E6807"/>
    <w:rsid w:val="005E6871"/>
    <w:rsid w:val="005E6C62"/>
    <w:rsid w:val="005E6E44"/>
    <w:rsid w:val="005E70E3"/>
    <w:rsid w:val="005E71A7"/>
    <w:rsid w:val="005E75B3"/>
    <w:rsid w:val="005E784B"/>
    <w:rsid w:val="005E78E4"/>
    <w:rsid w:val="005E7926"/>
    <w:rsid w:val="005E7980"/>
    <w:rsid w:val="005E7A21"/>
    <w:rsid w:val="005E7A3E"/>
    <w:rsid w:val="005E7C85"/>
    <w:rsid w:val="005E7E87"/>
    <w:rsid w:val="005F0006"/>
    <w:rsid w:val="005F022F"/>
    <w:rsid w:val="005F035F"/>
    <w:rsid w:val="005F0365"/>
    <w:rsid w:val="005F05D0"/>
    <w:rsid w:val="005F060D"/>
    <w:rsid w:val="005F0657"/>
    <w:rsid w:val="005F0723"/>
    <w:rsid w:val="005F074A"/>
    <w:rsid w:val="005F0772"/>
    <w:rsid w:val="005F07A5"/>
    <w:rsid w:val="005F087D"/>
    <w:rsid w:val="005F08C5"/>
    <w:rsid w:val="005F08E9"/>
    <w:rsid w:val="005F0A86"/>
    <w:rsid w:val="005F0C5B"/>
    <w:rsid w:val="005F0DDB"/>
    <w:rsid w:val="005F0F12"/>
    <w:rsid w:val="005F12BE"/>
    <w:rsid w:val="005F12CD"/>
    <w:rsid w:val="005F140D"/>
    <w:rsid w:val="005F1510"/>
    <w:rsid w:val="005F15A8"/>
    <w:rsid w:val="005F1809"/>
    <w:rsid w:val="005F1871"/>
    <w:rsid w:val="005F1BCA"/>
    <w:rsid w:val="005F1C42"/>
    <w:rsid w:val="005F1FE3"/>
    <w:rsid w:val="005F1FE8"/>
    <w:rsid w:val="005F214B"/>
    <w:rsid w:val="005F2249"/>
    <w:rsid w:val="005F22A4"/>
    <w:rsid w:val="005F259F"/>
    <w:rsid w:val="005F28FC"/>
    <w:rsid w:val="005F2AE2"/>
    <w:rsid w:val="005F2B3A"/>
    <w:rsid w:val="005F2B52"/>
    <w:rsid w:val="005F2C21"/>
    <w:rsid w:val="005F346C"/>
    <w:rsid w:val="005F3BDA"/>
    <w:rsid w:val="005F3D6A"/>
    <w:rsid w:val="005F3EAC"/>
    <w:rsid w:val="005F3F0F"/>
    <w:rsid w:val="005F41AB"/>
    <w:rsid w:val="005F445F"/>
    <w:rsid w:val="005F4467"/>
    <w:rsid w:val="005F4489"/>
    <w:rsid w:val="005F4643"/>
    <w:rsid w:val="005F4861"/>
    <w:rsid w:val="005F48E4"/>
    <w:rsid w:val="005F4B34"/>
    <w:rsid w:val="005F4B3B"/>
    <w:rsid w:val="005F4BEF"/>
    <w:rsid w:val="005F504A"/>
    <w:rsid w:val="005F504C"/>
    <w:rsid w:val="005F507A"/>
    <w:rsid w:val="005F52D3"/>
    <w:rsid w:val="005F555A"/>
    <w:rsid w:val="005F5B06"/>
    <w:rsid w:val="005F5F75"/>
    <w:rsid w:val="005F6058"/>
    <w:rsid w:val="005F614A"/>
    <w:rsid w:val="005F624E"/>
    <w:rsid w:val="005F62B1"/>
    <w:rsid w:val="005F66CE"/>
    <w:rsid w:val="005F6705"/>
    <w:rsid w:val="005F6768"/>
    <w:rsid w:val="005F6AFC"/>
    <w:rsid w:val="005F6BC1"/>
    <w:rsid w:val="005F6C60"/>
    <w:rsid w:val="005F6F52"/>
    <w:rsid w:val="005F702B"/>
    <w:rsid w:val="005F706E"/>
    <w:rsid w:val="005F7351"/>
    <w:rsid w:val="005F7513"/>
    <w:rsid w:val="005F752F"/>
    <w:rsid w:val="005F758F"/>
    <w:rsid w:val="005F75EA"/>
    <w:rsid w:val="005F79A8"/>
    <w:rsid w:val="005F7A67"/>
    <w:rsid w:val="005F7BFE"/>
    <w:rsid w:val="005F7D47"/>
    <w:rsid w:val="005F7F62"/>
    <w:rsid w:val="006000C8"/>
    <w:rsid w:val="0060017A"/>
    <w:rsid w:val="00600363"/>
    <w:rsid w:val="0060055F"/>
    <w:rsid w:val="00600626"/>
    <w:rsid w:val="00600ECD"/>
    <w:rsid w:val="006013D0"/>
    <w:rsid w:val="00601428"/>
    <w:rsid w:val="006015C7"/>
    <w:rsid w:val="00601813"/>
    <w:rsid w:val="006018AF"/>
    <w:rsid w:val="00601917"/>
    <w:rsid w:val="00601A58"/>
    <w:rsid w:val="00601D7F"/>
    <w:rsid w:val="006020D3"/>
    <w:rsid w:val="00602161"/>
    <w:rsid w:val="00602498"/>
    <w:rsid w:val="00602516"/>
    <w:rsid w:val="00602694"/>
    <w:rsid w:val="00602C2A"/>
    <w:rsid w:val="00603349"/>
    <w:rsid w:val="00603377"/>
    <w:rsid w:val="00603471"/>
    <w:rsid w:val="00603505"/>
    <w:rsid w:val="00603D93"/>
    <w:rsid w:val="0060408E"/>
    <w:rsid w:val="006040DA"/>
    <w:rsid w:val="00604438"/>
    <w:rsid w:val="0060447C"/>
    <w:rsid w:val="006048AA"/>
    <w:rsid w:val="00604AAE"/>
    <w:rsid w:val="00604B0E"/>
    <w:rsid w:val="00604B30"/>
    <w:rsid w:val="00604D7F"/>
    <w:rsid w:val="00604F9F"/>
    <w:rsid w:val="0060532D"/>
    <w:rsid w:val="00605758"/>
    <w:rsid w:val="00605876"/>
    <w:rsid w:val="006058B3"/>
    <w:rsid w:val="00605B55"/>
    <w:rsid w:val="00605BE7"/>
    <w:rsid w:val="00605D08"/>
    <w:rsid w:val="00605D6D"/>
    <w:rsid w:val="00605F43"/>
    <w:rsid w:val="00605F49"/>
    <w:rsid w:val="00606255"/>
    <w:rsid w:val="0060651B"/>
    <w:rsid w:val="00606795"/>
    <w:rsid w:val="00606A03"/>
    <w:rsid w:val="00606A4C"/>
    <w:rsid w:val="00606A67"/>
    <w:rsid w:val="00606AD4"/>
    <w:rsid w:val="00607048"/>
    <w:rsid w:val="006070B4"/>
    <w:rsid w:val="006072D3"/>
    <w:rsid w:val="00607356"/>
    <w:rsid w:val="00607562"/>
    <w:rsid w:val="0060790D"/>
    <w:rsid w:val="006079EA"/>
    <w:rsid w:val="00607B39"/>
    <w:rsid w:val="00607C6E"/>
    <w:rsid w:val="00607CFD"/>
    <w:rsid w:val="00607D1F"/>
    <w:rsid w:val="00607D3C"/>
    <w:rsid w:val="00607F32"/>
    <w:rsid w:val="006100FA"/>
    <w:rsid w:val="00610275"/>
    <w:rsid w:val="00610484"/>
    <w:rsid w:val="006105F9"/>
    <w:rsid w:val="006106AC"/>
    <w:rsid w:val="006107DC"/>
    <w:rsid w:val="00610B88"/>
    <w:rsid w:val="00610C8D"/>
    <w:rsid w:val="00610C9F"/>
    <w:rsid w:val="00610DAF"/>
    <w:rsid w:val="00610E92"/>
    <w:rsid w:val="00610E93"/>
    <w:rsid w:val="00610FC2"/>
    <w:rsid w:val="00611657"/>
    <w:rsid w:val="00611B85"/>
    <w:rsid w:val="00611BC3"/>
    <w:rsid w:val="00611CB6"/>
    <w:rsid w:val="00611DA8"/>
    <w:rsid w:val="00612133"/>
    <w:rsid w:val="0061245A"/>
    <w:rsid w:val="0061248B"/>
    <w:rsid w:val="0061265F"/>
    <w:rsid w:val="0061268E"/>
    <w:rsid w:val="0061287B"/>
    <w:rsid w:val="0061288E"/>
    <w:rsid w:val="0061291A"/>
    <w:rsid w:val="00612D25"/>
    <w:rsid w:val="00612EDF"/>
    <w:rsid w:val="00612EED"/>
    <w:rsid w:val="00612F1A"/>
    <w:rsid w:val="00612F6C"/>
    <w:rsid w:val="00612F74"/>
    <w:rsid w:val="006133E6"/>
    <w:rsid w:val="00613A3B"/>
    <w:rsid w:val="00613ADE"/>
    <w:rsid w:val="00613B14"/>
    <w:rsid w:val="00613B6A"/>
    <w:rsid w:val="00613F8E"/>
    <w:rsid w:val="006140E6"/>
    <w:rsid w:val="006144F3"/>
    <w:rsid w:val="00614617"/>
    <w:rsid w:val="00614757"/>
    <w:rsid w:val="006148B1"/>
    <w:rsid w:val="00614919"/>
    <w:rsid w:val="00614A3C"/>
    <w:rsid w:val="00614F4E"/>
    <w:rsid w:val="00614F9F"/>
    <w:rsid w:val="0061502A"/>
    <w:rsid w:val="0061512E"/>
    <w:rsid w:val="006156BB"/>
    <w:rsid w:val="006156C7"/>
    <w:rsid w:val="006156F1"/>
    <w:rsid w:val="0061593C"/>
    <w:rsid w:val="00615B28"/>
    <w:rsid w:val="00615D3F"/>
    <w:rsid w:val="00615EEE"/>
    <w:rsid w:val="006161CB"/>
    <w:rsid w:val="006161F6"/>
    <w:rsid w:val="00616305"/>
    <w:rsid w:val="006164F7"/>
    <w:rsid w:val="00616521"/>
    <w:rsid w:val="00616711"/>
    <w:rsid w:val="00616796"/>
    <w:rsid w:val="00616808"/>
    <w:rsid w:val="00616829"/>
    <w:rsid w:val="006169C2"/>
    <w:rsid w:val="00616E0C"/>
    <w:rsid w:val="00616E35"/>
    <w:rsid w:val="006173A7"/>
    <w:rsid w:val="006174CF"/>
    <w:rsid w:val="00617512"/>
    <w:rsid w:val="00617BAE"/>
    <w:rsid w:val="00617C61"/>
    <w:rsid w:val="006201C6"/>
    <w:rsid w:val="0062036C"/>
    <w:rsid w:val="006203BF"/>
    <w:rsid w:val="00620431"/>
    <w:rsid w:val="00620438"/>
    <w:rsid w:val="0062049A"/>
    <w:rsid w:val="006205B6"/>
    <w:rsid w:val="00620848"/>
    <w:rsid w:val="0062086D"/>
    <w:rsid w:val="006208EB"/>
    <w:rsid w:val="00620A01"/>
    <w:rsid w:val="00620AD5"/>
    <w:rsid w:val="00620B49"/>
    <w:rsid w:val="00620D91"/>
    <w:rsid w:val="00620FA1"/>
    <w:rsid w:val="006211BB"/>
    <w:rsid w:val="006217E8"/>
    <w:rsid w:val="006219AF"/>
    <w:rsid w:val="00621A43"/>
    <w:rsid w:val="00621EA9"/>
    <w:rsid w:val="00621F05"/>
    <w:rsid w:val="00622113"/>
    <w:rsid w:val="00622446"/>
    <w:rsid w:val="006225D9"/>
    <w:rsid w:val="0062288A"/>
    <w:rsid w:val="0062293E"/>
    <w:rsid w:val="00622AAD"/>
    <w:rsid w:val="00622AD5"/>
    <w:rsid w:val="00622B12"/>
    <w:rsid w:val="00622B58"/>
    <w:rsid w:val="00622D97"/>
    <w:rsid w:val="00622EF7"/>
    <w:rsid w:val="00623208"/>
    <w:rsid w:val="00623324"/>
    <w:rsid w:val="00623432"/>
    <w:rsid w:val="0062353B"/>
    <w:rsid w:val="00623699"/>
    <w:rsid w:val="006237BA"/>
    <w:rsid w:val="00623A0B"/>
    <w:rsid w:val="00623A58"/>
    <w:rsid w:val="00623C12"/>
    <w:rsid w:val="00623C6E"/>
    <w:rsid w:val="00623EC2"/>
    <w:rsid w:val="00623FDD"/>
    <w:rsid w:val="00624439"/>
    <w:rsid w:val="00624683"/>
    <w:rsid w:val="006248BA"/>
    <w:rsid w:val="00624A47"/>
    <w:rsid w:val="00624A70"/>
    <w:rsid w:val="00624F68"/>
    <w:rsid w:val="00625031"/>
    <w:rsid w:val="00625043"/>
    <w:rsid w:val="006251C4"/>
    <w:rsid w:val="006253B1"/>
    <w:rsid w:val="006253C8"/>
    <w:rsid w:val="006255B4"/>
    <w:rsid w:val="006256B2"/>
    <w:rsid w:val="0062585C"/>
    <w:rsid w:val="006258E1"/>
    <w:rsid w:val="00625BD7"/>
    <w:rsid w:val="006260C0"/>
    <w:rsid w:val="0062614B"/>
    <w:rsid w:val="006261CE"/>
    <w:rsid w:val="006263C9"/>
    <w:rsid w:val="006268DF"/>
    <w:rsid w:val="00626A0C"/>
    <w:rsid w:val="00626AB2"/>
    <w:rsid w:val="00626C64"/>
    <w:rsid w:val="00626D8C"/>
    <w:rsid w:val="00626E61"/>
    <w:rsid w:val="00626E78"/>
    <w:rsid w:val="00626E86"/>
    <w:rsid w:val="00627088"/>
    <w:rsid w:val="0062727C"/>
    <w:rsid w:val="006272D0"/>
    <w:rsid w:val="00627369"/>
    <w:rsid w:val="0062743B"/>
    <w:rsid w:val="006274EE"/>
    <w:rsid w:val="00627534"/>
    <w:rsid w:val="00627595"/>
    <w:rsid w:val="0062768E"/>
    <w:rsid w:val="00627706"/>
    <w:rsid w:val="00627770"/>
    <w:rsid w:val="00627919"/>
    <w:rsid w:val="00627C4E"/>
    <w:rsid w:val="00627D4F"/>
    <w:rsid w:val="00627D8C"/>
    <w:rsid w:val="00627F30"/>
    <w:rsid w:val="00630084"/>
    <w:rsid w:val="006300F4"/>
    <w:rsid w:val="00630140"/>
    <w:rsid w:val="006301B5"/>
    <w:rsid w:val="00630202"/>
    <w:rsid w:val="0063029D"/>
    <w:rsid w:val="0063064F"/>
    <w:rsid w:val="00630AAA"/>
    <w:rsid w:val="00630B3B"/>
    <w:rsid w:val="00630C4E"/>
    <w:rsid w:val="00630C5A"/>
    <w:rsid w:val="00630ED8"/>
    <w:rsid w:val="0063104A"/>
    <w:rsid w:val="00631146"/>
    <w:rsid w:val="006311E3"/>
    <w:rsid w:val="00631228"/>
    <w:rsid w:val="0063137B"/>
    <w:rsid w:val="006314C3"/>
    <w:rsid w:val="0063187C"/>
    <w:rsid w:val="00631CB5"/>
    <w:rsid w:val="00631E7E"/>
    <w:rsid w:val="00631FAE"/>
    <w:rsid w:val="0063201A"/>
    <w:rsid w:val="00632021"/>
    <w:rsid w:val="006321A6"/>
    <w:rsid w:val="006322E9"/>
    <w:rsid w:val="00632365"/>
    <w:rsid w:val="006325E8"/>
    <w:rsid w:val="0063267A"/>
    <w:rsid w:val="0063277B"/>
    <w:rsid w:val="00632A5F"/>
    <w:rsid w:val="00632A6B"/>
    <w:rsid w:val="00632ADA"/>
    <w:rsid w:val="00632D10"/>
    <w:rsid w:val="00632E86"/>
    <w:rsid w:val="00632EB3"/>
    <w:rsid w:val="00633055"/>
    <w:rsid w:val="006332A4"/>
    <w:rsid w:val="006337FA"/>
    <w:rsid w:val="00633D37"/>
    <w:rsid w:val="00633D90"/>
    <w:rsid w:val="00633F33"/>
    <w:rsid w:val="00634030"/>
    <w:rsid w:val="00634147"/>
    <w:rsid w:val="00634188"/>
    <w:rsid w:val="006343BD"/>
    <w:rsid w:val="006343D5"/>
    <w:rsid w:val="006343F8"/>
    <w:rsid w:val="006344C8"/>
    <w:rsid w:val="0063487B"/>
    <w:rsid w:val="00634888"/>
    <w:rsid w:val="006348C0"/>
    <w:rsid w:val="00634B04"/>
    <w:rsid w:val="00634C5F"/>
    <w:rsid w:val="00634C83"/>
    <w:rsid w:val="00634CB4"/>
    <w:rsid w:val="00634CB8"/>
    <w:rsid w:val="00634EF7"/>
    <w:rsid w:val="00634FF5"/>
    <w:rsid w:val="00635257"/>
    <w:rsid w:val="006352CB"/>
    <w:rsid w:val="00635420"/>
    <w:rsid w:val="00635454"/>
    <w:rsid w:val="0063570C"/>
    <w:rsid w:val="00635778"/>
    <w:rsid w:val="00635792"/>
    <w:rsid w:val="00635868"/>
    <w:rsid w:val="006359B9"/>
    <w:rsid w:val="00635A54"/>
    <w:rsid w:val="00635BDD"/>
    <w:rsid w:val="00635F2C"/>
    <w:rsid w:val="0063609C"/>
    <w:rsid w:val="0063612E"/>
    <w:rsid w:val="00636295"/>
    <w:rsid w:val="00636300"/>
    <w:rsid w:val="00636542"/>
    <w:rsid w:val="0063658A"/>
    <w:rsid w:val="00636610"/>
    <w:rsid w:val="00636947"/>
    <w:rsid w:val="00636A3B"/>
    <w:rsid w:val="00636A72"/>
    <w:rsid w:val="00636B74"/>
    <w:rsid w:val="00636CBF"/>
    <w:rsid w:val="006370C4"/>
    <w:rsid w:val="0063717A"/>
    <w:rsid w:val="00637252"/>
    <w:rsid w:val="0063732E"/>
    <w:rsid w:val="0063737D"/>
    <w:rsid w:val="0063768E"/>
    <w:rsid w:val="006377BE"/>
    <w:rsid w:val="0063785C"/>
    <w:rsid w:val="00637AF7"/>
    <w:rsid w:val="00637AF8"/>
    <w:rsid w:val="00637B9B"/>
    <w:rsid w:val="00637CB8"/>
    <w:rsid w:val="00637D47"/>
    <w:rsid w:val="00640058"/>
    <w:rsid w:val="00640177"/>
    <w:rsid w:val="00640226"/>
    <w:rsid w:val="006402CF"/>
    <w:rsid w:val="006402EB"/>
    <w:rsid w:val="006404F7"/>
    <w:rsid w:val="0064058A"/>
    <w:rsid w:val="00640674"/>
    <w:rsid w:val="00640778"/>
    <w:rsid w:val="00640936"/>
    <w:rsid w:val="006409BE"/>
    <w:rsid w:val="00640A09"/>
    <w:rsid w:val="00640A29"/>
    <w:rsid w:val="00640AF8"/>
    <w:rsid w:val="00640B6D"/>
    <w:rsid w:val="00640C7F"/>
    <w:rsid w:val="00640DF9"/>
    <w:rsid w:val="00640E45"/>
    <w:rsid w:val="00640F27"/>
    <w:rsid w:val="0064101E"/>
    <w:rsid w:val="0064129C"/>
    <w:rsid w:val="0064135D"/>
    <w:rsid w:val="006414DC"/>
    <w:rsid w:val="00641579"/>
    <w:rsid w:val="006415D9"/>
    <w:rsid w:val="00641824"/>
    <w:rsid w:val="0064192D"/>
    <w:rsid w:val="006419EE"/>
    <w:rsid w:val="00641C61"/>
    <w:rsid w:val="00641CDE"/>
    <w:rsid w:val="00641EC1"/>
    <w:rsid w:val="006420C2"/>
    <w:rsid w:val="006421FC"/>
    <w:rsid w:val="00642438"/>
    <w:rsid w:val="00642481"/>
    <w:rsid w:val="00642534"/>
    <w:rsid w:val="00642907"/>
    <w:rsid w:val="00642AC2"/>
    <w:rsid w:val="00642F5C"/>
    <w:rsid w:val="0064341F"/>
    <w:rsid w:val="00643499"/>
    <w:rsid w:val="006435CC"/>
    <w:rsid w:val="00643881"/>
    <w:rsid w:val="00643894"/>
    <w:rsid w:val="00643952"/>
    <w:rsid w:val="00643B4F"/>
    <w:rsid w:val="00643C9B"/>
    <w:rsid w:val="00643E71"/>
    <w:rsid w:val="00644137"/>
    <w:rsid w:val="00644330"/>
    <w:rsid w:val="0064435E"/>
    <w:rsid w:val="006444B5"/>
    <w:rsid w:val="006444E3"/>
    <w:rsid w:val="00644594"/>
    <w:rsid w:val="0064484B"/>
    <w:rsid w:val="00644873"/>
    <w:rsid w:val="0064489D"/>
    <w:rsid w:val="006449A1"/>
    <w:rsid w:val="00644C11"/>
    <w:rsid w:val="00644D12"/>
    <w:rsid w:val="00644DA6"/>
    <w:rsid w:val="00644E34"/>
    <w:rsid w:val="00644E3C"/>
    <w:rsid w:val="00644E74"/>
    <w:rsid w:val="00644E96"/>
    <w:rsid w:val="00644EF4"/>
    <w:rsid w:val="0064518E"/>
    <w:rsid w:val="00645198"/>
    <w:rsid w:val="00645338"/>
    <w:rsid w:val="0064534D"/>
    <w:rsid w:val="00645739"/>
    <w:rsid w:val="00645997"/>
    <w:rsid w:val="00645B1A"/>
    <w:rsid w:val="00645B3C"/>
    <w:rsid w:val="00645C47"/>
    <w:rsid w:val="00645D9E"/>
    <w:rsid w:val="00645DDC"/>
    <w:rsid w:val="00645F03"/>
    <w:rsid w:val="006460F8"/>
    <w:rsid w:val="00646117"/>
    <w:rsid w:val="006466DA"/>
    <w:rsid w:val="006466DF"/>
    <w:rsid w:val="006469DA"/>
    <w:rsid w:val="00646A17"/>
    <w:rsid w:val="00646CF7"/>
    <w:rsid w:val="00646F2E"/>
    <w:rsid w:val="0064702D"/>
    <w:rsid w:val="006470AA"/>
    <w:rsid w:val="0064720D"/>
    <w:rsid w:val="00647495"/>
    <w:rsid w:val="0064795A"/>
    <w:rsid w:val="00647B8D"/>
    <w:rsid w:val="00647DB6"/>
    <w:rsid w:val="00647DFD"/>
    <w:rsid w:val="00647EE6"/>
    <w:rsid w:val="00647F72"/>
    <w:rsid w:val="00647FFE"/>
    <w:rsid w:val="00650040"/>
    <w:rsid w:val="00650097"/>
    <w:rsid w:val="006502B9"/>
    <w:rsid w:val="006502EE"/>
    <w:rsid w:val="00650345"/>
    <w:rsid w:val="0065039E"/>
    <w:rsid w:val="00650636"/>
    <w:rsid w:val="00650658"/>
    <w:rsid w:val="006507B7"/>
    <w:rsid w:val="00650931"/>
    <w:rsid w:val="006509B3"/>
    <w:rsid w:val="00650A04"/>
    <w:rsid w:val="00650A38"/>
    <w:rsid w:val="00650D58"/>
    <w:rsid w:val="00650D73"/>
    <w:rsid w:val="0065118D"/>
    <w:rsid w:val="006511F8"/>
    <w:rsid w:val="00651297"/>
    <w:rsid w:val="00651565"/>
    <w:rsid w:val="00651789"/>
    <w:rsid w:val="006517D6"/>
    <w:rsid w:val="006517E6"/>
    <w:rsid w:val="00651CC0"/>
    <w:rsid w:val="00651E86"/>
    <w:rsid w:val="00652391"/>
    <w:rsid w:val="0065253B"/>
    <w:rsid w:val="00652697"/>
    <w:rsid w:val="00652722"/>
    <w:rsid w:val="00652723"/>
    <w:rsid w:val="0065276D"/>
    <w:rsid w:val="006527D1"/>
    <w:rsid w:val="006528D9"/>
    <w:rsid w:val="00652B57"/>
    <w:rsid w:val="00653125"/>
    <w:rsid w:val="006531EA"/>
    <w:rsid w:val="00653204"/>
    <w:rsid w:val="006534DF"/>
    <w:rsid w:val="0065352A"/>
    <w:rsid w:val="0065366F"/>
    <w:rsid w:val="006538C5"/>
    <w:rsid w:val="00653B51"/>
    <w:rsid w:val="00653D23"/>
    <w:rsid w:val="00653EB7"/>
    <w:rsid w:val="00653F38"/>
    <w:rsid w:val="00654060"/>
    <w:rsid w:val="00654092"/>
    <w:rsid w:val="006540B1"/>
    <w:rsid w:val="00654198"/>
    <w:rsid w:val="006544FE"/>
    <w:rsid w:val="006546CF"/>
    <w:rsid w:val="00654733"/>
    <w:rsid w:val="00654795"/>
    <w:rsid w:val="006547C3"/>
    <w:rsid w:val="00654C75"/>
    <w:rsid w:val="00655009"/>
    <w:rsid w:val="00655466"/>
    <w:rsid w:val="0065548D"/>
    <w:rsid w:val="0065575A"/>
    <w:rsid w:val="006557A5"/>
    <w:rsid w:val="0065593C"/>
    <w:rsid w:val="006559A0"/>
    <w:rsid w:val="00655A9B"/>
    <w:rsid w:val="00655B81"/>
    <w:rsid w:val="00655D1D"/>
    <w:rsid w:val="00655FCD"/>
    <w:rsid w:val="00656149"/>
    <w:rsid w:val="0065623F"/>
    <w:rsid w:val="006562E5"/>
    <w:rsid w:val="006566D7"/>
    <w:rsid w:val="00656728"/>
    <w:rsid w:val="0065686A"/>
    <w:rsid w:val="00656C55"/>
    <w:rsid w:val="00656FFB"/>
    <w:rsid w:val="00657019"/>
    <w:rsid w:val="00657528"/>
    <w:rsid w:val="0065760D"/>
    <w:rsid w:val="00657C0F"/>
    <w:rsid w:val="00657E75"/>
    <w:rsid w:val="00657E8E"/>
    <w:rsid w:val="00657F32"/>
    <w:rsid w:val="00657F48"/>
    <w:rsid w:val="0066007D"/>
    <w:rsid w:val="0066051C"/>
    <w:rsid w:val="006607BA"/>
    <w:rsid w:val="00660B99"/>
    <w:rsid w:val="00660D8F"/>
    <w:rsid w:val="00660E0A"/>
    <w:rsid w:val="00660EEE"/>
    <w:rsid w:val="00660F29"/>
    <w:rsid w:val="00660FD5"/>
    <w:rsid w:val="0066105B"/>
    <w:rsid w:val="006611BD"/>
    <w:rsid w:val="006611D4"/>
    <w:rsid w:val="00661386"/>
    <w:rsid w:val="006613DB"/>
    <w:rsid w:val="00661628"/>
    <w:rsid w:val="00661850"/>
    <w:rsid w:val="0066195A"/>
    <w:rsid w:val="00661CF9"/>
    <w:rsid w:val="00662004"/>
    <w:rsid w:val="00662021"/>
    <w:rsid w:val="00662033"/>
    <w:rsid w:val="00662292"/>
    <w:rsid w:val="006622CE"/>
    <w:rsid w:val="0066231E"/>
    <w:rsid w:val="00662485"/>
    <w:rsid w:val="006624C2"/>
    <w:rsid w:val="006626F4"/>
    <w:rsid w:val="00662906"/>
    <w:rsid w:val="00662D13"/>
    <w:rsid w:val="00663028"/>
    <w:rsid w:val="006630F9"/>
    <w:rsid w:val="00663403"/>
    <w:rsid w:val="0066344F"/>
    <w:rsid w:val="0066365D"/>
    <w:rsid w:val="00663773"/>
    <w:rsid w:val="00663880"/>
    <w:rsid w:val="00663A14"/>
    <w:rsid w:val="00663A9F"/>
    <w:rsid w:val="00663BAE"/>
    <w:rsid w:val="00663CFE"/>
    <w:rsid w:val="00663E5C"/>
    <w:rsid w:val="00663F28"/>
    <w:rsid w:val="00663FFD"/>
    <w:rsid w:val="00664139"/>
    <w:rsid w:val="00664180"/>
    <w:rsid w:val="006641C9"/>
    <w:rsid w:val="00664320"/>
    <w:rsid w:val="00664324"/>
    <w:rsid w:val="00664345"/>
    <w:rsid w:val="006643C7"/>
    <w:rsid w:val="006643E0"/>
    <w:rsid w:val="006643FC"/>
    <w:rsid w:val="006644DD"/>
    <w:rsid w:val="00664611"/>
    <w:rsid w:val="00664677"/>
    <w:rsid w:val="0066469D"/>
    <w:rsid w:val="0066476B"/>
    <w:rsid w:val="0066497B"/>
    <w:rsid w:val="00664E8A"/>
    <w:rsid w:val="00665146"/>
    <w:rsid w:val="006651D1"/>
    <w:rsid w:val="00665388"/>
    <w:rsid w:val="006657F2"/>
    <w:rsid w:val="00665A71"/>
    <w:rsid w:val="00666089"/>
    <w:rsid w:val="00666115"/>
    <w:rsid w:val="00666251"/>
    <w:rsid w:val="006664E8"/>
    <w:rsid w:val="006664EF"/>
    <w:rsid w:val="00666971"/>
    <w:rsid w:val="00666D45"/>
    <w:rsid w:val="00666E7A"/>
    <w:rsid w:val="00667319"/>
    <w:rsid w:val="00667569"/>
    <w:rsid w:val="00667658"/>
    <w:rsid w:val="0066776B"/>
    <w:rsid w:val="006677DC"/>
    <w:rsid w:val="0066792D"/>
    <w:rsid w:val="006679EB"/>
    <w:rsid w:val="006679FB"/>
    <w:rsid w:val="00667A28"/>
    <w:rsid w:val="00667A7F"/>
    <w:rsid w:val="00667AC0"/>
    <w:rsid w:val="00667B81"/>
    <w:rsid w:val="00667D28"/>
    <w:rsid w:val="00667E7B"/>
    <w:rsid w:val="00667FA5"/>
    <w:rsid w:val="006701F0"/>
    <w:rsid w:val="00670258"/>
    <w:rsid w:val="00670749"/>
    <w:rsid w:val="006708A8"/>
    <w:rsid w:val="00670989"/>
    <w:rsid w:val="006709EC"/>
    <w:rsid w:val="006709F1"/>
    <w:rsid w:val="00670A9B"/>
    <w:rsid w:val="00670E5B"/>
    <w:rsid w:val="00671086"/>
    <w:rsid w:val="006710FD"/>
    <w:rsid w:val="0067110E"/>
    <w:rsid w:val="0067138B"/>
    <w:rsid w:val="006713F8"/>
    <w:rsid w:val="00671474"/>
    <w:rsid w:val="006714AF"/>
    <w:rsid w:val="006715A1"/>
    <w:rsid w:val="006715D8"/>
    <w:rsid w:val="006716D0"/>
    <w:rsid w:val="00671BEE"/>
    <w:rsid w:val="00671F00"/>
    <w:rsid w:val="00672120"/>
    <w:rsid w:val="00672349"/>
    <w:rsid w:val="00672517"/>
    <w:rsid w:val="006725B4"/>
    <w:rsid w:val="00672646"/>
    <w:rsid w:val="00672798"/>
    <w:rsid w:val="006727B7"/>
    <w:rsid w:val="00672D08"/>
    <w:rsid w:val="00672D95"/>
    <w:rsid w:val="00672EE7"/>
    <w:rsid w:val="00673555"/>
    <w:rsid w:val="0067368D"/>
    <w:rsid w:val="00673A8B"/>
    <w:rsid w:val="00673A9B"/>
    <w:rsid w:val="00673BEF"/>
    <w:rsid w:val="00673DAB"/>
    <w:rsid w:val="00673F65"/>
    <w:rsid w:val="00674807"/>
    <w:rsid w:val="0067484B"/>
    <w:rsid w:val="0067488C"/>
    <w:rsid w:val="006749C1"/>
    <w:rsid w:val="00674B08"/>
    <w:rsid w:val="00674B99"/>
    <w:rsid w:val="00674D4B"/>
    <w:rsid w:val="006751DB"/>
    <w:rsid w:val="0067570D"/>
    <w:rsid w:val="0067582C"/>
    <w:rsid w:val="00675ADD"/>
    <w:rsid w:val="00675D68"/>
    <w:rsid w:val="00675F2B"/>
    <w:rsid w:val="00675FCC"/>
    <w:rsid w:val="0067644C"/>
    <w:rsid w:val="00676702"/>
    <w:rsid w:val="00676C08"/>
    <w:rsid w:val="00676CDF"/>
    <w:rsid w:val="0067707C"/>
    <w:rsid w:val="006770EF"/>
    <w:rsid w:val="006771DC"/>
    <w:rsid w:val="0067722B"/>
    <w:rsid w:val="0067735E"/>
    <w:rsid w:val="00677396"/>
    <w:rsid w:val="00677600"/>
    <w:rsid w:val="006777BF"/>
    <w:rsid w:val="00677818"/>
    <w:rsid w:val="006778FA"/>
    <w:rsid w:val="006779CA"/>
    <w:rsid w:val="00677B50"/>
    <w:rsid w:val="00677B71"/>
    <w:rsid w:val="00677BDD"/>
    <w:rsid w:val="00677DAE"/>
    <w:rsid w:val="00677E4A"/>
    <w:rsid w:val="00677F6E"/>
    <w:rsid w:val="006801F2"/>
    <w:rsid w:val="00680214"/>
    <w:rsid w:val="0068021C"/>
    <w:rsid w:val="00680232"/>
    <w:rsid w:val="00680350"/>
    <w:rsid w:val="0068035D"/>
    <w:rsid w:val="006805F6"/>
    <w:rsid w:val="00680D23"/>
    <w:rsid w:val="00680E3A"/>
    <w:rsid w:val="00681066"/>
    <w:rsid w:val="006810C4"/>
    <w:rsid w:val="0068116D"/>
    <w:rsid w:val="0068120E"/>
    <w:rsid w:val="00681396"/>
    <w:rsid w:val="006814BF"/>
    <w:rsid w:val="006815B8"/>
    <w:rsid w:val="00681608"/>
    <w:rsid w:val="006817B7"/>
    <w:rsid w:val="006819C1"/>
    <w:rsid w:val="00681AAF"/>
    <w:rsid w:val="00681BB1"/>
    <w:rsid w:val="00681BCB"/>
    <w:rsid w:val="00681E60"/>
    <w:rsid w:val="006822BA"/>
    <w:rsid w:val="0068233D"/>
    <w:rsid w:val="006826F8"/>
    <w:rsid w:val="00682808"/>
    <w:rsid w:val="00682858"/>
    <w:rsid w:val="00682A46"/>
    <w:rsid w:val="00682C04"/>
    <w:rsid w:val="0068305E"/>
    <w:rsid w:val="006830B9"/>
    <w:rsid w:val="006832FC"/>
    <w:rsid w:val="00683302"/>
    <w:rsid w:val="0068374A"/>
    <w:rsid w:val="006837D7"/>
    <w:rsid w:val="00683982"/>
    <w:rsid w:val="00683A6B"/>
    <w:rsid w:val="00683AC0"/>
    <w:rsid w:val="00683B5E"/>
    <w:rsid w:val="00683CAB"/>
    <w:rsid w:val="00683CBD"/>
    <w:rsid w:val="00683DA1"/>
    <w:rsid w:val="0068404A"/>
    <w:rsid w:val="0068418B"/>
    <w:rsid w:val="006841A4"/>
    <w:rsid w:val="00684239"/>
    <w:rsid w:val="0068429C"/>
    <w:rsid w:val="00684380"/>
    <w:rsid w:val="00684417"/>
    <w:rsid w:val="006845AB"/>
    <w:rsid w:val="006846FE"/>
    <w:rsid w:val="00684711"/>
    <w:rsid w:val="00684B89"/>
    <w:rsid w:val="00684E79"/>
    <w:rsid w:val="0068505A"/>
    <w:rsid w:val="00685796"/>
    <w:rsid w:val="00685C1A"/>
    <w:rsid w:val="00685C57"/>
    <w:rsid w:val="006862C7"/>
    <w:rsid w:val="00686419"/>
    <w:rsid w:val="006868EC"/>
    <w:rsid w:val="0068693B"/>
    <w:rsid w:val="00686A27"/>
    <w:rsid w:val="00686A66"/>
    <w:rsid w:val="00686A71"/>
    <w:rsid w:val="00686A76"/>
    <w:rsid w:val="00686AEC"/>
    <w:rsid w:val="00686BB9"/>
    <w:rsid w:val="00686E80"/>
    <w:rsid w:val="00686F0A"/>
    <w:rsid w:val="00686FDD"/>
    <w:rsid w:val="0068733D"/>
    <w:rsid w:val="0068747D"/>
    <w:rsid w:val="006874A2"/>
    <w:rsid w:val="00687531"/>
    <w:rsid w:val="006875C0"/>
    <w:rsid w:val="00687793"/>
    <w:rsid w:val="006879CF"/>
    <w:rsid w:val="00687CAC"/>
    <w:rsid w:val="00687E54"/>
    <w:rsid w:val="00687F2E"/>
    <w:rsid w:val="00687F36"/>
    <w:rsid w:val="0069026B"/>
    <w:rsid w:val="00690458"/>
    <w:rsid w:val="006904F7"/>
    <w:rsid w:val="0069080F"/>
    <w:rsid w:val="00690A0B"/>
    <w:rsid w:val="00690ACB"/>
    <w:rsid w:val="00690D2F"/>
    <w:rsid w:val="00690E4C"/>
    <w:rsid w:val="00690E61"/>
    <w:rsid w:val="0069113C"/>
    <w:rsid w:val="00691498"/>
    <w:rsid w:val="00691595"/>
    <w:rsid w:val="0069165E"/>
    <w:rsid w:val="00691AEA"/>
    <w:rsid w:val="00691BAF"/>
    <w:rsid w:val="00691C9F"/>
    <w:rsid w:val="00691DA5"/>
    <w:rsid w:val="00691F75"/>
    <w:rsid w:val="00691FF6"/>
    <w:rsid w:val="006920F8"/>
    <w:rsid w:val="00692355"/>
    <w:rsid w:val="006923E4"/>
    <w:rsid w:val="006924AF"/>
    <w:rsid w:val="00692A9E"/>
    <w:rsid w:val="00692C86"/>
    <w:rsid w:val="00692EA3"/>
    <w:rsid w:val="0069301E"/>
    <w:rsid w:val="006935BE"/>
    <w:rsid w:val="0069361C"/>
    <w:rsid w:val="006937FD"/>
    <w:rsid w:val="006938E6"/>
    <w:rsid w:val="0069395A"/>
    <w:rsid w:val="00693A34"/>
    <w:rsid w:val="00693A56"/>
    <w:rsid w:val="00693A8E"/>
    <w:rsid w:val="00693B6C"/>
    <w:rsid w:val="00693BAE"/>
    <w:rsid w:val="00693F2D"/>
    <w:rsid w:val="006942A3"/>
    <w:rsid w:val="00694583"/>
    <w:rsid w:val="0069462C"/>
    <w:rsid w:val="00694832"/>
    <w:rsid w:val="006948A4"/>
    <w:rsid w:val="006949CF"/>
    <w:rsid w:val="00694A0F"/>
    <w:rsid w:val="00694A78"/>
    <w:rsid w:val="00694B7D"/>
    <w:rsid w:val="00694C14"/>
    <w:rsid w:val="00694D6D"/>
    <w:rsid w:val="00694E26"/>
    <w:rsid w:val="00694E31"/>
    <w:rsid w:val="00694E8E"/>
    <w:rsid w:val="00695035"/>
    <w:rsid w:val="00695048"/>
    <w:rsid w:val="00695585"/>
    <w:rsid w:val="00695B52"/>
    <w:rsid w:val="006964F0"/>
    <w:rsid w:val="00696683"/>
    <w:rsid w:val="0069694F"/>
    <w:rsid w:val="0069697D"/>
    <w:rsid w:val="00696A60"/>
    <w:rsid w:val="00696AC1"/>
    <w:rsid w:val="006970A2"/>
    <w:rsid w:val="00697287"/>
    <w:rsid w:val="006973E3"/>
    <w:rsid w:val="00697AF9"/>
    <w:rsid w:val="00697C1A"/>
    <w:rsid w:val="00697D1C"/>
    <w:rsid w:val="00697D96"/>
    <w:rsid w:val="00697FEB"/>
    <w:rsid w:val="006A000B"/>
    <w:rsid w:val="006A0167"/>
    <w:rsid w:val="006A033A"/>
    <w:rsid w:val="006A03A4"/>
    <w:rsid w:val="006A06E7"/>
    <w:rsid w:val="006A08DB"/>
    <w:rsid w:val="006A0AB4"/>
    <w:rsid w:val="006A0C5B"/>
    <w:rsid w:val="006A0CF7"/>
    <w:rsid w:val="006A1321"/>
    <w:rsid w:val="006A1344"/>
    <w:rsid w:val="006A1408"/>
    <w:rsid w:val="006A1671"/>
    <w:rsid w:val="006A16D6"/>
    <w:rsid w:val="006A1AB3"/>
    <w:rsid w:val="006A1C52"/>
    <w:rsid w:val="006A1FA0"/>
    <w:rsid w:val="006A2043"/>
    <w:rsid w:val="006A2065"/>
    <w:rsid w:val="006A2514"/>
    <w:rsid w:val="006A2605"/>
    <w:rsid w:val="006A269A"/>
    <w:rsid w:val="006A2748"/>
    <w:rsid w:val="006A2852"/>
    <w:rsid w:val="006A2863"/>
    <w:rsid w:val="006A2892"/>
    <w:rsid w:val="006A28A0"/>
    <w:rsid w:val="006A28AD"/>
    <w:rsid w:val="006A2A39"/>
    <w:rsid w:val="006A2C4D"/>
    <w:rsid w:val="006A2DA9"/>
    <w:rsid w:val="006A3065"/>
    <w:rsid w:val="006A310C"/>
    <w:rsid w:val="006A33B0"/>
    <w:rsid w:val="006A3599"/>
    <w:rsid w:val="006A3794"/>
    <w:rsid w:val="006A3BC7"/>
    <w:rsid w:val="006A3C75"/>
    <w:rsid w:val="006A425B"/>
    <w:rsid w:val="006A452A"/>
    <w:rsid w:val="006A456B"/>
    <w:rsid w:val="006A46F7"/>
    <w:rsid w:val="006A476F"/>
    <w:rsid w:val="006A47C2"/>
    <w:rsid w:val="006A480D"/>
    <w:rsid w:val="006A4852"/>
    <w:rsid w:val="006A4954"/>
    <w:rsid w:val="006A4AAA"/>
    <w:rsid w:val="006A4AE1"/>
    <w:rsid w:val="006A4D2F"/>
    <w:rsid w:val="006A4F57"/>
    <w:rsid w:val="006A515F"/>
    <w:rsid w:val="006A53B9"/>
    <w:rsid w:val="006A542B"/>
    <w:rsid w:val="006A5490"/>
    <w:rsid w:val="006A5517"/>
    <w:rsid w:val="006A57B9"/>
    <w:rsid w:val="006A67B1"/>
    <w:rsid w:val="006A6892"/>
    <w:rsid w:val="006A6C08"/>
    <w:rsid w:val="006A6E2E"/>
    <w:rsid w:val="006A6F38"/>
    <w:rsid w:val="006A6F89"/>
    <w:rsid w:val="006A7220"/>
    <w:rsid w:val="006A72B7"/>
    <w:rsid w:val="006A72E8"/>
    <w:rsid w:val="006A791D"/>
    <w:rsid w:val="006A79B7"/>
    <w:rsid w:val="006A7A3C"/>
    <w:rsid w:val="006A7AD8"/>
    <w:rsid w:val="006A7B0D"/>
    <w:rsid w:val="006A7E02"/>
    <w:rsid w:val="006B01EC"/>
    <w:rsid w:val="006B049C"/>
    <w:rsid w:val="006B0703"/>
    <w:rsid w:val="006B090F"/>
    <w:rsid w:val="006B0995"/>
    <w:rsid w:val="006B09F6"/>
    <w:rsid w:val="006B1395"/>
    <w:rsid w:val="006B1656"/>
    <w:rsid w:val="006B16AE"/>
    <w:rsid w:val="006B1924"/>
    <w:rsid w:val="006B192C"/>
    <w:rsid w:val="006B19A1"/>
    <w:rsid w:val="006B1A38"/>
    <w:rsid w:val="006B1D20"/>
    <w:rsid w:val="006B202F"/>
    <w:rsid w:val="006B2042"/>
    <w:rsid w:val="006B2324"/>
    <w:rsid w:val="006B23B7"/>
    <w:rsid w:val="006B261F"/>
    <w:rsid w:val="006B267A"/>
    <w:rsid w:val="006B27A0"/>
    <w:rsid w:val="006B285D"/>
    <w:rsid w:val="006B2A5A"/>
    <w:rsid w:val="006B2AFC"/>
    <w:rsid w:val="006B2C0B"/>
    <w:rsid w:val="006B2CE5"/>
    <w:rsid w:val="006B2E43"/>
    <w:rsid w:val="006B312B"/>
    <w:rsid w:val="006B32DC"/>
    <w:rsid w:val="006B3342"/>
    <w:rsid w:val="006B33C1"/>
    <w:rsid w:val="006B3504"/>
    <w:rsid w:val="006B36BF"/>
    <w:rsid w:val="006B389E"/>
    <w:rsid w:val="006B3975"/>
    <w:rsid w:val="006B3B2E"/>
    <w:rsid w:val="006B3C60"/>
    <w:rsid w:val="006B3F7F"/>
    <w:rsid w:val="006B3F88"/>
    <w:rsid w:val="006B415E"/>
    <w:rsid w:val="006B43D3"/>
    <w:rsid w:val="006B449D"/>
    <w:rsid w:val="006B479C"/>
    <w:rsid w:val="006B4845"/>
    <w:rsid w:val="006B4932"/>
    <w:rsid w:val="006B49DE"/>
    <w:rsid w:val="006B4AB7"/>
    <w:rsid w:val="006B4DCB"/>
    <w:rsid w:val="006B4F72"/>
    <w:rsid w:val="006B4FBC"/>
    <w:rsid w:val="006B59A7"/>
    <w:rsid w:val="006B5A0A"/>
    <w:rsid w:val="006B5C7D"/>
    <w:rsid w:val="006B5CB8"/>
    <w:rsid w:val="006B5D87"/>
    <w:rsid w:val="006B5F5D"/>
    <w:rsid w:val="006B631B"/>
    <w:rsid w:val="006B644D"/>
    <w:rsid w:val="006B6547"/>
    <w:rsid w:val="006B65A5"/>
    <w:rsid w:val="006B681B"/>
    <w:rsid w:val="006B6E22"/>
    <w:rsid w:val="006B708E"/>
    <w:rsid w:val="006B735C"/>
    <w:rsid w:val="006B742F"/>
    <w:rsid w:val="006B76A3"/>
    <w:rsid w:val="006B78BA"/>
    <w:rsid w:val="006B795A"/>
    <w:rsid w:val="006B7C56"/>
    <w:rsid w:val="006B7CAE"/>
    <w:rsid w:val="006B7DEE"/>
    <w:rsid w:val="006B7EFB"/>
    <w:rsid w:val="006C03E7"/>
    <w:rsid w:val="006C04BE"/>
    <w:rsid w:val="006C0730"/>
    <w:rsid w:val="006C09C4"/>
    <w:rsid w:val="006C0A7E"/>
    <w:rsid w:val="006C0B6C"/>
    <w:rsid w:val="006C0BF0"/>
    <w:rsid w:val="006C0E00"/>
    <w:rsid w:val="006C0F63"/>
    <w:rsid w:val="006C0FA7"/>
    <w:rsid w:val="006C150C"/>
    <w:rsid w:val="006C15C6"/>
    <w:rsid w:val="006C1D8E"/>
    <w:rsid w:val="006C1EB2"/>
    <w:rsid w:val="006C2079"/>
    <w:rsid w:val="006C20D4"/>
    <w:rsid w:val="006C20D5"/>
    <w:rsid w:val="006C2152"/>
    <w:rsid w:val="006C21AC"/>
    <w:rsid w:val="006C2289"/>
    <w:rsid w:val="006C22B1"/>
    <w:rsid w:val="006C22CA"/>
    <w:rsid w:val="006C266E"/>
    <w:rsid w:val="006C275E"/>
    <w:rsid w:val="006C27DA"/>
    <w:rsid w:val="006C2BA4"/>
    <w:rsid w:val="006C2E74"/>
    <w:rsid w:val="006C301A"/>
    <w:rsid w:val="006C306F"/>
    <w:rsid w:val="006C3268"/>
    <w:rsid w:val="006C3285"/>
    <w:rsid w:val="006C3349"/>
    <w:rsid w:val="006C3380"/>
    <w:rsid w:val="006C354C"/>
    <w:rsid w:val="006C3808"/>
    <w:rsid w:val="006C381F"/>
    <w:rsid w:val="006C3EDB"/>
    <w:rsid w:val="006C4194"/>
    <w:rsid w:val="006C4354"/>
    <w:rsid w:val="006C4452"/>
    <w:rsid w:val="006C4632"/>
    <w:rsid w:val="006C4647"/>
    <w:rsid w:val="006C466E"/>
    <w:rsid w:val="006C46FA"/>
    <w:rsid w:val="006C4800"/>
    <w:rsid w:val="006C4B19"/>
    <w:rsid w:val="006C4CA0"/>
    <w:rsid w:val="006C4E96"/>
    <w:rsid w:val="006C4F76"/>
    <w:rsid w:val="006C50D3"/>
    <w:rsid w:val="006C54BA"/>
    <w:rsid w:val="006C5E36"/>
    <w:rsid w:val="006C60DA"/>
    <w:rsid w:val="006C642F"/>
    <w:rsid w:val="006C69A8"/>
    <w:rsid w:val="006C6FCC"/>
    <w:rsid w:val="006C7050"/>
    <w:rsid w:val="006C70F3"/>
    <w:rsid w:val="006C70F4"/>
    <w:rsid w:val="006C717D"/>
    <w:rsid w:val="006C729F"/>
    <w:rsid w:val="006C72FC"/>
    <w:rsid w:val="006C739B"/>
    <w:rsid w:val="006C751F"/>
    <w:rsid w:val="006C75B4"/>
    <w:rsid w:val="006C7645"/>
    <w:rsid w:val="006C77AA"/>
    <w:rsid w:val="006C7A94"/>
    <w:rsid w:val="006C7AAB"/>
    <w:rsid w:val="006C7BA8"/>
    <w:rsid w:val="006C7C8B"/>
    <w:rsid w:val="006C7CBB"/>
    <w:rsid w:val="006C7D8B"/>
    <w:rsid w:val="006C7F18"/>
    <w:rsid w:val="006D00EB"/>
    <w:rsid w:val="006D04A4"/>
    <w:rsid w:val="006D04DE"/>
    <w:rsid w:val="006D0524"/>
    <w:rsid w:val="006D059F"/>
    <w:rsid w:val="006D06C2"/>
    <w:rsid w:val="006D075A"/>
    <w:rsid w:val="006D0763"/>
    <w:rsid w:val="006D07B4"/>
    <w:rsid w:val="006D081E"/>
    <w:rsid w:val="006D0A31"/>
    <w:rsid w:val="006D0ACD"/>
    <w:rsid w:val="006D0C08"/>
    <w:rsid w:val="006D0C50"/>
    <w:rsid w:val="006D0D10"/>
    <w:rsid w:val="006D10AF"/>
    <w:rsid w:val="006D10B2"/>
    <w:rsid w:val="006D14D8"/>
    <w:rsid w:val="006D151D"/>
    <w:rsid w:val="006D1610"/>
    <w:rsid w:val="006D1730"/>
    <w:rsid w:val="006D1B38"/>
    <w:rsid w:val="006D1D25"/>
    <w:rsid w:val="006D1EB0"/>
    <w:rsid w:val="006D1F08"/>
    <w:rsid w:val="006D1FEC"/>
    <w:rsid w:val="006D221C"/>
    <w:rsid w:val="006D23CD"/>
    <w:rsid w:val="006D2426"/>
    <w:rsid w:val="006D25C3"/>
    <w:rsid w:val="006D2705"/>
    <w:rsid w:val="006D27AD"/>
    <w:rsid w:val="006D2820"/>
    <w:rsid w:val="006D29CE"/>
    <w:rsid w:val="006D2AB0"/>
    <w:rsid w:val="006D2AD6"/>
    <w:rsid w:val="006D2AD7"/>
    <w:rsid w:val="006D2B21"/>
    <w:rsid w:val="006D2C9F"/>
    <w:rsid w:val="006D2CB2"/>
    <w:rsid w:val="006D2CD0"/>
    <w:rsid w:val="006D305F"/>
    <w:rsid w:val="006D30A1"/>
    <w:rsid w:val="006D31DD"/>
    <w:rsid w:val="006D321C"/>
    <w:rsid w:val="006D3286"/>
    <w:rsid w:val="006D333E"/>
    <w:rsid w:val="006D3416"/>
    <w:rsid w:val="006D3493"/>
    <w:rsid w:val="006D3549"/>
    <w:rsid w:val="006D3745"/>
    <w:rsid w:val="006D3791"/>
    <w:rsid w:val="006D37BE"/>
    <w:rsid w:val="006D3AB7"/>
    <w:rsid w:val="006D3AE6"/>
    <w:rsid w:val="006D3B19"/>
    <w:rsid w:val="006D3BC2"/>
    <w:rsid w:val="006D3CA6"/>
    <w:rsid w:val="006D3E2E"/>
    <w:rsid w:val="006D431F"/>
    <w:rsid w:val="006D4609"/>
    <w:rsid w:val="006D4678"/>
    <w:rsid w:val="006D4682"/>
    <w:rsid w:val="006D475C"/>
    <w:rsid w:val="006D482B"/>
    <w:rsid w:val="006D4916"/>
    <w:rsid w:val="006D4B76"/>
    <w:rsid w:val="006D5057"/>
    <w:rsid w:val="006D5243"/>
    <w:rsid w:val="006D5330"/>
    <w:rsid w:val="006D5379"/>
    <w:rsid w:val="006D5834"/>
    <w:rsid w:val="006D5901"/>
    <w:rsid w:val="006D5A6B"/>
    <w:rsid w:val="006D5BA0"/>
    <w:rsid w:val="006D5BCA"/>
    <w:rsid w:val="006D5D5F"/>
    <w:rsid w:val="006D5F61"/>
    <w:rsid w:val="006D6187"/>
    <w:rsid w:val="006D61E5"/>
    <w:rsid w:val="006D63CC"/>
    <w:rsid w:val="006D656E"/>
    <w:rsid w:val="006D66DF"/>
    <w:rsid w:val="006D68F1"/>
    <w:rsid w:val="006D6A59"/>
    <w:rsid w:val="006D7256"/>
    <w:rsid w:val="006D7257"/>
    <w:rsid w:val="006D73F8"/>
    <w:rsid w:val="006D75B8"/>
    <w:rsid w:val="006D76C3"/>
    <w:rsid w:val="006D77B8"/>
    <w:rsid w:val="006D7873"/>
    <w:rsid w:val="006D79E0"/>
    <w:rsid w:val="006D7A43"/>
    <w:rsid w:val="006D7AC4"/>
    <w:rsid w:val="006D7BD0"/>
    <w:rsid w:val="006D7C51"/>
    <w:rsid w:val="006D7D98"/>
    <w:rsid w:val="006D7DBC"/>
    <w:rsid w:val="006D7E12"/>
    <w:rsid w:val="006D7F06"/>
    <w:rsid w:val="006E01DC"/>
    <w:rsid w:val="006E0747"/>
    <w:rsid w:val="006E09B5"/>
    <w:rsid w:val="006E09CF"/>
    <w:rsid w:val="006E0B02"/>
    <w:rsid w:val="006E0DC3"/>
    <w:rsid w:val="006E0DFF"/>
    <w:rsid w:val="006E0E32"/>
    <w:rsid w:val="006E0EF2"/>
    <w:rsid w:val="006E0FB0"/>
    <w:rsid w:val="006E12D8"/>
    <w:rsid w:val="006E131F"/>
    <w:rsid w:val="006E14E9"/>
    <w:rsid w:val="006E15CE"/>
    <w:rsid w:val="006E160D"/>
    <w:rsid w:val="006E173A"/>
    <w:rsid w:val="006E182A"/>
    <w:rsid w:val="006E187A"/>
    <w:rsid w:val="006E1F2B"/>
    <w:rsid w:val="006E1F54"/>
    <w:rsid w:val="006E21CE"/>
    <w:rsid w:val="006E2403"/>
    <w:rsid w:val="006E2540"/>
    <w:rsid w:val="006E2560"/>
    <w:rsid w:val="006E2566"/>
    <w:rsid w:val="006E27D3"/>
    <w:rsid w:val="006E3306"/>
    <w:rsid w:val="006E359B"/>
    <w:rsid w:val="006E35E8"/>
    <w:rsid w:val="006E3626"/>
    <w:rsid w:val="006E3748"/>
    <w:rsid w:val="006E39FE"/>
    <w:rsid w:val="006E3EAA"/>
    <w:rsid w:val="006E3EC8"/>
    <w:rsid w:val="006E4693"/>
    <w:rsid w:val="006E47F1"/>
    <w:rsid w:val="006E48C9"/>
    <w:rsid w:val="006E49A3"/>
    <w:rsid w:val="006E4AA4"/>
    <w:rsid w:val="006E4AE6"/>
    <w:rsid w:val="006E4C24"/>
    <w:rsid w:val="006E4EB5"/>
    <w:rsid w:val="006E4F09"/>
    <w:rsid w:val="006E50AA"/>
    <w:rsid w:val="006E538A"/>
    <w:rsid w:val="006E5B86"/>
    <w:rsid w:val="006E5C41"/>
    <w:rsid w:val="006E5CA6"/>
    <w:rsid w:val="006E5DA1"/>
    <w:rsid w:val="006E5E98"/>
    <w:rsid w:val="006E60DF"/>
    <w:rsid w:val="006E649A"/>
    <w:rsid w:val="006E65DC"/>
    <w:rsid w:val="006E66E4"/>
    <w:rsid w:val="006E678A"/>
    <w:rsid w:val="006E6919"/>
    <w:rsid w:val="006E694A"/>
    <w:rsid w:val="006E69BE"/>
    <w:rsid w:val="006E69DD"/>
    <w:rsid w:val="006E6A48"/>
    <w:rsid w:val="006E6A96"/>
    <w:rsid w:val="006E70DD"/>
    <w:rsid w:val="006E740B"/>
    <w:rsid w:val="006E75BD"/>
    <w:rsid w:val="006E765C"/>
    <w:rsid w:val="006E76BA"/>
    <w:rsid w:val="006E7852"/>
    <w:rsid w:val="006E78CF"/>
    <w:rsid w:val="006E7F17"/>
    <w:rsid w:val="006E7FA5"/>
    <w:rsid w:val="006F0176"/>
    <w:rsid w:val="006F029A"/>
    <w:rsid w:val="006F02E6"/>
    <w:rsid w:val="006F036F"/>
    <w:rsid w:val="006F0415"/>
    <w:rsid w:val="006F054C"/>
    <w:rsid w:val="006F0561"/>
    <w:rsid w:val="006F065A"/>
    <w:rsid w:val="006F079B"/>
    <w:rsid w:val="006F0D1E"/>
    <w:rsid w:val="006F0D97"/>
    <w:rsid w:val="006F0DF7"/>
    <w:rsid w:val="006F0EEC"/>
    <w:rsid w:val="006F0F04"/>
    <w:rsid w:val="006F1058"/>
    <w:rsid w:val="006F10E0"/>
    <w:rsid w:val="006F12DB"/>
    <w:rsid w:val="006F14AA"/>
    <w:rsid w:val="006F14AD"/>
    <w:rsid w:val="006F1694"/>
    <w:rsid w:val="006F16E9"/>
    <w:rsid w:val="006F18AA"/>
    <w:rsid w:val="006F1914"/>
    <w:rsid w:val="006F19C0"/>
    <w:rsid w:val="006F1D2A"/>
    <w:rsid w:val="006F2015"/>
    <w:rsid w:val="006F21A6"/>
    <w:rsid w:val="006F2243"/>
    <w:rsid w:val="006F2422"/>
    <w:rsid w:val="006F24C8"/>
    <w:rsid w:val="006F2573"/>
    <w:rsid w:val="006F281D"/>
    <w:rsid w:val="006F2A24"/>
    <w:rsid w:val="006F2AE2"/>
    <w:rsid w:val="006F2C0F"/>
    <w:rsid w:val="006F2CFB"/>
    <w:rsid w:val="006F2D1C"/>
    <w:rsid w:val="006F2E9B"/>
    <w:rsid w:val="006F377C"/>
    <w:rsid w:val="006F3A5B"/>
    <w:rsid w:val="006F3CCB"/>
    <w:rsid w:val="006F40BD"/>
    <w:rsid w:val="006F42FD"/>
    <w:rsid w:val="006F48C5"/>
    <w:rsid w:val="006F4931"/>
    <w:rsid w:val="006F499A"/>
    <w:rsid w:val="006F4A27"/>
    <w:rsid w:val="006F4AD5"/>
    <w:rsid w:val="006F4DB7"/>
    <w:rsid w:val="006F50A0"/>
    <w:rsid w:val="006F50E8"/>
    <w:rsid w:val="006F5116"/>
    <w:rsid w:val="006F5605"/>
    <w:rsid w:val="006F568F"/>
    <w:rsid w:val="006F58E3"/>
    <w:rsid w:val="006F58EB"/>
    <w:rsid w:val="006F590D"/>
    <w:rsid w:val="006F597E"/>
    <w:rsid w:val="006F5CC8"/>
    <w:rsid w:val="006F609F"/>
    <w:rsid w:val="006F6472"/>
    <w:rsid w:val="006F6628"/>
    <w:rsid w:val="006F6B49"/>
    <w:rsid w:val="006F6D5F"/>
    <w:rsid w:val="006F6EC6"/>
    <w:rsid w:val="006F74C0"/>
    <w:rsid w:val="006F76E0"/>
    <w:rsid w:val="006F77A2"/>
    <w:rsid w:val="006F78CD"/>
    <w:rsid w:val="006F7B5C"/>
    <w:rsid w:val="006F7DE1"/>
    <w:rsid w:val="0070006B"/>
    <w:rsid w:val="00700110"/>
    <w:rsid w:val="007001ED"/>
    <w:rsid w:val="0070091D"/>
    <w:rsid w:val="00700A4A"/>
    <w:rsid w:val="00700A5E"/>
    <w:rsid w:val="00700AC1"/>
    <w:rsid w:val="00700E6D"/>
    <w:rsid w:val="00700E84"/>
    <w:rsid w:val="00700F32"/>
    <w:rsid w:val="0070139B"/>
    <w:rsid w:val="007014C4"/>
    <w:rsid w:val="007017E6"/>
    <w:rsid w:val="00701970"/>
    <w:rsid w:val="00701ABE"/>
    <w:rsid w:val="00701B5E"/>
    <w:rsid w:val="00701BE1"/>
    <w:rsid w:val="00701DCC"/>
    <w:rsid w:val="00701FE1"/>
    <w:rsid w:val="007024BD"/>
    <w:rsid w:val="0070259A"/>
    <w:rsid w:val="0070259C"/>
    <w:rsid w:val="007026E0"/>
    <w:rsid w:val="00702750"/>
    <w:rsid w:val="00702A39"/>
    <w:rsid w:val="00702BD0"/>
    <w:rsid w:val="00702C1E"/>
    <w:rsid w:val="007030B4"/>
    <w:rsid w:val="00703114"/>
    <w:rsid w:val="0070313B"/>
    <w:rsid w:val="007034EE"/>
    <w:rsid w:val="00703593"/>
    <w:rsid w:val="0070376B"/>
    <w:rsid w:val="0070393A"/>
    <w:rsid w:val="00703B72"/>
    <w:rsid w:val="00703BEB"/>
    <w:rsid w:val="00703D66"/>
    <w:rsid w:val="00703F21"/>
    <w:rsid w:val="0070416D"/>
    <w:rsid w:val="007041C6"/>
    <w:rsid w:val="007043CC"/>
    <w:rsid w:val="007044DC"/>
    <w:rsid w:val="00704529"/>
    <w:rsid w:val="00704534"/>
    <w:rsid w:val="0070492E"/>
    <w:rsid w:val="007049C0"/>
    <w:rsid w:val="00704CFB"/>
    <w:rsid w:val="00704E1E"/>
    <w:rsid w:val="00704E66"/>
    <w:rsid w:val="00704EB1"/>
    <w:rsid w:val="007050EA"/>
    <w:rsid w:val="007052D7"/>
    <w:rsid w:val="007054CD"/>
    <w:rsid w:val="007055F7"/>
    <w:rsid w:val="00705616"/>
    <w:rsid w:val="007056CD"/>
    <w:rsid w:val="007057FA"/>
    <w:rsid w:val="00705828"/>
    <w:rsid w:val="00705AD4"/>
    <w:rsid w:val="00705B66"/>
    <w:rsid w:val="00705C11"/>
    <w:rsid w:val="00705CCA"/>
    <w:rsid w:val="00705D27"/>
    <w:rsid w:val="00705E04"/>
    <w:rsid w:val="00705E9B"/>
    <w:rsid w:val="00705F4E"/>
    <w:rsid w:val="0070639A"/>
    <w:rsid w:val="00706487"/>
    <w:rsid w:val="007064D6"/>
    <w:rsid w:val="0070651B"/>
    <w:rsid w:val="00706523"/>
    <w:rsid w:val="00706F97"/>
    <w:rsid w:val="00707025"/>
    <w:rsid w:val="00707060"/>
    <w:rsid w:val="007071D2"/>
    <w:rsid w:val="007071EF"/>
    <w:rsid w:val="00707301"/>
    <w:rsid w:val="0070738D"/>
    <w:rsid w:val="0070753D"/>
    <w:rsid w:val="00707589"/>
    <w:rsid w:val="007075FA"/>
    <w:rsid w:val="007076B0"/>
    <w:rsid w:val="007078FD"/>
    <w:rsid w:val="00707A4C"/>
    <w:rsid w:val="00707A71"/>
    <w:rsid w:val="00707AF1"/>
    <w:rsid w:val="00707C15"/>
    <w:rsid w:val="00707CB0"/>
    <w:rsid w:val="007101C4"/>
    <w:rsid w:val="007101F7"/>
    <w:rsid w:val="0071034C"/>
    <w:rsid w:val="0071046A"/>
    <w:rsid w:val="00710A09"/>
    <w:rsid w:val="00710B99"/>
    <w:rsid w:val="00710E19"/>
    <w:rsid w:val="00710EBC"/>
    <w:rsid w:val="0071106E"/>
    <w:rsid w:val="0071123D"/>
    <w:rsid w:val="00711426"/>
    <w:rsid w:val="00711524"/>
    <w:rsid w:val="0071173F"/>
    <w:rsid w:val="0071181E"/>
    <w:rsid w:val="00711C69"/>
    <w:rsid w:val="00711DCA"/>
    <w:rsid w:val="0071207C"/>
    <w:rsid w:val="007121DA"/>
    <w:rsid w:val="00712337"/>
    <w:rsid w:val="007129A3"/>
    <w:rsid w:val="00712A0E"/>
    <w:rsid w:val="00712A25"/>
    <w:rsid w:val="00712A9A"/>
    <w:rsid w:val="00712D6F"/>
    <w:rsid w:val="00712DB9"/>
    <w:rsid w:val="00712E72"/>
    <w:rsid w:val="00712F5B"/>
    <w:rsid w:val="0071301F"/>
    <w:rsid w:val="00713142"/>
    <w:rsid w:val="00713232"/>
    <w:rsid w:val="0071337F"/>
    <w:rsid w:val="007134BC"/>
    <w:rsid w:val="0071358F"/>
    <w:rsid w:val="00713A2E"/>
    <w:rsid w:val="00713AA7"/>
    <w:rsid w:val="00713C13"/>
    <w:rsid w:val="00713CFD"/>
    <w:rsid w:val="00713D35"/>
    <w:rsid w:val="00713E91"/>
    <w:rsid w:val="00714197"/>
    <w:rsid w:val="00714206"/>
    <w:rsid w:val="007142EB"/>
    <w:rsid w:val="007143D5"/>
    <w:rsid w:val="007143F8"/>
    <w:rsid w:val="007146E0"/>
    <w:rsid w:val="0071470E"/>
    <w:rsid w:val="00714966"/>
    <w:rsid w:val="00714D98"/>
    <w:rsid w:val="00714FC8"/>
    <w:rsid w:val="00715303"/>
    <w:rsid w:val="00715596"/>
    <w:rsid w:val="0071571F"/>
    <w:rsid w:val="0071593C"/>
    <w:rsid w:val="00715941"/>
    <w:rsid w:val="00715AAA"/>
    <w:rsid w:val="00715C60"/>
    <w:rsid w:val="00715DDE"/>
    <w:rsid w:val="00715E3B"/>
    <w:rsid w:val="00715E5A"/>
    <w:rsid w:val="00716138"/>
    <w:rsid w:val="0071618F"/>
    <w:rsid w:val="00716249"/>
    <w:rsid w:val="007163E7"/>
    <w:rsid w:val="00716735"/>
    <w:rsid w:val="00716959"/>
    <w:rsid w:val="00716B54"/>
    <w:rsid w:val="00716B90"/>
    <w:rsid w:val="00716D45"/>
    <w:rsid w:val="0071715F"/>
    <w:rsid w:val="00717179"/>
    <w:rsid w:val="0071717F"/>
    <w:rsid w:val="007171D5"/>
    <w:rsid w:val="0071737C"/>
    <w:rsid w:val="00717459"/>
    <w:rsid w:val="007175A5"/>
    <w:rsid w:val="00717B2B"/>
    <w:rsid w:val="00717B6A"/>
    <w:rsid w:val="00717BA1"/>
    <w:rsid w:val="00717BB9"/>
    <w:rsid w:val="00717E10"/>
    <w:rsid w:val="00720110"/>
    <w:rsid w:val="007201B8"/>
    <w:rsid w:val="0072023B"/>
    <w:rsid w:val="007203B4"/>
    <w:rsid w:val="00720473"/>
    <w:rsid w:val="007204D8"/>
    <w:rsid w:val="00720645"/>
    <w:rsid w:val="00720A3D"/>
    <w:rsid w:val="00720C46"/>
    <w:rsid w:val="00720D14"/>
    <w:rsid w:val="00720D36"/>
    <w:rsid w:val="00720E83"/>
    <w:rsid w:val="00720F2B"/>
    <w:rsid w:val="00720FF0"/>
    <w:rsid w:val="007212CA"/>
    <w:rsid w:val="0072139A"/>
    <w:rsid w:val="007213D9"/>
    <w:rsid w:val="007214AC"/>
    <w:rsid w:val="0072153F"/>
    <w:rsid w:val="0072163F"/>
    <w:rsid w:val="00721920"/>
    <w:rsid w:val="00721944"/>
    <w:rsid w:val="0072195F"/>
    <w:rsid w:val="00721C01"/>
    <w:rsid w:val="00721CFC"/>
    <w:rsid w:val="00721D9F"/>
    <w:rsid w:val="00721F07"/>
    <w:rsid w:val="00721F9C"/>
    <w:rsid w:val="007220F9"/>
    <w:rsid w:val="0072213B"/>
    <w:rsid w:val="00722540"/>
    <w:rsid w:val="007225CE"/>
    <w:rsid w:val="0072273E"/>
    <w:rsid w:val="00722822"/>
    <w:rsid w:val="00722D3A"/>
    <w:rsid w:val="00722D8D"/>
    <w:rsid w:val="0072321A"/>
    <w:rsid w:val="007232A8"/>
    <w:rsid w:val="00723373"/>
    <w:rsid w:val="007234E4"/>
    <w:rsid w:val="00723651"/>
    <w:rsid w:val="00723894"/>
    <w:rsid w:val="00723B1B"/>
    <w:rsid w:val="00723C76"/>
    <w:rsid w:val="0072400F"/>
    <w:rsid w:val="007242A3"/>
    <w:rsid w:val="0072458E"/>
    <w:rsid w:val="00724636"/>
    <w:rsid w:val="0072496B"/>
    <w:rsid w:val="00724BCA"/>
    <w:rsid w:val="00724D60"/>
    <w:rsid w:val="00724E5E"/>
    <w:rsid w:val="00724F6F"/>
    <w:rsid w:val="00725272"/>
    <w:rsid w:val="007258AB"/>
    <w:rsid w:val="00725A58"/>
    <w:rsid w:val="00725B32"/>
    <w:rsid w:val="00725D3E"/>
    <w:rsid w:val="00725DA8"/>
    <w:rsid w:val="00726077"/>
    <w:rsid w:val="007260FB"/>
    <w:rsid w:val="0072627F"/>
    <w:rsid w:val="0072632E"/>
    <w:rsid w:val="00726365"/>
    <w:rsid w:val="00726463"/>
    <w:rsid w:val="0072662A"/>
    <w:rsid w:val="0072690B"/>
    <w:rsid w:val="00726A32"/>
    <w:rsid w:val="00726C6E"/>
    <w:rsid w:val="00726D76"/>
    <w:rsid w:val="00726E7D"/>
    <w:rsid w:val="00727029"/>
    <w:rsid w:val="007270B6"/>
    <w:rsid w:val="00727118"/>
    <w:rsid w:val="007272D4"/>
    <w:rsid w:val="007273EB"/>
    <w:rsid w:val="00727F59"/>
    <w:rsid w:val="007300DA"/>
    <w:rsid w:val="007300FA"/>
    <w:rsid w:val="0073010A"/>
    <w:rsid w:val="0073039E"/>
    <w:rsid w:val="00730A9F"/>
    <w:rsid w:val="00730C37"/>
    <w:rsid w:val="00730C95"/>
    <w:rsid w:val="00730EF6"/>
    <w:rsid w:val="00730F5B"/>
    <w:rsid w:val="00731541"/>
    <w:rsid w:val="007315A1"/>
    <w:rsid w:val="00731926"/>
    <w:rsid w:val="00731B07"/>
    <w:rsid w:val="00731DB9"/>
    <w:rsid w:val="00731DF2"/>
    <w:rsid w:val="00731EEC"/>
    <w:rsid w:val="00732184"/>
    <w:rsid w:val="00732322"/>
    <w:rsid w:val="007323B5"/>
    <w:rsid w:val="00732404"/>
    <w:rsid w:val="00732704"/>
    <w:rsid w:val="0073276D"/>
    <w:rsid w:val="00732B4A"/>
    <w:rsid w:val="00732C68"/>
    <w:rsid w:val="00732F7C"/>
    <w:rsid w:val="007330B2"/>
    <w:rsid w:val="0073315A"/>
    <w:rsid w:val="00733178"/>
    <w:rsid w:val="007331BE"/>
    <w:rsid w:val="007333B3"/>
    <w:rsid w:val="007333D6"/>
    <w:rsid w:val="00733518"/>
    <w:rsid w:val="00733617"/>
    <w:rsid w:val="0073364A"/>
    <w:rsid w:val="0073378E"/>
    <w:rsid w:val="007337B0"/>
    <w:rsid w:val="007339BF"/>
    <w:rsid w:val="00733A2E"/>
    <w:rsid w:val="00733BD5"/>
    <w:rsid w:val="00733C28"/>
    <w:rsid w:val="00733C61"/>
    <w:rsid w:val="00733C9A"/>
    <w:rsid w:val="00733CC0"/>
    <w:rsid w:val="00733D84"/>
    <w:rsid w:val="007341AE"/>
    <w:rsid w:val="00734320"/>
    <w:rsid w:val="00734334"/>
    <w:rsid w:val="00734566"/>
    <w:rsid w:val="00734584"/>
    <w:rsid w:val="0073463D"/>
    <w:rsid w:val="00734856"/>
    <w:rsid w:val="007349B6"/>
    <w:rsid w:val="00734AC4"/>
    <w:rsid w:val="00734DBB"/>
    <w:rsid w:val="00734E02"/>
    <w:rsid w:val="00734FF0"/>
    <w:rsid w:val="00735171"/>
    <w:rsid w:val="0073546A"/>
    <w:rsid w:val="007354A1"/>
    <w:rsid w:val="0073560C"/>
    <w:rsid w:val="0073580C"/>
    <w:rsid w:val="00735A22"/>
    <w:rsid w:val="00735B7D"/>
    <w:rsid w:val="00735D16"/>
    <w:rsid w:val="00735D99"/>
    <w:rsid w:val="007364C5"/>
    <w:rsid w:val="0073694F"/>
    <w:rsid w:val="00736A15"/>
    <w:rsid w:val="00736B85"/>
    <w:rsid w:val="00736C12"/>
    <w:rsid w:val="00736D2F"/>
    <w:rsid w:val="00736D74"/>
    <w:rsid w:val="00736EA0"/>
    <w:rsid w:val="00736FD2"/>
    <w:rsid w:val="007370A6"/>
    <w:rsid w:val="0073712A"/>
    <w:rsid w:val="0073740C"/>
    <w:rsid w:val="00737626"/>
    <w:rsid w:val="00737723"/>
    <w:rsid w:val="00737F36"/>
    <w:rsid w:val="007401AD"/>
    <w:rsid w:val="0074023D"/>
    <w:rsid w:val="00740474"/>
    <w:rsid w:val="007404B1"/>
    <w:rsid w:val="00740759"/>
    <w:rsid w:val="00740894"/>
    <w:rsid w:val="00740ABA"/>
    <w:rsid w:val="00740ABC"/>
    <w:rsid w:val="00740F35"/>
    <w:rsid w:val="00740FA3"/>
    <w:rsid w:val="00740FFC"/>
    <w:rsid w:val="00741078"/>
    <w:rsid w:val="00741185"/>
    <w:rsid w:val="00741518"/>
    <w:rsid w:val="0074162E"/>
    <w:rsid w:val="007416C5"/>
    <w:rsid w:val="00741AA3"/>
    <w:rsid w:val="00741ABD"/>
    <w:rsid w:val="00741B9F"/>
    <w:rsid w:val="00741BF1"/>
    <w:rsid w:val="007425A0"/>
    <w:rsid w:val="00742654"/>
    <w:rsid w:val="007428E5"/>
    <w:rsid w:val="00742A15"/>
    <w:rsid w:val="00742AAC"/>
    <w:rsid w:val="00742AF6"/>
    <w:rsid w:val="00742C15"/>
    <w:rsid w:val="00742EF6"/>
    <w:rsid w:val="00742F5A"/>
    <w:rsid w:val="0074314E"/>
    <w:rsid w:val="007431F1"/>
    <w:rsid w:val="0074324E"/>
    <w:rsid w:val="0074343F"/>
    <w:rsid w:val="00743669"/>
    <w:rsid w:val="0074370D"/>
    <w:rsid w:val="00743861"/>
    <w:rsid w:val="00743DC2"/>
    <w:rsid w:val="00743DE7"/>
    <w:rsid w:val="00743E4C"/>
    <w:rsid w:val="007441E9"/>
    <w:rsid w:val="007444DB"/>
    <w:rsid w:val="00744934"/>
    <w:rsid w:val="00744C1E"/>
    <w:rsid w:val="00744C63"/>
    <w:rsid w:val="00744C9C"/>
    <w:rsid w:val="00744EBF"/>
    <w:rsid w:val="00744F7F"/>
    <w:rsid w:val="00744FA1"/>
    <w:rsid w:val="007451DF"/>
    <w:rsid w:val="00745251"/>
    <w:rsid w:val="007454BF"/>
    <w:rsid w:val="0074566F"/>
    <w:rsid w:val="00745BA8"/>
    <w:rsid w:val="00745CAD"/>
    <w:rsid w:val="00746228"/>
    <w:rsid w:val="00746680"/>
    <w:rsid w:val="00746974"/>
    <w:rsid w:val="007469B5"/>
    <w:rsid w:val="00746AD1"/>
    <w:rsid w:val="00746D2A"/>
    <w:rsid w:val="00746DF5"/>
    <w:rsid w:val="00746F00"/>
    <w:rsid w:val="0074701B"/>
    <w:rsid w:val="00747164"/>
    <w:rsid w:val="007475CC"/>
    <w:rsid w:val="00747763"/>
    <w:rsid w:val="007478A7"/>
    <w:rsid w:val="007478D5"/>
    <w:rsid w:val="007479D2"/>
    <w:rsid w:val="00747AC3"/>
    <w:rsid w:val="00747B5A"/>
    <w:rsid w:val="00747D01"/>
    <w:rsid w:val="007500B7"/>
    <w:rsid w:val="00750365"/>
    <w:rsid w:val="00750496"/>
    <w:rsid w:val="00750613"/>
    <w:rsid w:val="0075093C"/>
    <w:rsid w:val="00750AE3"/>
    <w:rsid w:val="00750B1A"/>
    <w:rsid w:val="00750B40"/>
    <w:rsid w:val="00750C7D"/>
    <w:rsid w:val="00750F38"/>
    <w:rsid w:val="00750FEE"/>
    <w:rsid w:val="0075104E"/>
    <w:rsid w:val="00751413"/>
    <w:rsid w:val="007515E5"/>
    <w:rsid w:val="007518C8"/>
    <w:rsid w:val="00751917"/>
    <w:rsid w:val="00751A6D"/>
    <w:rsid w:val="00751AB4"/>
    <w:rsid w:val="00751B5C"/>
    <w:rsid w:val="00751C90"/>
    <w:rsid w:val="00751DD7"/>
    <w:rsid w:val="00751E10"/>
    <w:rsid w:val="00751F19"/>
    <w:rsid w:val="00752425"/>
    <w:rsid w:val="00752468"/>
    <w:rsid w:val="007524AA"/>
    <w:rsid w:val="007528B7"/>
    <w:rsid w:val="00752996"/>
    <w:rsid w:val="00752A35"/>
    <w:rsid w:val="00752B2A"/>
    <w:rsid w:val="00752C4C"/>
    <w:rsid w:val="00752C7F"/>
    <w:rsid w:val="007532C6"/>
    <w:rsid w:val="007532FD"/>
    <w:rsid w:val="0075338E"/>
    <w:rsid w:val="007535AD"/>
    <w:rsid w:val="00753612"/>
    <w:rsid w:val="0075376E"/>
    <w:rsid w:val="0075378B"/>
    <w:rsid w:val="007537BA"/>
    <w:rsid w:val="007538D2"/>
    <w:rsid w:val="00753931"/>
    <w:rsid w:val="00753C24"/>
    <w:rsid w:val="00753F02"/>
    <w:rsid w:val="007541E6"/>
    <w:rsid w:val="007544C5"/>
    <w:rsid w:val="007544F2"/>
    <w:rsid w:val="00754545"/>
    <w:rsid w:val="007548B6"/>
    <w:rsid w:val="007548EF"/>
    <w:rsid w:val="00754922"/>
    <w:rsid w:val="00754B11"/>
    <w:rsid w:val="00754D4A"/>
    <w:rsid w:val="0075504B"/>
    <w:rsid w:val="0075506F"/>
    <w:rsid w:val="00755081"/>
    <w:rsid w:val="007550C6"/>
    <w:rsid w:val="007552C4"/>
    <w:rsid w:val="00755711"/>
    <w:rsid w:val="007559DD"/>
    <w:rsid w:val="00755B35"/>
    <w:rsid w:val="0075604A"/>
    <w:rsid w:val="007562E2"/>
    <w:rsid w:val="00756790"/>
    <w:rsid w:val="00756794"/>
    <w:rsid w:val="00756AE8"/>
    <w:rsid w:val="00756C4F"/>
    <w:rsid w:val="00756DBF"/>
    <w:rsid w:val="00756E88"/>
    <w:rsid w:val="00756F24"/>
    <w:rsid w:val="0075781F"/>
    <w:rsid w:val="00757943"/>
    <w:rsid w:val="007579AC"/>
    <w:rsid w:val="00757A6E"/>
    <w:rsid w:val="00757ACB"/>
    <w:rsid w:val="00757E77"/>
    <w:rsid w:val="00760924"/>
    <w:rsid w:val="00760A69"/>
    <w:rsid w:val="00760B86"/>
    <w:rsid w:val="00760E48"/>
    <w:rsid w:val="00760F76"/>
    <w:rsid w:val="00760FA9"/>
    <w:rsid w:val="00761060"/>
    <w:rsid w:val="007610B2"/>
    <w:rsid w:val="00761210"/>
    <w:rsid w:val="007612A1"/>
    <w:rsid w:val="00761326"/>
    <w:rsid w:val="00761355"/>
    <w:rsid w:val="00761544"/>
    <w:rsid w:val="00761545"/>
    <w:rsid w:val="00761665"/>
    <w:rsid w:val="0076166B"/>
    <w:rsid w:val="00761894"/>
    <w:rsid w:val="00761918"/>
    <w:rsid w:val="00761929"/>
    <w:rsid w:val="0076195A"/>
    <w:rsid w:val="00761CB4"/>
    <w:rsid w:val="00761F1B"/>
    <w:rsid w:val="00761FB7"/>
    <w:rsid w:val="0076220B"/>
    <w:rsid w:val="007624F1"/>
    <w:rsid w:val="007626A7"/>
    <w:rsid w:val="00762748"/>
    <w:rsid w:val="0076277E"/>
    <w:rsid w:val="007627BE"/>
    <w:rsid w:val="00762829"/>
    <w:rsid w:val="00762918"/>
    <w:rsid w:val="00762BB8"/>
    <w:rsid w:val="00763017"/>
    <w:rsid w:val="007633A5"/>
    <w:rsid w:val="007635E9"/>
    <w:rsid w:val="00763810"/>
    <w:rsid w:val="0076385B"/>
    <w:rsid w:val="0076394A"/>
    <w:rsid w:val="00763995"/>
    <w:rsid w:val="00763D4F"/>
    <w:rsid w:val="00763F77"/>
    <w:rsid w:val="00763FB7"/>
    <w:rsid w:val="00763FE0"/>
    <w:rsid w:val="0076434E"/>
    <w:rsid w:val="00764413"/>
    <w:rsid w:val="007648FE"/>
    <w:rsid w:val="00764C0C"/>
    <w:rsid w:val="00764DA3"/>
    <w:rsid w:val="007651F4"/>
    <w:rsid w:val="00765245"/>
    <w:rsid w:val="007652DD"/>
    <w:rsid w:val="00765361"/>
    <w:rsid w:val="0076545E"/>
    <w:rsid w:val="007654AB"/>
    <w:rsid w:val="00765596"/>
    <w:rsid w:val="00765902"/>
    <w:rsid w:val="0076597A"/>
    <w:rsid w:val="00765DA3"/>
    <w:rsid w:val="00765E74"/>
    <w:rsid w:val="0076637F"/>
    <w:rsid w:val="007663C1"/>
    <w:rsid w:val="007663D1"/>
    <w:rsid w:val="007665BA"/>
    <w:rsid w:val="007665DE"/>
    <w:rsid w:val="00766968"/>
    <w:rsid w:val="00766985"/>
    <w:rsid w:val="00766BA4"/>
    <w:rsid w:val="00766C28"/>
    <w:rsid w:val="00766D56"/>
    <w:rsid w:val="0076702E"/>
    <w:rsid w:val="0076717F"/>
    <w:rsid w:val="0076723B"/>
    <w:rsid w:val="00767357"/>
    <w:rsid w:val="0076742B"/>
    <w:rsid w:val="00767467"/>
    <w:rsid w:val="007674B5"/>
    <w:rsid w:val="007674D4"/>
    <w:rsid w:val="0076751F"/>
    <w:rsid w:val="00767584"/>
    <w:rsid w:val="00767670"/>
    <w:rsid w:val="0076775E"/>
    <w:rsid w:val="007679F7"/>
    <w:rsid w:val="00767A4A"/>
    <w:rsid w:val="00767A9E"/>
    <w:rsid w:val="007702CA"/>
    <w:rsid w:val="007708FC"/>
    <w:rsid w:val="007709A6"/>
    <w:rsid w:val="00770A3A"/>
    <w:rsid w:val="00770AA0"/>
    <w:rsid w:val="00770ADE"/>
    <w:rsid w:val="00770C17"/>
    <w:rsid w:val="00770CBB"/>
    <w:rsid w:val="00770E2A"/>
    <w:rsid w:val="00770F16"/>
    <w:rsid w:val="00770F7E"/>
    <w:rsid w:val="00771463"/>
    <w:rsid w:val="0077183F"/>
    <w:rsid w:val="00771AE6"/>
    <w:rsid w:val="00772021"/>
    <w:rsid w:val="0077215F"/>
    <w:rsid w:val="0077249D"/>
    <w:rsid w:val="007726FC"/>
    <w:rsid w:val="0077274C"/>
    <w:rsid w:val="00772792"/>
    <w:rsid w:val="007728E8"/>
    <w:rsid w:val="00772B55"/>
    <w:rsid w:val="00772CE0"/>
    <w:rsid w:val="00772EDE"/>
    <w:rsid w:val="00773103"/>
    <w:rsid w:val="0077329C"/>
    <w:rsid w:val="007732F3"/>
    <w:rsid w:val="00773783"/>
    <w:rsid w:val="007737DC"/>
    <w:rsid w:val="00773BCF"/>
    <w:rsid w:val="00773D58"/>
    <w:rsid w:val="007740E8"/>
    <w:rsid w:val="007745AC"/>
    <w:rsid w:val="007745CA"/>
    <w:rsid w:val="007748CC"/>
    <w:rsid w:val="007749CD"/>
    <w:rsid w:val="007749D4"/>
    <w:rsid w:val="00774CB6"/>
    <w:rsid w:val="00774CEE"/>
    <w:rsid w:val="00774D33"/>
    <w:rsid w:val="00774D6B"/>
    <w:rsid w:val="00774D88"/>
    <w:rsid w:val="00774DC2"/>
    <w:rsid w:val="00774ECD"/>
    <w:rsid w:val="0077506D"/>
    <w:rsid w:val="00775123"/>
    <w:rsid w:val="00775519"/>
    <w:rsid w:val="0077551D"/>
    <w:rsid w:val="007755CE"/>
    <w:rsid w:val="0077575A"/>
    <w:rsid w:val="00775844"/>
    <w:rsid w:val="00775895"/>
    <w:rsid w:val="00775A59"/>
    <w:rsid w:val="00775AEB"/>
    <w:rsid w:val="00775CB1"/>
    <w:rsid w:val="00775E00"/>
    <w:rsid w:val="007760CF"/>
    <w:rsid w:val="007760F0"/>
    <w:rsid w:val="0077623B"/>
    <w:rsid w:val="00776747"/>
    <w:rsid w:val="00776823"/>
    <w:rsid w:val="00776A87"/>
    <w:rsid w:val="00776CC5"/>
    <w:rsid w:val="00776E04"/>
    <w:rsid w:val="007771B9"/>
    <w:rsid w:val="00777293"/>
    <w:rsid w:val="007776C3"/>
    <w:rsid w:val="007777A7"/>
    <w:rsid w:val="007778A8"/>
    <w:rsid w:val="007779BB"/>
    <w:rsid w:val="00777AE8"/>
    <w:rsid w:val="00777CD9"/>
    <w:rsid w:val="00777D64"/>
    <w:rsid w:val="00777D9D"/>
    <w:rsid w:val="00777DD1"/>
    <w:rsid w:val="00780271"/>
    <w:rsid w:val="0078062C"/>
    <w:rsid w:val="00780A01"/>
    <w:rsid w:val="00780B0B"/>
    <w:rsid w:val="00780D10"/>
    <w:rsid w:val="0078120B"/>
    <w:rsid w:val="0078120E"/>
    <w:rsid w:val="00781218"/>
    <w:rsid w:val="0078130B"/>
    <w:rsid w:val="00781449"/>
    <w:rsid w:val="007814B7"/>
    <w:rsid w:val="0078167E"/>
    <w:rsid w:val="0078188A"/>
    <w:rsid w:val="0078196C"/>
    <w:rsid w:val="00781A4A"/>
    <w:rsid w:val="00781A5D"/>
    <w:rsid w:val="00781A73"/>
    <w:rsid w:val="00781C00"/>
    <w:rsid w:val="00781D2A"/>
    <w:rsid w:val="00781E01"/>
    <w:rsid w:val="00781E5A"/>
    <w:rsid w:val="00782047"/>
    <w:rsid w:val="0078205F"/>
    <w:rsid w:val="007821CC"/>
    <w:rsid w:val="007822B6"/>
    <w:rsid w:val="007822FA"/>
    <w:rsid w:val="00782649"/>
    <w:rsid w:val="0078266A"/>
    <w:rsid w:val="007826DA"/>
    <w:rsid w:val="0078282C"/>
    <w:rsid w:val="00782BAE"/>
    <w:rsid w:val="00782D38"/>
    <w:rsid w:val="00782DB6"/>
    <w:rsid w:val="007830EB"/>
    <w:rsid w:val="007831BB"/>
    <w:rsid w:val="007833ED"/>
    <w:rsid w:val="0078379E"/>
    <w:rsid w:val="00783824"/>
    <w:rsid w:val="0078394C"/>
    <w:rsid w:val="00783A84"/>
    <w:rsid w:val="00783E0D"/>
    <w:rsid w:val="00783EBE"/>
    <w:rsid w:val="0078401F"/>
    <w:rsid w:val="0078408A"/>
    <w:rsid w:val="0078408C"/>
    <w:rsid w:val="007841FB"/>
    <w:rsid w:val="00784368"/>
    <w:rsid w:val="0078439B"/>
    <w:rsid w:val="00784679"/>
    <w:rsid w:val="0078489E"/>
    <w:rsid w:val="00784CDE"/>
    <w:rsid w:val="00784DCD"/>
    <w:rsid w:val="00784F36"/>
    <w:rsid w:val="00785087"/>
    <w:rsid w:val="007850B9"/>
    <w:rsid w:val="00785436"/>
    <w:rsid w:val="007856EB"/>
    <w:rsid w:val="0078577E"/>
    <w:rsid w:val="00785796"/>
    <w:rsid w:val="00785813"/>
    <w:rsid w:val="0078585C"/>
    <w:rsid w:val="00785AA3"/>
    <w:rsid w:val="00785B98"/>
    <w:rsid w:val="00785C50"/>
    <w:rsid w:val="00785CF3"/>
    <w:rsid w:val="00785DF1"/>
    <w:rsid w:val="00785FAD"/>
    <w:rsid w:val="00785FC9"/>
    <w:rsid w:val="0078611D"/>
    <w:rsid w:val="007863EF"/>
    <w:rsid w:val="007864C0"/>
    <w:rsid w:val="007865AA"/>
    <w:rsid w:val="0078678F"/>
    <w:rsid w:val="007867AC"/>
    <w:rsid w:val="00786DD2"/>
    <w:rsid w:val="00786F92"/>
    <w:rsid w:val="0078710F"/>
    <w:rsid w:val="00787334"/>
    <w:rsid w:val="007873F9"/>
    <w:rsid w:val="00787766"/>
    <w:rsid w:val="0078782D"/>
    <w:rsid w:val="007878F3"/>
    <w:rsid w:val="00787AD5"/>
    <w:rsid w:val="00787B73"/>
    <w:rsid w:val="00787BF7"/>
    <w:rsid w:val="007901D5"/>
    <w:rsid w:val="007902BF"/>
    <w:rsid w:val="007904DA"/>
    <w:rsid w:val="007907FE"/>
    <w:rsid w:val="007908A8"/>
    <w:rsid w:val="007909C7"/>
    <w:rsid w:val="00790B7E"/>
    <w:rsid w:val="00790C82"/>
    <w:rsid w:val="00790CEA"/>
    <w:rsid w:val="00790D03"/>
    <w:rsid w:val="00790D5C"/>
    <w:rsid w:val="00790E17"/>
    <w:rsid w:val="00790E97"/>
    <w:rsid w:val="00790EB6"/>
    <w:rsid w:val="00791009"/>
    <w:rsid w:val="0079106E"/>
    <w:rsid w:val="007911EE"/>
    <w:rsid w:val="0079127C"/>
    <w:rsid w:val="0079155E"/>
    <w:rsid w:val="00791776"/>
    <w:rsid w:val="007917C8"/>
    <w:rsid w:val="007917F2"/>
    <w:rsid w:val="00791AFA"/>
    <w:rsid w:val="00791B00"/>
    <w:rsid w:val="00791B21"/>
    <w:rsid w:val="00791E6C"/>
    <w:rsid w:val="00791F7D"/>
    <w:rsid w:val="007920FB"/>
    <w:rsid w:val="00792366"/>
    <w:rsid w:val="00792F4E"/>
    <w:rsid w:val="0079306A"/>
    <w:rsid w:val="0079349F"/>
    <w:rsid w:val="00793731"/>
    <w:rsid w:val="00793A8E"/>
    <w:rsid w:val="00793EFE"/>
    <w:rsid w:val="00793F4D"/>
    <w:rsid w:val="00794111"/>
    <w:rsid w:val="0079417B"/>
    <w:rsid w:val="007942C7"/>
    <w:rsid w:val="007946BA"/>
    <w:rsid w:val="0079478D"/>
    <w:rsid w:val="00794861"/>
    <w:rsid w:val="00794B0F"/>
    <w:rsid w:val="00794BB5"/>
    <w:rsid w:val="00794BF2"/>
    <w:rsid w:val="00794C2B"/>
    <w:rsid w:val="00794C7D"/>
    <w:rsid w:val="00794EC9"/>
    <w:rsid w:val="00794F6B"/>
    <w:rsid w:val="00795081"/>
    <w:rsid w:val="0079516B"/>
    <w:rsid w:val="00795438"/>
    <w:rsid w:val="00795576"/>
    <w:rsid w:val="00795725"/>
    <w:rsid w:val="007957AD"/>
    <w:rsid w:val="007957BE"/>
    <w:rsid w:val="0079585C"/>
    <w:rsid w:val="00795A37"/>
    <w:rsid w:val="00795C50"/>
    <w:rsid w:val="00795FD8"/>
    <w:rsid w:val="00795FDC"/>
    <w:rsid w:val="0079616A"/>
    <w:rsid w:val="007967FE"/>
    <w:rsid w:val="007969DB"/>
    <w:rsid w:val="00796CF4"/>
    <w:rsid w:val="00796D05"/>
    <w:rsid w:val="00796E6F"/>
    <w:rsid w:val="00796F8D"/>
    <w:rsid w:val="00796FE9"/>
    <w:rsid w:val="007972F9"/>
    <w:rsid w:val="007973EA"/>
    <w:rsid w:val="00797759"/>
    <w:rsid w:val="0079790B"/>
    <w:rsid w:val="007979F2"/>
    <w:rsid w:val="00797B33"/>
    <w:rsid w:val="00797D33"/>
    <w:rsid w:val="00797D7D"/>
    <w:rsid w:val="00797F2A"/>
    <w:rsid w:val="007A0003"/>
    <w:rsid w:val="007A0347"/>
    <w:rsid w:val="007A043C"/>
    <w:rsid w:val="007A0671"/>
    <w:rsid w:val="007A07AB"/>
    <w:rsid w:val="007A09AC"/>
    <w:rsid w:val="007A09C2"/>
    <w:rsid w:val="007A0A8A"/>
    <w:rsid w:val="007A0B71"/>
    <w:rsid w:val="007A0EF0"/>
    <w:rsid w:val="007A1033"/>
    <w:rsid w:val="007A107B"/>
    <w:rsid w:val="007A13C6"/>
    <w:rsid w:val="007A1546"/>
    <w:rsid w:val="007A15ED"/>
    <w:rsid w:val="007A16BF"/>
    <w:rsid w:val="007A18A8"/>
    <w:rsid w:val="007A198D"/>
    <w:rsid w:val="007A1B00"/>
    <w:rsid w:val="007A1C5A"/>
    <w:rsid w:val="007A2069"/>
    <w:rsid w:val="007A20B0"/>
    <w:rsid w:val="007A219A"/>
    <w:rsid w:val="007A23AB"/>
    <w:rsid w:val="007A23FF"/>
    <w:rsid w:val="007A261A"/>
    <w:rsid w:val="007A27BF"/>
    <w:rsid w:val="007A27EE"/>
    <w:rsid w:val="007A2987"/>
    <w:rsid w:val="007A2C56"/>
    <w:rsid w:val="007A2EBF"/>
    <w:rsid w:val="007A2F47"/>
    <w:rsid w:val="007A2FB6"/>
    <w:rsid w:val="007A34CA"/>
    <w:rsid w:val="007A34CF"/>
    <w:rsid w:val="007A378D"/>
    <w:rsid w:val="007A394D"/>
    <w:rsid w:val="007A39C4"/>
    <w:rsid w:val="007A3AFF"/>
    <w:rsid w:val="007A3F68"/>
    <w:rsid w:val="007A41B9"/>
    <w:rsid w:val="007A42F9"/>
    <w:rsid w:val="007A4650"/>
    <w:rsid w:val="007A4CA0"/>
    <w:rsid w:val="007A4D5D"/>
    <w:rsid w:val="007A4DC8"/>
    <w:rsid w:val="007A50CE"/>
    <w:rsid w:val="007A5138"/>
    <w:rsid w:val="007A5229"/>
    <w:rsid w:val="007A5823"/>
    <w:rsid w:val="007A5A11"/>
    <w:rsid w:val="007A5AB8"/>
    <w:rsid w:val="007A5AF7"/>
    <w:rsid w:val="007A5BD6"/>
    <w:rsid w:val="007A6099"/>
    <w:rsid w:val="007A631D"/>
    <w:rsid w:val="007A6443"/>
    <w:rsid w:val="007A68CE"/>
    <w:rsid w:val="007A68D4"/>
    <w:rsid w:val="007A70D7"/>
    <w:rsid w:val="007A7430"/>
    <w:rsid w:val="007A7587"/>
    <w:rsid w:val="007A7623"/>
    <w:rsid w:val="007A775B"/>
    <w:rsid w:val="007A7919"/>
    <w:rsid w:val="007A791D"/>
    <w:rsid w:val="007A79BE"/>
    <w:rsid w:val="007A7B62"/>
    <w:rsid w:val="007A7CE5"/>
    <w:rsid w:val="007A7D4C"/>
    <w:rsid w:val="007A7F32"/>
    <w:rsid w:val="007B0613"/>
    <w:rsid w:val="007B0644"/>
    <w:rsid w:val="007B06D6"/>
    <w:rsid w:val="007B0707"/>
    <w:rsid w:val="007B07A7"/>
    <w:rsid w:val="007B0A8F"/>
    <w:rsid w:val="007B0F10"/>
    <w:rsid w:val="007B1076"/>
    <w:rsid w:val="007B10C0"/>
    <w:rsid w:val="007B1179"/>
    <w:rsid w:val="007B147F"/>
    <w:rsid w:val="007B165F"/>
    <w:rsid w:val="007B1891"/>
    <w:rsid w:val="007B1B5B"/>
    <w:rsid w:val="007B1CC8"/>
    <w:rsid w:val="007B20CA"/>
    <w:rsid w:val="007B2226"/>
    <w:rsid w:val="007B230C"/>
    <w:rsid w:val="007B2488"/>
    <w:rsid w:val="007B2599"/>
    <w:rsid w:val="007B25DC"/>
    <w:rsid w:val="007B29A1"/>
    <w:rsid w:val="007B2A08"/>
    <w:rsid w:val="007B2A97"/>
    <w:rsid w:val="007B2AC3"/>
    <w:rsid w:val="007B2B0E"/>
    <w:rsid w:val="007B2E96"/>
    <w:rsid w:val="007B3413"/>
    <w:rsid w:val="007B3528"/>
    <w:rsid w:val="007B357B"/>
    <w:rsid w:val="007B399D"/>
    <w:rsid w:val="007B3ACD"/>
    <w:rsid w:val="007B3BC0"/>
    <w:rsid w:val="007B3C7C"/>
    <w:rsid w:val="007B3D4F"/>
    <w:rsid w:val="007B3F7F"/>
    <w:rsid w:val="007B4149"/>
    <w:rsid w:val="007B43C9"/>
    <w:rsid w:val="007B4462"/>
    <w:rsid w:val="007B4556"/>
    <w:rsid w:val="007B4660"/>
    <w:rsid w:val="007B46CD"/>
    <w:rsid w:val="007B46F5"/>
    <w:rsid w:val="007B4C88"/>
    <w:rsid w:val="007B4D3C"/>
    <w:rsid w:val="007B4F4A"/>
    <w:rsid w:val="007B4F75"/>
    <w:rsid w:val="007B51D0"/>
    <w:rsid w:val="007B5271"/>
    <w:rsid w:val="007B5577"/>
    <w:rsid w:val="007B55DD"/>
    <w:rsid w:val="007B58C7"/>
    <w:rsid w:val="007B5CF5"/>
    <w:rsid w:val="007B5D63"/>
    <w:rsid w:val="007B5E1B"/>
    <w:rsid w:val="007B61C2"/>
    <w:rsid w:val="007B61DE"/>
    <w:rsid w:val="007B627C"/>
    <w:rsid w:val="007B66AE"/>
    <w:rsid w:val="007B6A4E"/>
    <w:rsid w:val="007B6B45"/>
    <w:rsid w:val="007B6C27"/>
    <w:rsid w:val="007B6DC2"/>
    <w:rsid w:val="007B7215"/>
    <w:rsid w:val="007B74AC"/>
    <w:rsid w:val="007B74CE"/>
    <w:rsid w:val="007B7DB4"/>
    <w:rsid w:val="007B7E46"/>
    <w:rsid w:val="007B7E86"/>
    <w:rsid w:val="007C0458"/>
    <w:rsid w:val="007C091B"/>
    <w:rsid w:val="007C0BEB"/>
    <w:rsid w:val="007C0E1B"/>
    <w:rsid w:val="007C0F99"/>
    <w:rsid w:val="007C119F"/>
    <w:rsid w:val="007C11E5"/>
    <w:rsid w:val="007C1366"/>
    <w:rsid w:val="007C172C"/>
    <w:rsid w:val="007C1A4F"/>
    <w:rsid w:val="007C1BAF"/>
    <w:rsid w:val="007C1D38"/>
    <w:rsid w:val="007C1DB2"/>
    <w:rsid w:val="007C1EDF"/>
    <w:rsid w:val="007C1F97"/>
    <w:rsid w:val="007C2018"/>
    <w:rsid w:val="007C203C"/>
    <w:rsid w:val="007C2116"/>
    <w:rsid w:val="007C21FD"/>
    <w:rsid w:val="007C2476"/>
    <w:rsid w:val="007C2659"/>
    <w:rsid w:val="007C26F4"/>
    <w:rsid w:val="007C2832"/>
    <w:rsid w:val="007C2AAD"/>
    <w:rsid w:val="007C2AE4"/>
    <w:rsid w:val="007C2BB0"/>
    <w:rsid w:val="007C2BBE"/>
    <w:rsid w:val="007C3064"/>
    <w:rsid w:val="007C30E5"/>
    <w:rsid w:val="007C315B"/>
    <w:rsid w:val="007C3603"/>
    <w:rsid w:val="007C364A"/>
    <w:rsid w:val="007C3656"/>
    <w:rsid w:val="007C36BC"/>
    <w:rsid w:val="007C3721"/>
    <w:rsid w:val="007C3842"/>
    <w:rsid w:val="007C3BA1"/>
    <w:rsid w:val="007C3D1E"/>
    <w:rsid w:val="007C3D20"/>
    <w:rsid w:val="007C3EA2"/>
    <w:rsid w:val="007C407F"/>
    <w:rsid w:val="007C427A"/>
    <w:rsid w:val="007C43BE"/>
    <w:rsid w:val="007C4509"/>
    <w:rsid w:val="007C4797"/>
    <w:rsid w:val="007C4906"/>
    <w:rsid w:val="007C4B7F"/>
    <w:rsid w:val="007C4D40"/>
    <w:rsid w:val="007C4FEA"/>
    <w:rsid w:val="007C503A"/>
    <w:rsid w:val="007C5099"/>
    <w:rsid w:val="007C5464"/>
    <w:rsid w:val="007C549D"/>
    <w:rsid w:val="007C54C3"/>
    <w:rsid w:val="007C5518"/>
    <w:rsid w:val="007C57FB"/>
    <w:rsid w:val="007C5C1D"/>
    <w:rsid w:val="007C668E"/>
    <w:rsid w:val="007C6C83"/>
    <w:rsid w:val="007C6D4A"/>
    <w:rsid w:val="007C6EF4"/>
    <w:rsid w:val="007C6F53"/>
    <w:rsid w:val="007C71B7"/>
    <w:rsid w:val="007C73ED"/>
    <w:rsid w:val="007C7514"/>
    <w:rsid w:val="007C75EE"/>
    <w:rsid w:val="007C76D5"/>
    <w:rsid w:val="007C798D"/>
    <w:rsid w:val="007C7D2E"/>
    <w:rsid w:val="007C7D73"/>
    <w:rsid w:val="007C7D87"/>
    <w:rsid w:val="007D010B"/>
    <w:rsid w:val="007D012B"/>
    <w:rsid w:val="007D01D3"/>
    <w:rsid w:val="007D0243"/>
    <w:rsid w:val="007D0411"/>
    <w:rsid w:val="007D0477"/>
    <w:rsid w:val="007D05A1"/>
    <w:rsid w:val="007D0F6F"/>
    <w:rsid w:val="007D12FC"/>
    <w:rsid w:val="007D15BF"/>
    <w:rsid w:val="007D1FBD"/>
    <w:rsid w:val="007D2051"/>
    <w:rsid w:val="007D20E2"/>
    <w:rsid w:val="007D20F0"/>
    <w:rsid w:val="007D2177"/>
    <w:rsid w:val="007D2310"/>
    <w:rsid w:val="007D2338"/>
    <w:rsid w:val="007D24C7"/>
    <w:rsid w:val="007D2616"/>
    <w:rsid w:val="007D26D3"/>
    <w:rsid w:val="007D2DC0"/>
    <w:rsid w:val="007D2FAC"/>
    <w:rsid w:val="007D31CB"/>
    <w:rsid w:val="007D35CC"/>
    <w:rsid w:val="007D377D"/>
    <w:rsid w:val="007D3877"/>
    <w:rsid w:val="007D3A58"/>
    <w:rsid w:val="007D3BB5"/>
    <w:rsid w:val="007D3C19"/>
    <w:rsid w:val="007D3E45"/>
    <w:rsid w:val="007D3ECC"/>
    <w:rsid w:val="007D4149"/>
    <w:rsid w:val="007D42B1"/>
    <w:rsid w:val="007D4382"/>
    <w:rsid w:val="007D438E"/>
    <w:rsid w:val="007D4396"/>
    <w:rsid w:val="007D43DD"/>
    <w:rsid w:val="007D466F"/>
    <w:rsid w:val="007D4B06"/>
    <w:rsid w:val="007D4DBC"/>
    <w:rsid w:val="007D4E27"/>
    <w:rsid w:val="007D4F53"/>
    <w:rsid w:val="007D501E"/>
    <w:rsid w:val="007D517B"/>
    <w:rsid w:val="007D539D"/>
    <w:rsid w:val="007D56F5"/>
    <w:rsid w:val="007D5942"/>
    <w:rsid w:val="007D5962"/>
    <w:rsid w:val="007D59B4"/>
    <w:rsid w:val="007D5CBB"/>
    <w:rsid w:val="007D5D25"/>
    <w:rsid w:val="007D5D28"/>
    <w:rsid w:val="007D5E28"/>
    <w:rsid w:val="007D60A4"/>
    <w:rsid w:val="007D6176"/>
    <w:rsid w:val="007D6564"/>
    <w:rsid w:val="007D69BB"/>
    <w:rsid w:val="007D70CB"/>
    <w:rsid w:val="007D7236"/>
    <w:rsid w:val="007D73C9"/>
    <w:rsid w:val="007D73EC"/>
    <w:rsid w:val="007D73F8"/>
    <w:rsid w:val="007D7756"/>
    <w:rsid w:val="007D787D"/>
    <w:rsid w:val="007D79D7"/>
    <w:rsid w:val="007D7A0A"/>
    <w:rsid w:val="007D7A24"/>
    <w:rsid w:val="007D7CF8"/>
    <w:rsid w:val="007D7F74"/>
    <w:rsid w:val="007D7FAA"/>
    <w:rsid w:val="007E04D8"/>
    <w:rsid w:val="007E05E7"/>
    <w:rsid w:val="007E06E3"/>
    <w:rsid w:val="007E0AAD"/>
    <w:rsid w:val="007E0BC9"/>
    <w:rsid w:val="007E0E57"/>
    <w:rsid w:val="007E0EF1"/>
    <w:rsid w:val="007E1105"/>
    <w:rsid w:val="007E11B3"/>
    <w:rsid w:val="007E12A4"/>
    <w:rsid w:val="007E1424"/>
    <w:rsid w:val="007E1597"/>
    <w:rsid w:val="007E1623"/>
    <w:rsid w:val="007E17EB"/>
    <w:rsid w:val="007E19DD"/>
    <w:rsid w:val="007E1B18"/>
    <w:rsid w:val="007E1E6C"/>
    <w:rsid w:val="007E2267"/>
    <w:rsid w:val="007E22F9"/>
    <w:rsid w:val="007E245B"/>
    <w:rsid w:val="007E25E7"/>
    <w:rsid w:val="007E26A3"/>
    <w:rsid w:val="007E27FC"/>
    <w:rsid w:val="007E2941"/>
    <w:rsid w:val="007E2A89"/>
    <w:rsid w:val="007E2A98"/>
    <w:rsid w:val="007E2AA8"/>
    <w:rsid w:val="007E2AC1"/>
    <w:rsid w:val="007E2AFE"/>
    <w:rsid w:val="007E2EAC"/>
    <w:rsid w:val="007E30EE"/>
    <w:rsid w:val="007E3103"/>
    <w:rsid w:val="007E3301"/>
    <w:rsid w:val="007E35C5"/>
    <w:rsid w:val="007E37D9"/>
    <w:rsid w:val="007E38A2"/>
    <w:rsid w:val="007E3922"/>
    <w:rsid w:val="007E39CD"/>
    <w:rsid w:val="007E3A05"/>
    <w:rsid w:val="007E3E71"/>
    <w:rsid w:val="007E3ED3"/>
    <w:rsid w:val="007E43B4"/>
    <w:rsid w:val="007E44C8"/>
    <w:rsid w:val="007E452C"/>
    <w:rsid w:val="007E4564"/>
    <w:rsid w:val="007E468C"/>
    <w:rsid w:val="007E46B1"/>
    <w:rsid w:val="007E4964"/>
    <w:rsid w:val="007E4AE1"/>
    <w:rsid w:val="007E4B9B"/>
    <w:rsid w:val="007E4F84"/>
    <w:rsid w:val="007E4FA6"/>
    <w:rsid w:val="007E4FC2"/>
    <w:rsid w:val="007E5052"/>
    <w:rsid w:val="007E5470"/>
    <w:rsid w:val="007E574A"/>
    <w:rsid w:val="007E598E"/>
    <w:rsid w:val="007E59CC"/>
    <w:rsid w:val="007E5BDE"/>
    <w:rsid w:val="007E5DFA"/>
    <w:rsid w:val="007E5F29"/>
    <w:rsid w:val="007E5F3F"/>
    <w:rsid w:val="007E5F74"/>
    <w:rsid w:val="007E6073"/>
    <w:rsid w:val="007E62FF"/>
    <w:rsid w:val="007E6326"/>
    <w:rsid w:val="007E63B3"/>
    <w:rsid w:val="007E642D"/>
    <w:rsid w:val="007E67EB"/>
    <w:rsid w:val="007E691B"/>
    <w:rsid w:val="007E69A2"/>
    <w:rsid w:val="007E72D9"/>
    <w:rsid w:val="007E72E1"/>
    <w:rsid w:val="007E733B"/>
    <w:rsid w:val="007E7421"/>
    <w:rsid w:val="007E74B9"/>
    <w:rsid w:val="007E76BE"/>
    <w:rsid w:val="007E771A"/>
    <w:rsid w:val="007E7736"/>
    <w:rsid w:val="007E78CE"/>
    <w:rsid w:val="007E7B85"/>
    <w:rsid w:val="007E7BC0"/>
    <w:rsid w:val="007E7CE8"/>
    <w:rsid w:val="007F00FF"/>
    <w:rsid w:val="007F015C"/>
    <w:rsid w:val="007F03DC"/>
    <w:rsid w:val="007F059A"/>
    <w:rsid w:val="007F09AE"/>
    <w:rsid w:val="007F0DC6"/>
    <w:rsid w:val="007F0FB5"/>
    <w:rsid w:val="007F0FF3"/>
    <w:rsid w:val="007F12E7"/>
    <w:rsid w:val="007F13E1"/>
    <w:rsid w:val="007F147D"/>
    <w:rsid w:val="007F162A"/>
    <w:rsid w:val="007F19EF"/>
    <w:rsid w:val="007F1A03"/>
    <w:rsid w:val="007F1A1E"/>
    <w:rsid w:val="007F1BD7"/>
    <w:rsid w:val="007F1D22"/>
    <w:rsid w:val="007F1E70"/>
    <w:rsid w:val="007F1F7C"/>
    <w:rsid w:val="007F2033"/>
    <w:rsid w:val="007F20C8"/>
    <w:rsid w:val="007F212B"/>
    <w:rsid w:val="007F2198"/>
    <w:rsid w:val="007F22FE"/>
    <w:rsid w:val="007F23FB"/>
    <w:rsid w:val="007F2400"/>
    <w:rsid w:val="007F2445"/>
    <w:rsid w:val="007F24F1"/>
    <w:rsid w:val="007F2633"/>
    <w:rsid w:val="007F28E3"/>
    <w:rsid w:val="007F2CE8"/>
    <w:rsid w:val="007F2D0F"/>
    <w:rsid w:val="007F2E11"/>
    <w:rsid w:val="007F2E40"/>
    <w:rsid w:val="007F2E58"/>
    <w:rsid w:val="007F2FAF"/>
    <w:rsid w:val="007F312B"/>
    <w:rsid w:val="007F3357"/>
    <w:rsid w:val="007F3458"/>
    <w:rsid w:val="007F34BE"/>
    <w:rsid w:val="007F351A"/>
    <w:rsid w:val="007F36F0"/>
    <w:rsid w:val="007F3B14"/>
    <w:rsid w:val="007F3B43"/>
    <w:rsid w:val="007F3D28"/>
    <w:rsid w:val="007F3EAD"/>
    <w:rsid w:val="007F407F"/>
    <w:rsid w:val="007F40DD"/>
    <w:rsid w:val="007F414A"/>
    <w:rsid w:val="007F4194"/>
    <w:rsid w:val="007F42B9"/>
    <w:rsid w:val="007F42E5"/>
    <w:rsid w:val="007F42F2"/>
    <w:rsid w:val="007F45D4"/>
    <w:rsid w:val="007F495D"/>
    <w:rsid w:val="007F4B33"/>
    <w:rsid w:val="007F4BC6"/>
    <w:rsid w:val="007F4E90"/>
    <w:rsid w:val="007F4FB9"/>
    <w:rsid w:val="007F543E"/>
    <w:rsid w:val="007F5540"/>
    <w:rsid w:val="007F55A9"/>
    <w:rsid w:val="007F5861"/>
    <w:rsid w:val="007F5A2F"/>
    <w:rsid w:val="007F5C16"/>
    <w:rsid w:val="007F5E1A"/>
    <w:rsid w:val="007F5F82"/>
    <w:rsid w:val="007F61E0"/>
    <w:rsid w:val="007F6899"/>
    <w:rsid w:val="007F68CC"/>
    <w:rsid w:val="007F6B82"/>
    <w:rsid w:val="007F6C70"/>
    <w:rsid w:val="007F7014"/>
    <w:rsid w:val="007F709B"/>
    <w:rsid w:val="007F735F"/>
    <w:rsid w:val="007F73FE"/>
    <w:rsid w:val="007F741D"/>
    <w:rsid w:val="007F75AC"/>
    <w:rsid w:val="007F7696"/>
    <w:rsid w:val="007F7741"/>
    <w:rsid w:val="007F7780"/>
    <w:rsid w:val="007F79D3"/>
    <w:rsid w:val="007F7D77"/>
    <w:rsid w:val="007F7ED4"/>
    <w:rsid w:val="00800030"/>
    <w:rsid w:val="00800160"/>
    <w:rsid w:val="008001ED"/>
    <w:rsid w:val="008003FC"/>
    <w:rsid w:val="00800B80"/>
    <w:rsid w:val="008010BC"/>
    <w:rsid w:val="00801263"/>
    <w:rsid w:val="00801489"/>
    <w:rsid w:val="008014DA"/>
    <w:rsid w:val="00801582"/>
    <w:rsid w:val="008015C2"/>
    <w:rsid w:val="00801A1C"/>
    <w:rsid w:val="00801D6D"/>
    <w:rsid w:val="00801DAC"/>
    <w:rsid w:val="00801DAE"/>
    <w:rsid w:val="00801E07"/>
    <w:rsid w:val="00802031"/>
    <w:rsid w:val="0080235A"/>
    <w:rsid w:val="00802429"/>
    <w:rsid w:val="008024B7"/>
    <w:rsid w:val="0080263A"/>
    <w:rsid w:val="00802876"/>
    <w:rsid w:val="00802E94"/>
    <w:rsid w:val="00802F75"/>
    <w:rsid w:val="00803091"/>
    <w:rsid w:val="0080310E"/>
    <w:rsid w:val="008032CF"/>
    <w:rsid w:val="00803623"/>
    <w:rsid w:val="0080362F"/>
    <w:rsid w:val="0080363C"/>
    <w:rsid w:val="0080375E"/>
    <w:rsid w:val="00803807"/>
    <w:rsid w:val="0080389A"/>
    <w:rsid w:val="00803949"/>
    <w:rsid w:val="008039C8"/>
    <w:rsid w:val="00803B75"/>
    <w:rsid w:val="0080405F"/>
    <w:rsid w:val="0080409C"/>
    <w:rsid w:val="008040A2"/>
    <w:rsid w:val="0080415D"/>
    <w:rsid w:val="008041F1"/>
    <w:rsid w:val="008042D3"/>
    <w:rsid w:val="008044C4"/>
    <w:rsid w:val="0080467E"/>
    <w:rsid w:val="008047FD"/>
    <w:rsid w:val="00804D7C"/>
    <w:rsid w:val="00804DD1"/>
    <w:rsid w:val="00804E35"/>
    <w:rsid w:val="00804EA9"/>
    <w:rsid w:val="00805170"/>
    <w:rsid w:val="008056BB"/>
    <w:rsid w:val="0080578E"/>
    <w:rsid w:val="00805865"/>
    <w:rsid w:val="00805934"/>
    <w:rsid w:val="008059C9"/>
    <w:rsid w:val="00805A01"/>
    <w:rsid w:val="00805B73"/>
    <w:rsid w:val="00805EF6"/>
    <w:rsid w:val="00805F36"/>
    <w:rsid w:val="00805F92"/>
    <w:rsid w:val="00806077"/>
    <w:rsid w:val="00806221"/>
    <w:rsid w:val="0080641C"/>
    <w:rsid w:val="00806464"/>
    <w:rsid w:val="008064B8"/>
    <w:rsid w:val="0080679C"/>
    <w:rsid w:val="00806BA4"/>
    <w:rsid w:val="00806C1E"/>
    <w:rsid w:val="00806CDB"/>
    <w:rsid w:val="00806DF5"/>
    <w:rsid w:val="0080716E"/>
    <w:rsid w:val="008073A6"/>
    <w:rsid w:val="008074FC"/>
    <w:rsid w:val="008075EE"/>
    <w:rsid w:val="008077B1"/>
    <w:rsid w:val="008078A7"/>
    <w:rsid w:val="008079EE"/>
    <w:rsid w:val="00807BAA"/>
    <w:rsid w:val="00807DBF"/>
    <w:rsid w:val="00807DCF"/>
    <w:rsid w:val="00810038"/>
    <w:rsid w:val="00810090"/>
    <w:rsid w:val="00810432"/>
    <w:rsid w:val="0081056A"/>
    <w:rsid w:val="008105C4"/>
    <w:rsid w:val="00810602"/>
    <w:rsid w:val="00810846"/>
    <w:rsid w:val="008108A4"/>
    <w:rsid w:val="008108A6"/>
    <w:rsid w:val="008109B8"/>
    <w:rsid w:val="00810CB4"/>
    <w:rsid w:val="00810F7D"/>
    <w:rsid w:val="00810F8A"/>
    <w:rsid w:val="0081121A"/>
    <w:rsid w:val="0081133C"/>
    <w:rsid w:val="00811372"/>
    <w:rsid w:val="008113B1"/>
    <w:rsid w:val="00811495"/>
    <w:rsid w:val="008115EA"/>
    <w:rsid w:val="0081177A"/>
    <w:rsid w:val="00811C2D"/>
    <w:rsid w:val="00811C42"/>
    <w:rsid w:val="00811F20"/>
    <w:rsid w:val="008120B8"/>
    <w:rsid w:val="0081216A"/>
    <w:rsid w:val="0081226E"/>
    <w:rsid w:val="008122A6"/>
    <w:rsid w:val="008122E4"/>
    <w:rsid w:val="008123A5"/>
    <w:rsid w:val="008123D1"/>
    <w:rsid w:val="008124C2"/>
    <w:rsid w:val="008126B8"/>
    <w:rsid w:val="008127A1"/>
    <w:rsid w:val="0081282B"/>
    <w:rsid w:val="00812856"/>
    <w:rsid w:val="00812950"/>
    <w:rsid w:val="008129C2"/>
    <w:rsid w:val="00812A14"/>
    <w:rsid w:val="00812B6A"/>
    <w:rsid w:val="00812D65"/>
    <w:rsid w:val="00812F08"/>
    <w:rsid w:val="00812FA3"/>
    <w:rsid w:val="00812FE0"/>
    <w:rsid w:val="0081302F"/>
    <w:rsid w:val="008135DC"/>
    <w:rsid w:val="00813687"/>
    <w:rsid w:val="008139DE"/>
    <w:rsid w:val="00813CC4"/>
    <w:rsid w:val="00813EDD"/>
    <w:rsid w:val="008141AA"/>
    <w:rsid w:val="008141E1"/>
    <w:rsid w:val="0081430A"/>
    <w:rsid w:val="0081443D"/>
    <w:rsid w:val="0081468E"/>
    <w:rsid w:val="00814B7D"/>
    <w:rsid w:val="00814B97"/>
    <w:rsid w:val="00814F1C"/>
    <w:rsid w:val="00814FD8"/>
    <w:rsid w:val="00815120"/>
    <w:rsid w:val="0081514B"/>
    <w:rsid w:val="008157F5"/>
    <w:rsid w:val="0081587F"/>
    <w:rsid w:val="00815EF7"/>
    <w:rsid w:val="0081644D"/>
    <w:rsid w:val="008166E1"/>
    <w:rsid w:val="008169BD"/>
    <w:rsid w:val="00816A2B"/>
    <w:rsid w:val="00816B09"/>
    <w:rsid w:val="00816B14"/>
    <w:rsid w:val="00816B42"/>
    <w:rsid w:val="00816B63"/>
    <w:rsid w:val="00816DDF"/>
    <w:rsid w:val="00816E76"/>
    <w:rsid w:val="00816EF7"/>
    <w:rsid w:val="00816F83"/>
    <w:rsid w:val="00817066"/>
    <w:rsid w:val="00817308"/>
    <w:rsid w:val="008175A9"/>
    <w:rsid w:val="008175C0"/>
    <w:rsid w:val="0081792E"/>
    <w:rsid w:val="00817AC5"/>
    <w:rsid w:val="00817C94"/>
    <w:rsid w:val="00817CE9"/>
    <w:rsid w:val="008204A5"/>
    <w:rsid w:val="008204BD"/>
    <w:rsid w:val="008207B8"/>
    <w:rsid w:val="00820AB2"/>
    <w:rsid w:val="00820EEF"/>
    <w:rsid w:val="00820F04"/>
    <w:rsid w:val="00820FEB"/>
    <w:rsid w:val="0082119A"/>
    <w:rsid w:val="008212C1"/>
    <w:rsid w:val="0082133A"/>
    <w:rsid w:val="008213AD"/>
    <w:rsid w:val="008214D0"/>
    <w:rsid w:val="00821A26"/>
    <w:rsid w:val="00821B8D"/>
    <w:rsid w:val="00821C7C"/>
    <w:rsid w:val="00821D2F"/>
    <w:rsid w:val="008221F4"/>
    <w:rsid w:val="008223C8"/>
    <w:rsid w:val="0082249A"/>
    <w:rsid w:val="008224A7"/>
    <w:rsid w:val="008224D0"/>
    <w:rsid w:val="0082252D"/>
    <w:rsid w:val="00822577"/>
    <w:rsid w:val="008225FB"/>
    <w:rsid w:val="0082267A"/>
    <w:rsid w:val="00822686"/>
    <w:rsid w:val="008226B7"/>
    <w:rsid w:val="008226D3"/>
    <w:rsid w:val="00822BF2"/>
    <w:rsid w:val="00822DB6"/>
    <w:rsid w:val="00822E76"/>
    <w:rsid w:val="00823133"/>
    <w:rsid w:val="00823631"/>
    <w:rsid w:val="008236E9"/>
    <w:rsid w:val="008239EE"/>
    <w:rsid w:val="00823AC0"/>
    <w:rsid w:val="00823B3F"/>
    <w:rsid w:val="00823C5F"/>
    <w:rsid w:val="00823D0A"/>
    <w:rsid w:val="00823D65"/>
    <w:rsid w:val="00823DEE"/>
    <w:rsid w:val="00823E39"/>
    <w:rsid w:val="00823F78"/>
    <w:rsid w:val="00823FF9"/>
    <w:rsid w:val="00824018"/>
    <w:rsid w:val="008240A7"/>
    <w:rsid w:val="008241DD"/>
    <w:rsid w:val="00824638"/>
    <w:rsid w:val="008247D3"/>
    <w:rsid w:val="00824885"/>
    <w:rsid w:val="00824AA3"/>
    <w:rsid w:val="00824C21"/>
    <w:rsid w:val="00824D1A"/>
    <w:rsid w:val="00824E8D"/>
    <w:rsid w:val="00825009"/>
    <w:rsid w:val="008256D2"/>
    <w:rsid w:val="008256F0"/>
    <w:rsid w:val="00825AB4"/>
    <w:rsid w:val="00825C18"/>
    <w:rsid w:val="00825D13"/>
    <w:rsid w:val="00826023"/>
    <w:rsid w:val="008262BC"/>
    <w:rsid w:val="008265B0"/>
    <w:rsid w:val="00826805"/>
    <w:rsid w:val="00826809"/>
    <w:rsid w:val="00826A16"/>
    <w:rsid w:val="00827159"/>
    <w:rsid w:val="0082775C"/>
    <w:rsid w:val="00827784"/>
    <w:rsid w:val="00827A04"/>
    <w:rsid w:val="00827EF9"/>
    <w:rsid w:val="0083000D"/>
    <w:rsid w:val="0083001C"/>
    <w:rsid w:val="00830146"/>
    <w:rsid w:val="008303B0"/>
    <w:rsid w:val="008303FE"/>
    <w:rsid w:val="008305DD"/>
    <w:rsid w:val="008305F8"/>
    <w:rsid w:val="00830A96"/>
    <w:rsid w:val="00830D56"/>
    <w:rsid w:val="0083116E"/>
    <w:rsid w:val="0083131C"/>
    <w:rsid w:val="008314C6"/>
    <w:rsid w:val="00831623"/>
    <w:rsid w:val="00831AFA"/>
    <w:rsid w:val="00831B31"/>
    <w:rsid w:val="00831C4E"/>
    <w:rsid w:val="00831DC1"/>
    <w:rsid w:val="00831E8B"/>
    <w:rsid w:val="00831F21"/>
    <w:rsid w:val="00831F83"/>
    <w:rsid w:val="00831FE9"/>
    <w:rsid w:val="008322A1"/>
    <w:rsid w:val="008322F9"/>
    <w:rsid w:val="008323D5"/>
    <w:rsid w:val="0083254A"/>
    <w:rsid w:val="008325FE"/>
    <w:rsid w:val="00832736"/>
    <w:rsid w:val="0083277A"/>
    <w:rsid w:val="00832C58"/>
    <w:rsid w:val="00832D03"/>
    <w:rsid w:val="00832DBB"/>
    <w:rsid w:val="00833098"/>
    <w:rsid w:val="008331ED"/>
    <w:rsid w:val="008336A5"/>
    <w:rsid w:val="008337E6"/>
    <w:rsid w:val="008339C4"/>
    <w:rsid w:val="00833A30"/>
    <w:rsid w:val="00833B87"/>
    <w:rsid w:val="008341B7"/>
    <w:rsid w:val="008342A0"/>
    <w:rsid w:val="00834382"/>
    <w:rsid w:val="008344EA"/>
    <w:rsid w:val="008345C3"/>
    <w:rsid w:val="008349B2"/>
    <w:rsid w:val="00834A2A"/>
    <w:rsid w:val="00834C53"/>
    <w:rsid w:val="00834CA7"/>
    <w:rsid w:val="00834CEB"/>
    <w:rsid w:val="00834E04"/>
    <w:rsid w:val="00834E3B"/>
    <w:rsid w:val="00834E7E"/>
    <w:rsid w:val="00834FF1"/>
    <w:rsid w:val="00835008"/>
    <w:rsid w:val="00835130"/>
    <w:rsid w:val="00835234"/>
    <w:rsid w:val="00835301"/>
    <w:rsid w:val="0083551F"/>
    <w:rsid w:val="0083558E"/>
    <w:rsid w:val="008357FA"/>
    <w:rsid w:val="00835AB7"/>
    <w:rsid w:val="00835BCA"/>
    <w:rsid w:val="00835C2E"/>
    <w:rsid w:val="00835F13"/>
    <w:rsid w:val="0083604E"/>
    <w:rsid w:val="008360D8"/>
    <w:rsid w:val="00836161"/>
    <w:rsid w:val="008361AD"/>
    <w:rsid w:val="0083630E"/>
    <w:rsid w:val="00836715"/>
    <w:rsid w:val="00836A0B"/>
    <w:rsid w:val="00836AC6"/>
    <w:rsid w:val="00836BCA"/>
    <w:rsid w:val="00836C27"/>
    <w:rsid w:val="00836D47"/>
    <w:rsid w:val="00836D74"/>
    <w:rsid w:val="00836E65"/>
    <w:rsid w:val="00836FCD"/>
    <w:rsid w:val="00837225"/>
    <w:rsid w:val="00837830"/>
    <w:rsid w:val="008378D3"/>
    <w:rsid w:val="0083792B"/>
    <w:rsid w:val="00837B91"/>
    <w:rsid w:val="00837D0A"/>
    <w:rsid w:val="00837D1E"/>
    <w:rsid w:val="00837D4E"/>
    <w:rsid w:val="00837D73"/>
    <w:rsid w:val="00837DC9"/>
    <w:rsid w:val="00840068"/>
    <w:rsid w:val="008400C1"/>
    <w:rsid w:val="0084016F"/>
    <w:rsid w:val="0084030B"/>
    <w:rsid w:val="008403FA"/>
    <w:rsid w:val="008404FC"/>
    <w:rsid w:val="00840530"/>
    <w:rsid w:val="008409D6"/>
    <w:rsid w:val="008410B6"/>
    <w:rsid w:val="008410E7"/>
    <w:rsid w:val="00841277"/>
    <w:rsid w:val="00841469"/>
    <w:rsid w:val="00841490"/>
    <w:rsid w:val="00841709"/>
    <w:rsid w:val="00841DC8"/>
    <w:rsid w:val="00841F8D"/>
    <w:rsid w:val="008420F0"/>
    <w:rsid w:val="0084210B"/>
    <w:rsid w:val="008421CE"/>
    <w:rsid w:val="008423FB"/>
    <w:rsid w:val="0084267F"/>
    <w:rsid w:val="008426AF"/>
    <w:rsid w:val="008426E1"/>
    <w:rsid w:val="008427EF"/>
    <w:rsid w:val="00842A69"/>
    <w:rsid w:val="00842A8F"/>
    <w:rsid w:val="00842AD1"/>
    <w:rsid w:val="00842CE9"/>
    <w:rsid w:val="00842D1F"/>
    <w:rsid w:val="00842FA8"/>
    <w:rsid w:val="0084304D"/>
    <w:rsid w:val="0084305A"/>
    <w:rsid w:val="00843223"/>
    <w:rsid w:val="00843318"/>
    <w:rsid w:val="0084358A"/>
    <w:rsid w:val="008435A3"/>
    <w:rsid w:val="00843832"/>
    <w:rsid w:val="0084385E"/>
    <w:rsid w:val="00843A66"/>
    <w:rsid w:val="00843C6C"/>
    <w:rsid w:val="00843CBA"/>
    <w:rsid w:val="00843D32"/>
    <w:rsid w:val="008443C0"/>
    <w:rsid w:val="00844530"/>
    <w:rsid w:val="0084474C"/>
    <w:rsid w:val="00844786"/>
    <w:rsid w:val="008447CE"/>
    <w:rsid w:val="00844A0A"/>
    <w:rsid w:val="00844A0B"/>
    <w:rsid w:val="008451DE"/>
    <w:rsid w:val="00845436"/>
    <w:rsid w:val="00845482"/>
    <w:rsid w:val="0084565B"/>
    <w:rsid w:val="008456AC"/>
    <w:rsid w:val="00845AF5"/>
    <w:rsid w:val="00845F30"/>
    <w:rsid w:val="0084617E"/>
    <w:rsid w:val="008462FC"/>
    <w:rsid w:val="008463FB"/>
    <w:rsid w:val="0084649E"/>
    <w:rsid w:val="008465F0"/>
    <w:rsid w:val="0084672B"/>
    <w:rsid w:val="00846A75"/>
    <w:rsid w:val="00846A98"/>
    <w:rsid w:val="00846AC4"/>
    <w:rsid w:val="00846F29"/>
    <w:rsid w:val="00847026"/>
    <w:rsid w:val="00847093"/>
    <w:rsid w:val="008471C2"/>
    <w:rsid w:val="00847546"/>
    <w:rsid w:val="00847825"/>
    <w:rsid w:val="008479E1"/>
    <w:rsid w:val="00847B5D"/>
    <w:rsid w:val="00847BDE"/>
    <w:rsid w:val="00847E9F"/>
    <w:rsid w:val="00847F98"/>
    <w:rsid w:val="008500B1"/>
    <w:rsid w:val="008503E9"/>
    <w:rsid w:val="008505C3"/>
    <w:rsid w:val="008506F0"/>
    <w:rsid w:val="0085072E"/>
    <w:rsid w:val="00850742"/>
    <w:rsid w:val="008507EB"/>
    <w:rsid w:val="008507FC"/>
    <w:rsid w:val="0085083A"/>
    <w:rsid w:val="00850842"/>
    <w:rsid w:val="00850AFF"/>
    <w:rsid w:val="00850B35"/>
    <w:rsid w:val="00850DFB"/>
    <w:rsid w:val="0085128B"/>
    <w:rsid w:val="008513C0"/>
    <w:rsid w:val="008515B7"/>
    <w:rsid w:val="008516FE"/>
    <w:rsid w:val="008520FA"/>
    <w:rsid w:val="008523E4"/>
    <w:rsid w:val="00852501"/>
    <w:rsid w:val="00852532"/>
    <w:rsid w:val="0085255A"/>
    <w:rsid w:val="00852800"/>
    <w:rsid w:val="00852BFA"/>
    <w:rsid w:val="00852C6A"/>
    <w:rsid w:val="00852C83"/>
    <w:rsid w:val="00853027"/>
    <w:rsid w:val="008530BA"/>
    <w:rsid w:val="008531EF"/>
    <w:rsid w:val="008531F3"/>
    <w:rsid w:val="00853436"/>
    <w:rsid w:val="00853528"/>
    <w:rsid w:val="00853536"/>
    <w:rsid w:val="008537B5"/>
    <w:rsid w:val="00853831"/>
    <w:rsid w:val="00853DAC"/>
    <w:rsid w:val="00853EAF"/>
    <w:rsid w:val="00853F4C"/>
    <w:rsid w:val="008540CB"/>
    <w:rsid w:val="00854276"/>
    <w:rsid w:val="008543F6"/>
    <w:rsid w:val="008545D4"/>
    <w:rsid w:val="00854641"/>
    <w:rsid w:val="00854695"/>
    <w:rsid w:val="008547BE"/>
    <w:rsid w:val="00854922"/>
    <w:rsid w:val="008549A8"/>
    <w:rsid w:val="00854BF6"/>
    <w:rsid w:val="00854C79"/>
    <w:rsid w:val="00854F3F"/>
    <w:rsid w:val="00855031"/>
    <w:rsid w:val="008550E4"/>
    <w:rsid w:val="00855151"/>
    <w:rsid w:val="0085520F"/>
    <w:rsid w:val="00855303"/>
    <w:rsid w:val="008554D1"/>
    <w:rsid w:val="00855821"/>
    <w:rsid w:val="00855A88"/>
    <w:rsid w:val="00855B37"/>
    <w:rsid w:val="00855C5A"/>
    <w:rsid w:val="00855CFD"/>
    <w:rsid w:val="00856345"/>
    <w:rsid w:val="00856551"/>
    <w:rsid w:val="008567F9"/>
    <w:rsid w:val="00856A35"/>
    <w:rsid w:val="00856F3D"/>
    <w:rsid w:val="00856F4E"/>
    <w:rsid w:val="00856FC1"/>
    <w:rsid w:val="0085704B"/>
    <w:rsid w:val="0085715F"/>
    <w:rsid w:val="008573DF"/>
    <w:rsid w:val="008576ED"/>
    <w:rsid w:val="00857A6E"/>
    <w:rsid w:val="00857E32"/>
    <w:rsid w:val="00857F6E"/>
    <w:rsid w:val="00860211"/>
    <w:rsid w:val="0086024C"/>
    <w:rsid w:val="008603FD"/>
    <w:rsid w:val="0086060E"/>
    <w:rsid w:val="008608E2"/>
    <w:rsid w:val="00860A95"/>
    <w:rsid w:val="00860D09"/>
    <w:rsid w:val="00860DC6"/>
    <w:rsid w:val="00860EB7"/>
    <w:rsid w:val="00860F88"/>
    <w:rsid w:val="00861067"/>
    <w:rsid w:val="0086126C"/>
    <w:rsid w:val="00861295"/>
    <w:rsid w:val="0086137D"/>
    <w:rsid w:val="008616B5"/>
    <w:rsid w:val="00861D69"/>
    <w:rsid w:val="00861EE8"/>
    <w:rsid w:val="00862585"/>
    <w:rsid w:val="00862634"/>
    <w:rsid w:val="008626BF"/>
    <w:rsid w:val="008627CE"/>
    <w:rsid w:val="0086294F"/>
    <w:rsid w:val="00862E48"/>
    <w:rsid w:val="00862F15"/>
    <w:rsid w:val="00862F8B"/>
    <w:rsid w:val="008630D6"/>
    <w:rsid w:val="0086313A"/>
    <w:rsid w:val="0086325B"/>
    <w:rsid w:val="00863481"/>
    <w:rsid w:val="0086355A"/>
    <w:rsid w:val="00863B17"/>
    <w:rsid w:val="00863F41"/>
    <w:rsid w:val="00864005"/>
    <w:rsid w:val="00864174"/>
    <w:rsid w:val="00864339"/>
    <w:rsid w:val="0086439E"/>
    <w:rsid w:val="008643A2"/>
    <w:rsid w:val="0086441B"/>
    <w:rsid w:val="0086496B"/>
    <w:rsid w:val="00864A7A"/>
    <w:rsid w:val="00864B64"/>
    <w:rsid w:val="00864BDF"/>
    <w:rsid w:val="00864D8F"/>
    <w:rsid w:val="00864F16"/>
    <w:rsid w:val="00865049"/>
    <w:rsid w:val="00865072"/>
    <w:rsid w:val="00865108"/>
    <w:rsid w:val="0086510F"/>
    <w:rsid w:val="008651D1"/>
    <w:rsid w:val="008653E2"/>
    <w:rsid w:val="0086581C"/>
    <w:rsid w:val="00865AB7"/>
    <w:rsid w:val="00865C9C"/>
    <w:rsid w:val="00865ECE"/>
    <w:rsid w:val="00866444"/>
    <w:rsid w:val="00866698"/>
    <w:rsid w:val="0086673C"/>
    <w:rsid w:val="00866BFD"/>
    <w:rsid w:val="00866C13"/>
    <w:rsid w:val="00866CDF"/>
    <w:rsid w:val="008673FB"/>
    <w:rsid w:val="008674DA"/>
    <w:rsid w:val="00867614"/>
    <w:rsid w:val="00867848"/>
    <w:rsid w:val="00867A20"/>
    <w:rsid w:val="00867E38"/>
    <w:rsid w:val="00870065"/>
    <w:rsid w:val="0087011A"/>
    <w:rsid w:val="00870130"/>
    <w:rsid w:val="00870811"/>
    <w:rsid w:val="00870B4C"/>
    <w:rsid w:val="00870B73"/>
    <w:rsid w:val="00870C3E"/>
    <w:rsid w:val="00870C98"/>
    <w:rsid w:val="00871051"/>
    <w:rsid w:val="008710E0"/>
    <w:rsid w:val="00871487"/>
    <w:rsid w:val="00871835"/>
    <w:rsid w:val="00871B42"/>
    <w:rsid w:val="00871C95"/>
    <w:rsid w:val="00871D37"/>
    <w:rsid w:val="00871D69"/>
    <w:rsid w:val="00871DC5"/>
    <w:rsid w:val="00871DD2"/>
    <w:rsid w:val="00871EE6"/>
    <w:rsid w:val="008722C8"/>
    <w:rsid w:val="008724C2"/>
    <w:rsid w:val="008724E0"/>
    <w:rsid w:val="008728BC"/>
    <w:rsid w:val="00872A42"/>
    <w:rsid w:val="00872ACD"/>
    <w:rsid w:val="00872CE8"/>
    <w:rsid w:val="00872D8C"/>
    <w:rsid w:val="00872E81"/>
    <w:rsid w:val="00872F5C"/>
    <w:rsid w:val="00873231"/>
    <w:rsid w:val="008733DF"/>
    <w:rsid w:val="00873424"/>
    <w:rsid w:val="0087364F"/>
    <w:rsid w:val="0087385A"/>
    <w:rsid w:val="00873C29"/>
    <w:rsid w:val="00873CA5"/>
    <w:rsid w:val="00873D32"/>
    <w:rsid w:val="00873F7E"/>
    <w:rsid w:val="008740E8"/>
    <w:rsid w:val="0087427E"/>
    <w:rsid w:val="008745C5"/>
    <w:rsid w:val="00874A42"/>
    <w:rsid w:val="00874B9C"/>
    <w:rsid w:val="00874E5E"/>
    <w:rsid w:val="00874F76"/>
    <w:rsid w:val="008750B1"/>
    <w:rsid w:val="0087516C"/>
    <w:rsid w:val="008751C0"/>
    <w:rsid w:val="0087593F"/>
    <w:rsid w:val="00875969"/>
    <w:rsid w:val="00875BD1"/>
    <w:rsid w:val="00875D3A"/>
    <w:rsid w:val="00875F7F"/>
    <w:rsid w:val="0087612C"/>
    <w:rsid w:val="008763F0"/>
    <w:rsid w:val="00876507"/>
    <w:rsid w:val="008766A9"/>
    <w:rsid w:val="0087673B"/>
    <w:rsid w:val="008767DE"/>
    <w:rsid w:val="00876B03"/>
    <w:rsid w:val="00876C54"/>
    <w:rsid w:val="00876D29"/>
    <w:rsid w:val="00876E7A"/>
    <w:rsid w:val="00876F0B"/>
    <w:rsid w:val="00876F6E"/>
    <w:rsid w:val="008771B8"/>
    <w:rsid w:val="008773E7"/>
    <w:rsid w:val="00877443"/>
    <w:rsid w:val="0087778C"/>
    <w:rsid w:val="00877B14"/>
    <w:rsid w:val="00877CDC"/>
    <w:rsid w:val="00877D05"/>
    <w:rsid w:val="00877DB4"/>
    <w:rsid w:val="00880251"/>
    <w:rsid w:val="00880257"/>
    <w:rsid w:val="008802D4"/>
    <w:rsid w:val="00880373"/>
    <w:rsid w:val="0088056D"/>
    <w:rsid w:val="008806AC"/>
    <w:rsid w:val="008809CC"/>
    <w:rsid w:val="008809EC"/>
    <w:rsid w:val="00880CC5"/>
    <w:rsid w:val="008811F7"/>
    <w:rsid w:val="00881506"/>
    <w:rsid w:val="008816B5"/>
    <w:rsid w:val="008819D8"/>
    <w:rsid w:val="00881A70"/>
    <w:rsid w:val="00881CBE"/>
    <w:rsid w:val="00881F64"/>
    <w:rsid w:val="00882016"/>
    <w:rsid w:val="00882125"/>
    <w:rsid w:val="00882637"/>
    <w:rsid w:val="00882686"/>
    <w:rsid w:val="00882961"/>
    <w:rsid w:val="00882A32"/>
    <w:rsid w:val="00882AEC"/>
    <w:rsid w:val="00882C1F"/>
    <w:rsid w:val="00882E4E"/>
    <w:rsid w:val="0088331C"/>
    <w:rsid w:val="00883424"/>
    <w:rsid w:val="0088350B"/>
    <w:rsid w:val="00883593"/>
    <w:rsid w:val="00883602"/>
    <w:rsid w:val="00883836"/>
    <w:rsid w:val="00883A0D"/>
    <w:rsid w:val="00883ADD"/>
    <w:rsid w:val="00883C5B"/>
    <w:rsid w:val="00883C8E"/>
    <w:rsid w:val="00883CE4"/>
    <w:rsid w:val="00883D75"/>
    <w:rsid w:val="00883DBB"/>
    <w:rsid w:val="00884031"/>
    <w:rsid w:val="008841BA"/>
    <w:rsid w:val="008841E4"/>
    <w:rsid w:val="00884428"/>
    <w:rsid w:val="00884491"/>
    <w:rsid w:val="008845D9"/>
    <w:rsid w:val="00884A3E"/>
    <w:rsid w:val="00884F7B"/>
    <w:rsid w:val="0088512B"/>
    <w:rsid w:val="008851D5"/>
    <w:rsid w:val="00885369"/>
    <w:rsid w:val="0088537C"/>
    <w:rsid w:val="008853D3"/>
    <w:rsid w:val="0088552A"/>
    <w:rsid w:val="00885639"/>
    <w:rsid w:val="00885673"/>
    <w:rsid w:val="00885685"/>
    <w:rsid w:val="008856C6"/>
    <w:rsid w:val="0088580C"/>
    <w:rsid w:val="00885C45"/>
    <w:rsid w:val="008861D9"/>
    <w:rsid w:val="008861EE"/>
    <w:rsid w:val="00886554"/>
    <w:rsid w:val="0088662F"/>
    <w:rsid w:val="00886B50"/>
    <w:rsid w:val="00886B79"/>
    <w:rsid w:val="00886C12"/>
    <w:rsid w:val="00886CD8"/>
    <w:rsid w:val="00886DE4"/>
    <w:rsid w:val="00886F3A"/>
    <w:rsid w:val="008870B9"/>
    <w:rsid w:val="008870FA"/>
    <w:rsid w:val="00887229"/>
    <w:rsid w:val="0088727F"/>
    <w:rsid w:val="00887364"/>
    <w:rsid w:val="00887880"/>
    <w:rsid w:val="00887AC0"/>
    <w:rsid w:val="00887B3B"/>
    <w:rsid w:val="00887B7E"/>
    <w:rsid w:val="00887CB7"/>
    <w:rsid w:val="00890158"/>
    <w:rsid w:val="008902FC"/>
    <w:rsid w:val="00890361"/>
    <w:rsid w:val="00890417"/>
    <w:rsid w:val="00890461"/>
    <w:rsid w:val="00890785"/>
    <w:rsid w:val="00891295"/>
    <w:rsid w:val="0089159B"/>
    <w:rsid w:val="0089159E"/>
    <w:rsid w:val="008915E8"/>
    <w:rsid w:val="008916EC"/>
    <w:rsid w:val="00891750"/>
    <w:rsid w:val="008919C1"/>
    <w:rsid w:val="00891AC5"/>
    <w:rsid w:val="00891C1E"/>
    <w:rsid w:val="00891D71"/>
    <w:rsid w:val="00891EC8"/>
    <w:rsid w:val="00891FAA"/>
    <w:rsid w:val="00892097"/>
    <w:rsid w:val="0089240A"/>
    <w:rsid w:val="00892451"/>
    <w:rsid w:val="008925BD"/>
    <w:rsid w:val="0089263A"/>
    <w:rsid w:val="0089296B"/>
    <w:rsid w:val="008929AE"/>
    <w:rsid w:val="00892EA8"/>
    <w:rsid w:val="00893018"/>
    <w:rsid w:val="0089355A"/>
    <w:rsid w:val="008938E4"/>
    <w:rsid w:val="00893AFC"/>
    <w:rsid w:val="00893C88"/>
    <w:rsid w:val="00893CC6"/>
    <w:rsid w:val="00893F23"/>
    <w:rsid w:val="00893F96"/>
    <w:rsid w:val="008944B8"/>
    <w:rsid w:val="008944BB"/>
    <w:rsid w:val="0089460F"/>
    <w:rsid w:val="008946D1"/>
    <w:rsid w:val="008948FB"/>
    <w:rsid w:val="008949F4"/>
    <w:rsid w:val="00894A78"/>
    <w:rsid w:val="00894D04"/>
    <w:rsid w:val="00895027"/>
    <w:rsid w:val="008951BB"/>
    <w:rsid w:val="008953CC"/>
    <w:rsid w:val="008954EB"/>
    <w:rsid w:val="00895518"/>
    <w:rsid w:val="008955D2"/>
    <w:rsid w:val="00895968"/>
    <w:rsid w:val="00895A20"/>
    <w:rsid w:val="00895B36"/>
    <w:rsid w:val="00895C39"/>
    <w:rsid w:val="00895D72"/>
    <w:rsid w:val="00895F76"/>
    <w:rsid w:val="008967A2"/>
    <w:rsid w:val="00896A55"/>
    <w:rsid w:val="00896AA7"/>
    <w:rsid w:val="00896B3A"/>
    <w:rsid w:val="00896BC3"/>
    <w:rsid w:val="00896E16"/>
    <w:rsid w:val="00896E95"/>
    <w:rsid w:val="00896FB5"/>
    <w:rsid w:val="0089705E"/>
    <w:rsid w:val="00897152"/>
    <w:rsid w:val="00897554"/>
    <w:rsid w:val="00897667"/>
    <w:rsid w:val="00897970"/>
    <w:rsid w:val="00897A05"/>
    <w:rsid w:val="00897A77"/>
    <w:rsid w:val="00897A88"/>
    <w:rsid w:val="00897BB4"/>
    <w:rsid w:val="00897D6C"/>
    <w:rsid w:val="00897FBA"/>
    <w:rsid w:val="00897FEE"/>
    <w:rsid w:val="008A014B"/>
    <w:rsid w:val="008A01E0"/>
    <w:rsid w:val="008A0529"/>
    <w:rsid w:val="008A0580"/>
    <w:rsid w:val="008A0909"/>
    <w:rsid w:val="008A0BCA"/>
    <w:rsid w:val="008A0E15"/>
    <w:rsid w:val="008A128D"/>
    <w:rsid w:val="008A1445"/>
    <w:rsid w:val="008A175C"/>
    <w:rsid w:val="008A1781"/>
    <w:rsid w:val="008A199F"/>
    <w:rsid w:val="008A1D0C"/>
    <w:rsid w:val="008A1DDD"/>
    <w:rsid w:val="008A1E10"/>
    <w:rsid w:val="008A1FE2"/>
    <w:rsid w:val="008A2149"/>
    <w:rsid w:val="008A2173"/>
    <w:rsid w:val="008A2252"/>
    <w:rsid w:val="008A2655"/>
    <w:rsid w:val="008A26EC"/>
    <w:rsid w:val="008A2800"/>
    <w:rsid w:val="008A2812"/>
    <w:rsid w:val="008A28D8"/>
    <w:rsid w:val="008A2B74"/>
    <w:rsid w:val="008A2F6B"/>
    <w:rsid w:val="008A30F3"/>
    <w:rsid w:val="008A31EB"/>
    <w:rsid w:val="008A324D"/>
    <w:rsid w:val="008A3324"/>
    <w:rsid w:val="008A34BC"/>
    <w:rsid w:val="008A3592"/>
    <w:rsid w:val="008A35D8"/>
    <w:rsid w:val="008A36BF"/>
    <w:rsid w:val="008A38FF"/>
    <w:rsid w:val="008A3E7A"/>
    <w:rsid w:val="008A40C3"/>
    <w:rsid w:val="008A41FC"/>
    <w:rsid w:val="008A4236"/>
    <w:rsid w:val="008A44A0"/>
    <w:rsid w:val="008A4922"/>
    <w:rsid w:val="008A49BB"/>
    <w:rsid w:val="008A4BAD"/>
    <w:rsid w:val="008A4C02"/>
    <w:rsid w:val="008A4D57"/>
    <w:rsid w:val="008A4D5D"/>
    <w:rsid w:val="008A5098"/>
    <w:rsid w:val="008A50BB"/>
    <w:rsid w:val="008A51C0"/>
    <w:rsid w:val="008A5413"/>
    <w:rsid w:val="008A58E0"/>
    <w:rsid w:val="008A5A5A"/>
    <w:rsid w:val="008A5EAD"/>
    <w:rsid w:val="008A5EF4"/>
    <w:rsid w:val="008A5F19"/>
    <w:rsid w:val="008A6049"/>
    <w:rsid w:val="008A615E"/>
    <w:rsid w:val="008A624B"/>
    <w:rsid w:val="008A64FD"/>
    <w:rsid w:val="008A67A8"/>
    <w:rsid w:val="008A69E3"/>
    <w:rsid w:val="008A6A59"/>
    <w:rsid w:val="008A6A5B"/>
    <w:rsid w:val="008A7032"/>
    <w:rsid w:val="008A70EE"/>
    <w:rsid w:val="008A7411"/>
    <w:rsid w:val="008A76AA"/>
    <w:rsid w:val="008A7765"/>
    <w:rsid w:val="008A780F"/>
    <w:rsid w:val="008A7831"/>
    <w:rsid w:val="008A7A41"/>
    <w:rsid w:val="008A7BB4"/>
    <w:rsid w:val="008A7BE2"/>
    <w:rsid w:val="008A7E3E"/>
    <w:rsid w:val="008A7F09"/>
    <w:rsid w:val="008B0006"/>
    <w:rsid w:val="008B0146"/>
    <w:rsid w:val="008B031C"/>
    <w:rsid w:val="008B04CD"/>
    <w:rsid w:val="008B0522"/>
    <w:rsid w:val="008B0631"/>
    <w:rsid w:val="008B0788"/>
    <w:rsid w:val="008B0991"/>
    <w:rsid w:val="008B0A74"/>
    <w:rsid w:val="008B0B7D"/>
    <w:rsid w:val="008B0FB3"/>
    <w:rsid w:val="008B1054"/>
    <w:rsid w:val="008B1455"/>
    <w:rsid w:val="008B14F1"/>
    <w:rsid w:val="008B170C"/>
    <w:rsid w:val="008B17EC"/>
    <w:rsid w:val="008B1978"/>
    <w:rsid w:val="008B1B5F"/>
    <w:rsid w:val="008B1B92"/>
    <w:rsid w:val="008B1C79"/>
    <w:rsid w:val="008B1CED"/>
    <w:rsid w:val="008B1E2D"/>
    <w:rsid w:val="008B1E88"/>
    <w:rsid w:val="008B1F1E"/>
    <w:rsid w:val="008B1F3A"/>
    <w:rsid w:val="008B2446"/>
    <w:rsid w:val="008B2448"/>
    <w:rsid w:val="008B2884"/>
    <w:rsid w:val="008B2B5B"/>
    <w:rsid w:val="008B2EE1"/>
    <w:rsid w:val="008B2FAA"/>
    <w:rsid w:val="008B3337"/>
    <w:rsid w:val="008B36DB"/>
    <w:rsid w:val="008B3860"/>
    <w:rsid w:val="008B399D"/>
    <w:rsid w:val="008B3B7C"/>
    <w:rsid w:val="008B3D20"/>
    <w:rsid w:val="008B439C"/>
    <w:rsid w:val="008B43B2"/>
    <w:rsid w:val="008B4410"/>
    <w:rsid w:val="008B4516"/>
    <w:rsid w:val="008B454F"/>
    <w:rsid w:val="008B4687"/>
    <w:rsid w:val="008B488C"/>
    <w:rsid w:val="008B4B31"/>
    <w:rsid w:val="008B4D79"/>
    <w:rsid w:val="008B4F69"/>
    <w:rsid w:val="008B5437"/>
    <w:rsid w:val="008B54A5"/>
    <w:rsid w:val="008B557B"/>
    <w:rsid w:val="008B5892"/>
    <w:rsid w:val="008B5CDE"/>
    <w:rsid w:val="008B5ED0"/>
    <w:rsid w:val="008B5F51"/>
    <w:rsid w:val="008B6805"/>
    <w:rsid w:val="008B69DF"/>
    <w:rsid w:val="008B6C84"/>
    <w:rsid w:val="008B6EFC"/>
    <w:rsid w:val="008B714D"/>
    <w:rsid w:val="008B7205"/>
    <w:rsid w:val="008B73A5"/>
    <w:rsid w:val="008B73EB"/>
    <w:rsid w:val="008B78B5"/>
    <w:rsid w:val="008B78BB"/>
    <w:rsid w:val="008B79D7"/>
    <w:rsid w:val="008B7B8E"/>
    <w:rsid w:val="008B7F47"/>
    <w:rsid w:val="008C0555"/>
    <w:rsid w:val="008C0586"/>
    <w:rsid w:val="008C059B"/>
    <w:rsid w:val="008C05E1"/>
    <w:rsid w:val="008C0638"/>
    <w:rsid w:val="008C0645"/>
    <w:rsid w:val="008C075F"/>
    <w:rsid w:val="008C0C16"/>
    <w:rsid w:val="008C0F13"/>
    <w:rsid w:val="008C0F57"/>
    <w:rsid w:val="008C0F75"/>
    <w:rsid w:val="008C0F90"/>
    <w:rsid w:val="008C10FF"/>
    <w:rsid w:val="008C1262"/>
    <w:rsid w:val="008C14B2"/>
    <w:rsid w:val="008C159D"/>
    <w:rsid w:val="008C15D6"/>
    <w:rsid w:val="008C1743"/>
    <w:rsid w:val="008C1885"/>
    <w:rsid w:val="008C1DE8"/>
    <w:rsid w:val="008C1E53"/>
    <w:rsid w:val="008C1F8E"/>
    <w:rsid w:val="008C22AA"/>
    <w:rsid w:val="008C22B1"/>
    <w:rsid w:val="008C259D"/>
    <w:rsid w:val="008C2637"/>
    <w:rsid w:val="008C278E"/>
    <w:rsid w:val="008C296D"/>
    <w:rsid w:val="008C2A80"/>
    <w:rsid w:val="008C2AA2"/>
    <w:rsid w:val="008C2B7C"/>
    <w:rsid w:val="008C2D70"/>
    <w:rsid w:val="008C2DA7"/>
    <w:rsid w:val="008C3296"/>
    <w:rsid w:val="008C32EC"/>
    <w:rsid w:val="008C32EE"/>
    <w:rsid w:val="008C32F2"/>
    <w:rsid w:val="008C33C1"/>
    <w:rsid w:val="008C33EA"/>
    <w:rsid w:val="008C347B"/>
    <w:rsid w:val="008C3669"/>
    <w:rsid w:val="008C374C"/>
    <w:rsid w:val="008C392E"/>
    <w:rsid w:val="008C3A7F"/>
    <w:rsid w:val="008C3AB7"/>
    <w:rsid w:val="008C3C49"/>
    <w:rsid w:val="008C4036"/>
    <w:rsid w:val="008C4092"/>
    <w:rsid w:val="008C4250"/>
    <w:rsid w:val="008C448F"/>
    <w:rsid w:val="008C4729"/>
    <w:rsid w:val="008C491F"/>
    <w:rsid w:val="008C49B6"/>
    <w:rsid w:val="008C5414"/>
    <w:rsid w:val="008C5712"/>
    <w:rsid w:val="008C5825"/>
    <w:rsid w:val="008C5879"/>
    <w:rsid w:val="008C58F6"/>
    <w:rsid w:val="008C5C6C"/>
    <w:rsid w:val="008C6113"/>
    <w:rsid w:val="008C6115"/>
    <w:rsid w:val="008C6247"/>
    <w:rsid w:val="008C63ED"/>
    <w:rsid w:val="008C64F5"/>
    <w:rsid w:val="008C66FC"/>
    <w:rsid w:val="008C6745"/>
    <w:rsid w:val="008C6843"/>
    <w:rsid w:val="008C6998"/>
    <w:rsid w:val="008C7298"/>
    <w:rsid w:val="008C7444"/>
    <w:rsid w:val="008C76A0"/>
    <w:rsid w:val="008C78CA"/>
    <w:rsid w:val="008C790F"/>
    <w:rsid w:val="008C7A20"/>
    <w:rsid w:val="008C7DCD"/>
    <w:rsid w:val="008C7E41"/>
    <w:rsid w:val="008D0077"/>
    <w:rsid w:val="008D0454"/>
    <w:rsid w:val="008D0EBB"/>
    <w:rsid w:val="008D0FB8"/>
    <w:rsid w:val="008D113E"/>
    <w:rsid w:val="008D11B4"/>
    <w:rsid w:val="008D11FC"/>
    <w:rsid w:val="008D1261"/>
    <w:rsid w:val="008D153B"/>
    <w:rsid w:val="008D1547"/>
    <w:rsid w:val="008D17C6"/>
    <w:rsid w:val="008D19DD"/>
    <w:rsid w:val="008D1AA3"/>
    <w:rsid w:val="008D1AA4"/>
    <w:rsid w:val="008D1B48"/>
    <w:rsid w:val="008D1C29"/>
    <w:rsid w:val="008D1DEF"/>
    <w:rsid w:val="008D1E52"/>
    <w:rsid w:val="008D1FFB"/>
    <w:rsid w:val="008D20B9"/>
    <w:rsid w:val="008D2215"/>
    <w:rsid w:val="008D2410"/>
    <w:rsid w:val="008D24FC"/>
    <w:rsid w:val="008D253E"/>
    <w:rsid w:val="008D25DE"/>
    <w:rsid w:val="008D2694"/>
    <w:rsid w:val="008D2835"/>
    <w:rsid w:val="008D2A51"/>
    <w:rsid w:val="008D2B3E"/>
    <w:rsid w:val="008D32E9"/>
    <w:rsid w:val="008D36B2"/>
    <w:rsid w:val="008D371C"/>
    <w:rsid w:val="008D3DA6"/>
    <w:rsid w:val="008D3E7F"/>
    <w:rsid w:val="008D4036"/>
    <w:rsid w:val="008D4085"/>
    <w:rsid w:val="008D40FC"/>
    <w:rsid w:val="008D4182"/>
    <w:rsid w:val="008D418E"/>
    <w:rsid w:val="008D43ED"/>
    <w:rsid w:val="008D491E"/>
    <w:rsid w:val="008D49A0"/>
    <w:rsid w:val="008D4F12"/>
    <w:rsid w:val="008D50C3"/>
    <w:rsid w:val="008D50F9"/>
    <w:rsid w:val="008D5116"/>
    <w:rsid w:val="008D51CA"/>
    <w:rsid w:val="008D550A"/>
    <w:rsid w:val="008D5657"/>
    <w:rsid w:val="008D56F0"/>
    <w:rsid w:val="008D5BB6"/>
    <w:rsid w:val="008D5DD5"/>
    <w:rsid w:val="008D5E73"/>
    <w:rsid w:val="008D5E8B"/>
    <w:rsid w:val="008D61E1"/>
    <w:rsid w:val="008D66D9"/>
    <w:rsid w:val="008D695A"/>
    <w:rsid w:val="008D71F0"/>
    <w:rsid w:val="008D7247"/>
    <w:rsid w:val="008D73A3"/>
    <w:rsid w:val="008D7440"/>
    <w:rsid w:val="008D7778"/>
    <w:rsid w:val="008D77BA"/>
    <w:rsid w:val="008D78DC"/>
    <w:rsid w:val="008D79BC"/>
    <w:rsid w:val="008D7A2B"/>
    <w:rsid w:val="008D7CC0"/>
    <w:rsid w:val="008D7FF3"/>
    <w:rsid w:val="008E000E"/>
    <w:rsid w:val="008E00E4"/>
    <w:rsid w:val="008E01FC"/>
    <w:rsid w:val="008E0217"/>
    <w:rsid w:val="008E02C5"/>
    <w:rsid w:val="008E02FA"/>
    <w:rsid w:val="008E06D9"/>
    <w:rsid w:val="008E0881"/>
    <w:rsid w:val="008E08A7"/>
    <w:rsid w:val="008E08C3"/>
    <w:rsid w:val="008E09AA"/>
    <w:rsid w:val="008E0A13"/>
    <w:rsid w:val="008E0A91"/>
    <w:rsid w:val="008E0BBF"/>
    <w:rsid w:val="008E0D6A"/>
    <w:rsid w:val="008E0D79"/>
    <w:rsid w:val="008E0D96"/>
    <w:rsid w:val="008E0DF7"/>
    <w:rsid w:val="008E0E61"/>
    <w:rsid w:val="008E0F85"/>
    <w:rsid w:val="008E11CE"/>
    <w:rsid w:val="008E136B"/>
    <w:rsid w:val="008E1402"/>
    <w:rsid w:val="008E1745"/>
    <w:rsid w:val="008E1A5E"/>
    <w:rsid w:val="008E1DC8"/>
    <w:rsid w:val="008E1E8C"/>
    <w:rsid w:val="008E1EFA"/>
    <w:rsid w:val="008E20D3"/>
    <w:rsid w:val="008E22F9"/>
    <w:rsid w:val="008E231F"/>
    <w:rsid w:val="008E3047"/>
    <w:rsid w:val="008E312C"/>
    <w:rsid w:val="008E331F"/>
    <w:rsid w:val="008E34C8"/>
    <w:rsid w:val="008E3548"/>
    <w:rsid w:val="008E3651"/>
    <w:rsid w:val="008E3734"/>
    <w:rsid w:val="008E376E"/>
    <w:rsid w:val="008E3875"/>
    <w:rsid w:val="008E3999"/>
    <w:rsid w:val="008E3A0A"/>
    <w:rsid w:val="008E3A58"/>
    <w:rsid w:val="008E3A5B"/>
    <w:rsid w:val="008E3D14"/>
    <w:rsid w:val="008E3DF2"/>
    <w:rsid w:val="008E3E07"/>
    <w:rsid w:val="008E3E21"/>
    <w:rsid w:val="008E4040"/>
    <w:rsid w:val="008E4229"/>
    <w:rsid w:val="008E4325"/>
    <w:rsid w:val="008E497F"/>
    <w:rsid w:val="008E49EB"/>
    <w:rsid w:val="008E4CE1"/>
    <w:rsid w:val="008E4D4A"/>
    <w:rsid w:val="008E4D78"/>
    <w:rsid w:val="008E504E"/>
    <w:rsid w:val="008E50E0"/>
    <w:rsid w:val="008E5137"/>
    <w:rsid w:val="008E5223"/>
    <w:rsid w:val="008E52B9"/>
    <w:rsid w:val="008E54A7"/>
    <w:rsid w:val="008E54F0"/>
    <w:rsid w:val="008E560C"/>
    <w:rsid w:val="008E561D"/>
    <w:rsid w:val="008E57A7"/>
    <w:rsid w:val="008E5895"/>
    <w:rsid w:val="008E58B4"/>
    <w:rsid w:val="008E5B71"/>
    <w:rsid w:val="008E5C5F"/>
    <w:rsid w:val="008E5FD6"/>
    <w:rsid w:val="008E6107"/>
    <w:rsid w:val="008E6403"/>
    <w:rsid w:val="008E6494"/>
    <w:rsid w:val="008E65CA"/>
    <w:rsid w:val="008E68D9"/>
    <w:rsid w:val="008E68E0"/>
    <w:rsid w:val="008E6E53"/>
    <w:rsid w:val="008E6F08"/>
    <w:rsid w:val="008E6F60"/>
    <w:rsid w:val="008E72F9"/>
    <w:rsid w:val="008E739F"/>
    <w:rsid w:val="008E74DA"/>
    <w:rsid w:val="008E77D4"/>
    <w:rsid w:val="008E78E9"/>
    <w:rsid w:val="008E79D6"/>
    <w:rsid w:val="008E7A69"/>
    <w:rsid w:val="008E7B7C"/>
    <w:rsid w:val="008E7BA3"/>
    <w:rsid w:val="008E7BD1"/>
    <w:rsid w:val="008E7BFA"/>
    <w:rsid w:val="008E7DC1"/>
    <w:rsid w:val="008F04A4"/>
    <w:rsid w:val="008F0585"/>
    <w:rsid w:val="008F0647"/>
    <w:rsid w:val="008F078B"/>
    <w:rsid w:val="008F07B1"/>
    <w:rsid w:val="008F08E3"/>
    <w:rsid w:val="008F09C2"/>
    <w:rsid w:val="008F09E6"/>
    <w:rsid w:val="008F0ACB"/>
    <w:rsid w:val="008F0C19"/>
    <w:rsid w:val="008F0DF0"/>
    <w:rsid w:val="008F0EBA"/>
    <w:rsid w:val="008F1063"/>
    <w:rsid w:val="008F108E"/>
    <w:rsid w:val="008F120F"/>
    <w:rsid w:val="008F1296"/>
    <w:rsid w:val="008F144F"/>
    <w:rsid w:val="008F1517"/>
    <w:rsid w:val="008F16A5"/>
    <w:rsid w:val="008F1908"/>
    <w:rsid w:val="008F1A1A"/>
    <w:rsid w:val="008F1B42"/>
    <w:rsid w:val="008F1E59"/>
    <w:rsid w:val="008F1F93"/>
    <w:rsid w:val="008F1FA1"/>
    <w:rsid w:val="008F2A2C"/>
    <w:rsid w:val="008F2D54"/>
    <w:rsid w:val="008F2FF5"/>
    <w:rsid w:val="008F31D7"/>
    <w:rsid w:val="008F3366"/>
    <w:rsid w:val="008F35FC"/>
    <w:rsid w:val="008F3704"/>
    <w:rsid w:val="008F37C0"/>
    <w:rsid w:val="008F37C9"/>
    <w:rsid w:val="008F3D9E"/>
    <w:rsid w:val="008F3E45"/>
    <w:rsid w:val="008F405A"/>
    <w:rsid w:val="008F4318"/>
    <w:rsid w:val="008F43A3"/>
    <w:rsid w:val="008F43D9"/>
    <w:rsid w:val="008F497A"/>
    <w:rsid w:val="008F4B3F"/>
    <w:rsid w:val="008F4DF1"/>
    <w:rsid w:val="008F4E61"/>
    <w:rsid w:val="008F4E8F"/>
    <w:rsid w:val="008F5029"/>
    <w:rsid w:val="008F5103"/>
    <w:rsid w:val="008F52A1"/>
    <w:rsid w:val="008F55B1"/>
    <w:rsid w:val="008F5794"/>
    <w:rsid w:val="008F592F"/>
    <w:rsid w:val="008F5984"/>
    <w:rsid w:val="008F5AE1"/>
    <w:rsid w:val="008F5B25"/>
    <w:rsid w:val="008F5BA3"/>
    <w:rsid w:val="008F5CDF"/>
    <w:rsid w:val="008F5E33"/>
    <w:rsid w:val="008F5E8E"/>
    <w:rsid w:val="008F5F42"/>
    <w:rsid w:val="008F5FAB"/>
    <w:rsid w:val="008F6087"/>
    <w:rsid w:val="008F63C5"/>
    <w:rsid w:val="008F63DE"/>
    <w:rsid w:val="008F6738"/>
    <w:rsid w:val="008F69F4"/>
    <w:rsid w:val="008F6CEF"/>
    <w:rsid w:val="008F713B"/>
    <w:rsid w:val="008F7208"/>
    <w:rsid w:val="008F74D0"/>
    <w:rsid w:val="008F7550"/>
    <w:rsid w:val="008F75B2"/>
    <w:rsid w:val="008F7609"/>
    <w:rsid w:val="008F76D3"/>
    <w:rsid w:val="008F782C"/>
    <w:rsid w:val="008F783F"/>
    <w:rsid w:val="008F787E"/>
    <w:rsid w:val="008F7978"/>
    <w:rsid w:val="008F7C3A"/>
    <w:rsid w:val="008F7CE8"/>
    <w:rsid w:val="008F7D0D"/>
    <w:rsid w:val="008F7D59"/>
    <w:rsid w:val="00900306"/>
    <w:rsid w:val="009003D3"/>
    <w:rsid w:val="00900533"/>
    <w:rsid w:val="00900896"/>
    <w:rsid w:val="00900B22"/>
    <w:rsid w:val="00900BC2"/>
    <w:rsid w:val="00900D5A"/>
    <w:rsid w:val="00900DE7"/>
    <w:rsid w:val="00900E51"/>
    <w:rsid w:val="00900E87"/>
    <w:rsid w:val="00900F67"/>
    <w:rsid w:val="00900FD0"/>
    <w:rsid w:val="00901089"/>
    <w:rsid w:val="009014FF"/>
    <w:rsid w:val="009015BB"/>
    <w:rsid w:val="00901A0A"/>
    <w:rsid w:val="00901A72"/>
    <w:rsid w:val="00901A8F"/>
    <w:rsid w:val="00901C22"/>
    <w:rsid w:val="00901E7A"/>
    <w:rsid w:val="00902017"/>
    <w:rsid w:val="00902133"/>
    <w:rsid w:val="0090213D"/>
    <w:rsid w:val="0090243D"/>
    <w:rsid w:val="00902488"/>
    <w:rsid w:val="0090297B"/>
    <w:rsid w:val="009029CD"/>
    <w:rsid w:val="00902A8C"/>
    <w:rsid w:val="00902B65"/>
    <w:rsid w:val="00902F1D"/>
    <w:rsid w:val="00903267"/>
    <w:rsid w:val="0090351B"/>
    <w:rsid w:val="009035A6"/>
    <w:rsid w:val="0090360A"/>
    <w:rsid w:val="009036AA"/>
    <w:rsid w:val="009036BB"/>
    <w:rsid w:val="0090385F"/>
    <w:rsid w:val="00903A29"/>
    <w:rsid w:val="00903A48"/>
    <w:rsid w:val="00903ABB"/>
    <w:rsid w:val="00903B15"/>
    <w:rsid w:val="00903E1C"/>
    <w:rsid w:val="00903E44"/>
    <w:rsid w:val="00903FD7"/>
    <w:rsid w:val="009040D1"/>
    <w:rsid w:val="009041A9"/>
    <w:rsid w:val="00904359"/>
    <w:rsid w:val="0090443E"/>
    <w:rsid w:val="00904463"/>
    <w:rsid w:val="009044C1"/>
    <w:rsid w:val="009045AA"/>
    <w:rsid w:val="00904873"/>
    <w:rsid w:val="009049BF"/>
    <w:rsid w:val="00904B9F"/>
    <w:rsid w:val="00904CF5"/>
    <w:rsid w:val="00904D65"/>
    <w:rsid w:val="00904E76"/>
    <w:rsid w:val="0090513A"/>
    <w:rsid w:val="00905293"/>
    <w:rsid w:val="009052EE"/>
    <w:rsid w:val="00905337"/>
    <w:rsid w:val="009053F6"/>
    <w:rsid w:val="009054C1"/>
    <w:rsid w:val="009054E2"/>
    <w:rsid w:val="009058D1"/>
    <w:rsid w:val="009058FD"/>
    <w:rsid w:val="0090591C"/>
    <w:rsid w:val="00905BFB"/>
    <w:rsid w:val="00905D26"/>
    <w:rsid w:val="00905DBC"/>
    <w:rsid w:val="00905DFE"/>
    <w:rsid w:val="00905FDD"/>
    <w:rsid w:val="00905FE2"/>
    <w:rsid w:val="00905FF7"/>
    <w:rsid w:val="00906261"/>
    <w:rsid w:val="0090628E"/>
    <w:rsid w:val="00906975"/>
    <w:rsid w:val="00906B3C"/>
    <w:rsid w:val="00906BE6"/>
    <w:rsid w:val="00906CEF"/>
    <w:rsid w:val="00906D2A"/>
    <w:rsid w:val="00906E1A"/>
    <w:rsid w:val="00906F13"/>
    <w:rsid w:val="00907300"/>
    <w:rsid w:val="00907349"/>
    <w:rsid w:val="009075B3"/>
    <w:rsid w:val="009075BF"/>
    <w:rsid w:val="009076D7"/>
    <w:rsid w:val="0090770F"/>
    <w:rsid w:val="0090775C"/>
    <w:rsid w:val="00907834"/>
    <w:rsid w:val="009079B5"/>
    <w:rsid w:val="00907A38"/>
    <w:rsid w:val="00907C26"/>
    <w:rsid w:val="00907CF2"/>
    <w:rsid w:val="00907EEF"/>
    <w:rsid w:val="00907F30"/>
    <w:rsid w:val="00910012"/>
    <w:rsid w:val="009106C8"/>
    <w:rsid w:val="00910849"/>
    <w:rsid w:val="00910A94"/>
    <w:rsid w:val="00910B86"/>
    <w:rsid w:val="00911075"/>
    <w:rsid w:val="00911094"/>
    <w:rsid w:val="0091133C"/>
    <w:rsid w:val="0091146A"/>
    <w:rsid w:val="0091153C"/>
    <w:rsid w:val="00911949"/>
    <w:rsid w:val="009119CD"/>
    <w:rsid w:val="00911D45"/>
    <w:rsid w:val="00911E0D"/>
    <w:rsid w:val="00911E20"/>
    <w:rsid w:val="00911E3B"/>
    <w:rsid w:val="009123E3"/>
    <w:rsid w:val="00912669"/>
    <w:rsid w:val="009127B5"/>
    <w:rsid w:val="0091334D"/>
    <w:rsid w:val="00913367"/>
    <w:rsid w:val="00913536"/>
    <w:rsid w:val="00913711"/>
    <w:rsid w:val="00913767"/>
    <w:rsid w:val="00913CC2"/>
    <w:rsid w:val="00913E06"/>
    <w:rsid w:val="009141DF"/>
    <w:rsid w:val="00914949"/>
    <w:rsid w:val="00914998"/>
    <w:rsid w:val="00914EA5"/>
    <w:rsid w:val="00915111"/>
    <w:rsid w:val="009152B1"/>
    <w:rsid w:val="00915869"/>
    <w:rsid w:val="0091590B"/>
    <w:rsid w:val="00915DF2"/>
    <w:rsid w:val="00915F91"/>
    <w:rsid w:val="00916065"/>
    <w:rsid w:val="009161B6"/>
    <w:rsid w:val="00916274"/>
    <w:rsid w:val="009163D0"/>
    <w:rsid w:val="00916742"/>
    <w:rsid w:val="0091675E"/>
    <w:rsid w:val="0091680F"/>
    <w:rsid w:val="00916A2A"/>
    <w:rsid w:val="00916B68"/>
    <w:rsid w:val="00916BCD"/>
    <w:rsid w:val="00916C5C"/>
    <w:rsid w:val="009171A1"/>
    <w:rsid w:val="00917210"/>
    <w:rsid w:val="0091726C"/>
    <w:rsid w:val="009174F8"/>
    <w:rsid w:val="009176F0"/>
    <w:rsid w:val="009176FF"/>
    <w:rsid w:val="009179F7"/>
    <w:rsid w:val="00917A6A"/>
    <w:rsid w:val="00917AF3"/>
    <w:rsid w:val="00917C35"/>
    <w:rsid w:val="00917C51"/>
    <w:rsid w:val="00917CEE"/>
    <w:rsid w:val="00917FCD"/>
    <w:rsid w:val="009201BB"/>
    <w:rsid w:val="00920276"/>
    <w:rsid w:val="009202DC"/>
    <w:rsid w:val="00920490"/>
    <w:rsid w:val="009204BD"/>
    <w:rsid w:val="00920652"/>
    <w:rsid w:val="00920938"/>
    <w:rsid w:val="009209CF"/>
    <w:rsid w:val="00920C2B"/>
    <w:rsid w:val="00920DA6"/>
    <w:rsid w:val="00920FE0"/>
    <w:rsid w:val="00921177"/>
    <w:rsid w:val="009211E5"/>
    <w:rsid w:val="009214E8"/>
    <w:rsid w:val="00921A55"/>
    <w:rsid w:val="00921DFC"/>
    <w:rsid w:val="0092211F"/>
    <w:rsid w:val="0092217F"/>
    <w:rsid w:val="00922264"/>
    <w:rsid w:val="00922302"/>
    <w:rsid w:val="0092261C"/>
    <w:rsid w:val="009228D1"/>
    <w:rsid w:val="00922949"/>
    <w:rsid w:val="00922A26"/>
    <w:rsid w:val="00922AC6"/>
    <w:rsid w:val="00922B67"/>
    <w:rsid w:val="00922D4E"/>
    <w:rsid w:val="00922E86"/>
    <w:rsid w:val="00923006"/>
    <w:rsid w:val="009232D7"/>
    <w:rsid w:val="00923432"/>
    <w:rsid w:val="00923472"/>
    <w:rsid w:val="009234E0"/>
    <w:rsid w:val="009235C4"/>
    <w:rsid w:val="0092383E"/>
    <w:rsid w:val="0092387A"/>
    <w:rsid w:val="00923AB6"/>
    <w:rsid w:val="00923ACF"/>
    <w:rsid w:val="00923E46"/>
    <w:rsid w:val="0092411E"/>
    <w:rsid w:val="009241C2"/>
    <w:rsid w:val="009241EB"/>
    <w:rsid w:val="0092424C"/>
    <w:rsid w:val="00924729"/>
    <w:rsid w:val="00924915"/>
    <w:rsid w:val="0092492F"/>
    <w:rsid w:val="00925064"/>
    <w:rsid w:val="00925091"/>
    <w:rsid w:val="009250F8"/>
    <w:rsid w:val="009251F0"/>
    <w:rsid w:val="009251FA"/>
    <w:rsid w:val="00925250"/>
    <w:rsid w:val="0092526C"/>
    <w:rsid w:val="009254CB"/>
    <w:rsid w:val="00925675"/>
    <w:rsid w:val="00925978"/>
    <w:rsid w:val="009259E8"/>
    <w:rsid w:val="00925A3A"/>
    <w:rsid w:val="00925B32"/>
    <w:rsid w:val="00925C19"/>
    <w:rsid w:val="00925C2B"/>
    <w:rsid w:val="00925C3D"/>
    <w:rsid w:val="00925C4D"/>
    <w:rsid w:val="00925E0F"/>
    <w:rsid w:val="00925E6B"/>
    <w:rsid w:val="00925F54"/>
    <w:rsid w:val="00925FA0"/>
    <w:rsid w:val="0092616F"/>
    <w:rsid w:val="00926306"/>
    <w:rsid w:val="009267C6"/>
    <w:rsid w:val="009268FC"/>
    <w:rsid w:val="00926D33"/>
    <w:rsid w:val="00927282"/>
    <w:rsid w:val="009276DF"/>
    <w:rsid w:val="00927E86"/>
    <w:rsid w:val="00930007"/>
    <w:rsid w:val="00930120"/>
    <w:rsid w:val="009302C0"/>
    <w:rsid w:val="009305C8"/>
    <w:rsid w:val="00930784"/>
    <w:rsid w:val="0093086E"/>
    <w:rsid w:val="009308F4"/>
    <w:rsid w:val="00930B71"/>
    <w:rsid w:val="00930DDF"/>
    <w:rsid w:val="00930E5F"/>
    <w:rsid w:val="00930E7F"/>
    <w:rsid w:val="00931320"/>
    <w:rsid w:val="009316A7"/>
    <w:rsid w:val="00931808"/>
    <w:rsid w:val="00931952"/>
    <w:rsid w:val="00931ED2"/>
    <w:rsid w:val="00932166"/>
    <w:rsid w:val="009322D4"/>
    <w:rsid w:val="00932301"/>
    <w:rsid w:val="0093254A"/>
    <w:rsid w:val="00932555"/>
    <w:rsid w:val="0093275A"/>
    <w:rsid w:val="0093280D"/>
    <w:rsid w:val="0093280F"/>
    <w:rsid w:val="009328FB"/>
    <w:rsid w:val="00932962"/>
    <w:rsid w:val="00932973"/>
    <w:rsid w:val="00932B74"/>
    <w:rsid w:val="00932E32"/>
    <w:rsid w:val="00932E48"/>
    <w:rsid w:val="009336A3"/>
    <w:rsid w:val="00933966"/>
    <w:rsid w:val="009339FE"/>
    <w:rsid w:val="00933AE6"/>
    <w:rsid w:val="00933DB2"/>
    <w:rsid w:val="00933E06"/>
    <w:rsid w:val="00933F10"/>
    <w:rsid w:val="00933F78"/>
    <w:rsid w:val="009340F6"/>
    <w:rsid w:val="009341DC"/>
    <w:rsid w:val="00934480"/>
    <w:rsid w:val="00934487"/>
    <w:rsid w:val="0093450C"/>
    <w:rsid w:val="00934620"/>
    <w:rsid w:val="009346B1"/>
    <w:rsid w:val="009346EC"/>
    <w:rsid w:val="009349BE"/>
    <w:rsid w:val="00934A29"/>
    <w:rsid w:val="00934ADF"/>
    <w:rsid w:val="00934CFB"/>
    <w:rsid w:val="00934D06"/>
    <w:rsid w:val="00934DFF"/>
    <w:rsid w:val="00934E9D"/>
    <w:rsid w:val="00934F71"/>
    <w:rsid w:val="009351B7"/>
    <w:rsid w:val="009351D6"/>
    <w:rsid w:val="009352C7"/>
    <w:rsid w:val="00935475"/>
    <w:rsid w:val="009354BB"/>
    <w:rsid w:val="00935596"/>
    <w:rsid w:val="009355D4"/>
    <w:rsid w:val="009357E7"/>
    <w:rsid w:val="00935B00"/>
    <w:rsid w:val="00935ED0"/>
    <w:rsid w:val="00935F43"/>
    <w:rsid w:val="0093621A"/>
    <w:rsid w:val="00936356"/>
    <w:rsid w:val="009364A0"/>
    <w:rsid w:val="009364F6"/>
    <w:rsid w:val="009365D5"/>
    <w:rsid w:val="009365E4"/>
    <w:rsid w:val="00936670"/>
    <w:rsid w:val="00936678"/>
    <w:rsid w:val="009367F4"/>
    <w:rsid w:val="00936832"/>
    <w:rsid w:val="00936951"/>
    <w:rsid w:val="00936BFC"/>
    <w:rsid w:val="00936C60"/>
    <w:rsid w:val="00936D08"/>
    <w:rsid w:val="00936D0C"/>
    <w:rsid w:val="00936E50"/>
    <w:rsid w:val="00936FB1"/>
    <w:rsid w:val="009371DA"/>
    <w:rsid w:val="00937381"/>
    <w:rsid w:val="0093756E"/>
    <w:rsid w:val="00937586"/>
    <w:rsid w:val="00937625"/>
    <w:rsid w:val="00937650"/>
    <w:rsid w:val="009376B4"/>
    <w:rsid w:val="00937705"/>
    <w:rsid w:val="00937AB7"/>
    <w:rsid w:val="00937DD4"/>
    <w:rsid w:val="00940108"/>
    <w:rsid w:val="00940139"/>
    <w:rsid w:val="009404D0"/>
    <w:rsid w:val="00940511"/>
    <w:rsid w:val="0094079F"/>
    <w:rsid w:val="0094092A"/>
    <w:rsid w:val="00940B63"/>
    <w:rsid w:val="00940E30"/>
    <w:rsid w:val="00940F7B"/>
    <w:rsid w:val="00940FC7"/>
    <w:rsid w:val="00940FCF"/>
    <w:rsid w:val="0094119E"/>
    <w:rsid w:val="009411F7"/>
    <w:rsid w:val="009412C7"/>
    <w:rsid w:val="009414F9"/>
    <w:rsid w:val="0094161F"/>
    <w:rsid w:val="00941623"/>
    <w:rsid w:val="009418A9"/>
    <w:rsid w:val="00941AA6"/>
    <w:rsid w:val="00941B84"/>
    <w:rsid w:val="00941C84"/>
    <w:rsid w:val="00941DB7"/>
    <w:rsid w:val="00941F93"/>
    <w:rsid w:val="00941FC8"/>
    <w:rsid w:val="00942155"/>
    <w:rsid w:val="0094242F"/>
    <w:rsid w:val="0094263F"/>
    <w:rsid w:val="0094295E"/>
    <w:rsid w:val="00942D43"/>
    <w:rsid w:val="00942F48"/>
    <w:rsid w:val="009436FA"/>
    <w:rsid w:val="00943931"/>
    <w:rsid w:val="0094399D"/>
    <w:rsid w:val="009439B5"/>
    <w:rsid w:val="00943BF8"/>
    <w:rsid w:val="00943D78"/>
    <w:rsid w:val="00943F6A"/>
    <w:rsid w:val="00943FDC"/>
    <w:rsid w:val="0094424B"/>
    <w:rsid w:val="0094437E"/>
    <w:rsid w:val="00944495"/>
    <w:rsid w:val="00944897"/>
    <w:rsid w:val="009448E7"/>
    <w:rsid w:val="00944A7F"/>
    <w:rsid w:val="00944C6D"/>
    <w:rsid w:val="00944D7F"/>
    <w:rsid w:val="00944EA3"/>
    <w:rsid w:val="00944F65"/>
    <w:rsid w:val="009450EA"/>
    <w:rsid w:val="00945268"/>
    <w:rsid w:val="0094534B"/>
    <w:rsid w:val="00945586"/>
    <w:rsid w:val="009455A0"/>
    <w:rsid w:val="00945659"/>
    <w:rsid w:val="00945707"/>
    <w:rsid w:val="00945839"/>
    <w:rsid w:val="00945BC7"/>
    <w:rsid w:val="00945E77"/>
    <w:rsid w:val="00945EF4"/>
    <w:rsid w:val="00945F7E"/>
    <w:rsid w:val="009461E1"/>
    <w:rsid w:val="009463AC"/>
    <w:rsid w:val="00946430"/>
    <w:rsid w:val="00946591"/>
    <w:rsid w:val="00946686"/>
    <w:rsid w:val="00946827"/>
    <w:rsid w:val="0094698E"/>
    <w:rsid w:val="009469B6"/>
    <w:rsid w:val="00946C90"/>
    <w:rsid w:val="00946DBB"/>
    <w:rsid w:val="00946E35"/>
    <w:rsid w:val="00946E9E"/>
    <w:rsid w:val="0094726F"/>
    <w:rsid w:val="009472E5"/>
    <w:rsid w:val="009479BA"/>
    <w:rsid w:val="009479ED"/>
    <w:rsid w:val="00947A30"/>
    <w:rsid w:val="00947A3C"/>
    <w:rsid w:val="00947AA6"/>
    <w:rsid w:val="00947CB5"/>
    <w:rsid w:val="009500AD"/>
    <w:rsid w:val="00950218"/>
    <w:rsid w:val="0095024A"/>
    <w:rsid w:val="009506CE"/>
    <w:rsid w:val="0095073B"/>
    <w:rsid w:val="009509DE"/>
    <w:rsid w:val="00950E16"/>
    <w:rsid w:val="00950F5C"/>
    <w:rsid w:val="00951052"/>
    <w:rsid w:val="00951142"/>
    <w:rsid w:val="009511C9"/>
    <w:rsid w:val="0095124A"/>
    <w:rsid w:val="00951304"/>
    <w:rsid w:val="00951645"/>
    <w:rsid w:val="0095169E"/>
    <w:rsid w:val="009516A7"/>
    <w:rsid w:val="00951F48"/>
    <w:rsid w:val="00951FAE"/>
    <w:rsid w:val="00952226"/>
    <w:rsid w:val="009523BA"/>
    <w:rsid w:val="009524DF"/>
    <w:rsid w:val="00952811"/>
    <w:rsid w:val="00952C17"/>
    <w:rsid w:val="00952F54"/>
    <w:rsid w:val="00952FD6"/>
    <w:rsid w:val="009531D5"/>
    <w:rsid w:val="009531F0"/>
    <w:rsid w:val="0095320C"/>
    <w:rsid w:val="0095328D"/>
    <w:rsid w:val="0095332E"/>
    <w:rsid w:val="0095340A"/>
    <w:rsid w:val="00953613"/>
    <w:rsid w:val="0095382A"/>
    <w:rsid w:val="009538F9"/>
    <w:rsid w:val="00953AAC"/>
    <w:rsid w:val="00953C5B"/>
    <w:rsid w:val="00953E3A"/>
    <w:rsid w:val="00953F10"/>
    <w:rsid w:val="00954082"/>
    <w:rsid w:val="0095420B"/>
    <w:rsid w:val="009542FD"/>
    <w:rsid w:val="009543EF"/>
    <w:rsid w:val="00954553"/>
    <w:rsid w:val="009547B7"/>
    <w:rsid w:val="00954868"/>
    <w:rsid w:val="009548D4"/>
    <w:rsid w:val="009549C6"/>
    <w:rsid w:val="00954E70"/>
    <w:rsid w:val="00954F4B"/>
    <w:rsid w:val="00955183"/>
    <w:rsid w:val="009551EE"/>
    <w:rsid w:val="0095526D"/>
    <w:rsid w:val="009554C9"/>
    <w:rsid w:val="009554FE"/>
    <w:rsid w:val="009558CB"/>
    <w:rsid w:val="0095599E"/>
    <w:rsid w:val="00955C44"/>
    <w:rsid w:val="00955CD3"/>
    <w:rsid w:val="00955D99"/>
    <w:rsid w:val="00955DB5"/>
    <w:rsid w:val="00955F31"/>
    <w:rsid w:val="00955FC5"/>
    <w:rsid w:val="00956188"/>
    <w:rsid w:val="009562A2"/>
    <w:rsid w:val="009562DD"/>
    <w:rsid w:val="00956360"/>
    <w:rsid w:val="00956519"/>
    <w:rsid w:val="0095659F"/>
    <w:rsid w:val="009567D3"/>
    <w:rsid w:val="00956AA8"/>
    <w:rsid w:val="00956B4B"/>
    <w:rsid w:val="00956BE4"/>
    <w:rsid w:val="00956D83"/>
    <w:rsid w:val="00957230"/>
    <w:rsid w:val="00957602"/>
    <w:rsid w:val="0095768F"/>
    <w:rsid w:val="0095778A"/>
    <w:rsid w:val="0095782B"/>
    <w:rsid w:val="00957841"/>
    <w:rsid w:val="00957979"/>
    <w:rsid w:val="00957CDE"/>
    <w:rsid w:val="00957EEB"/>
    <w:rsid w:val="00957F0E"/>
    <w:rsid w:val="009600E4"/>
    <w:rsid w:val="00960274"/>
    <w:rsid w:val="009602A9"/>
    <w:rsid w:val="0096030F"/>
    <w:rsid w:val="009605A3"/>
    <w:rsid w:val="009605C4"/>
    <w:rsid w:val="00960794"/>
    <w:rsid w:val="00960795"/>
    <w:rsid w:val="00960B82"/>
    <w:rsid w:val="00960BB4"/>
    <w:rsid w:val="00960D43"/>
    <w:rsid w:val="009611CA"/>
    <w:rsid w:val="0096130F"/>
    <w:rsid w:val="0096146F"/>
    <w:rsid w:val="00961505"/>
    <w:rsid w:val="00961512"/>
    <w:rsid w:val="00961613"/>
    <w:rsid w:val="00961671"/>
    <w:rsid w:val="009616AC"/>
    <w:rsid w:val="009616B0"/>
    <w:rsid w:val="0096189A"/>
    <w:rsid w:val="00961A0C"/>
    <w:rsid w:val="00961A1D"/>
    <w:rsid w:val="00961C2F"/>
    <w:rsid w:val="00961DD4"/>
    <w:rsid w:val="00961FFD"/>
    <w:rsid w:val="009621FF"/>
    <w:rsid w:val="009622B1"/>
    <w:rsid w:val="0096272D"/>
    <w:rsid w:val="009628F8"/>
    <w:rsid w:val="00962C65"/>
    <w:rsid w:val="00963303"/>
    <w:rsid w:val="0096347E"/>
    <w:rsid w:val="00963AA3"/>
    <w:rsid w:val="00963AEC"/>
    <w:rsid w:val="00963CB4"/>
    <w:rsid w:val="00963DE2"/>
    <w:rsid w:val="00963F7D"/>
    <w:rsid w:val="00964264"/>
    <w:rsid w:val="009642A0"/>
    <w:rsid w:val="00964373"/>
    <w:rsid w:val="00964531"/>
    <w:rsid w:val="00964654"/>
    <w:rsid w:val="009647D6"/>
    <w:rsid w:val="00964883"/>
    <w:rsid w:val="009649C4"/>
    <w:rsid w:val="00964A0A"/>
    <w:rsid w:val="00964A1A"/>
    <w:rsid w:val="00964CFE"/>
    <w:rsid w:val="00964F62"/>
    <w:rsid w:val="00964FA7"/>
    <w:rsid w:val="0096535B"/>
    <w:rsid w:val="0096545C"/>
    <w:rsid w:val="0096553A"/>
    <w:rsid w:val="009656C3"/>
    <w:rsid w:val="009657DA"/>
    <w:rsid w:val="00965829"/>
    <w:rsid w:val="0096588B"/>
    <w:rsid w:val="009658B8"/>
    <w:rsid w:val="00965A19"/>
    <w:rsid w:val="00965B19"/>
    <w:rsid w:val="00965D68"/>
    <w:rsid w:val="00965D7D"/>
    <w:rsid w:val="00965DBC"/>
    <w:rsid w:val="00965E10"/>
    <w:rsid w:val="0096641A"/>
    <w:rsid w:val="0096643D"/>
    <w:rsid w:val="009665BF"/>
    <w:rsid w:val="009668AC"/>
    <w:rsid w:val="00966E65"/>
    <w:rsid w:val="00966F4D"/>
    <w:rsid w:val="009671B6"/>
    <w:rsid w:val="00967219"/>
    <w:rsid w:val="009673C1"/>
    <w:rsid w:val="009675F2"/>
    <w:rsid w:val="00967620"/>
    <w:rsid w:val="009678C0"/>
    <w:rsid w:val="00967C82"/>
    <w:rsid w:val="00967D37"/>
    <w:rsid w:val="00967D54"/>
    <w:rsid w:val="00967FFC"/>
    <w:rsid w:val="009701AE"/>
    <w:rsid w:val="009704CD"/>
    <w:rsid w:val="009704FC"/>
    <w:rsid w:val="0097069F"/>
    <w:rsid w:val="00970816"/>
    <w:rsid w:val="009708E8"/>
    <w:rsid w:val="00970938"/>
    <w:rsid w:val="0097096C"/>
    <w:rsid w:val="00970A76"/>
    <w:rsid w:val="00970CB2"/>
    <w:rsid w:val="00970D29"/>
    <w:rsid w:val="00970E93"/>
    <w:rsid w:val="009713A8"/>
    <w:rsid w:val="009714DA"/>
    <w:rsid w:val="00971565"/>
    <w:rsid w:val="00971876"/>
    <w:rsid w:val="009718EB"/>
    <w:rsid w:val="00971D63"/>
    <w:rsid w:val="00971F64"/>
    <w:rsid w:val="00971F96"/>
    <w:rsid w:val="009720DA"/>
    <w:rsid w:val="0097211A"/>
    <w:rsid w:val="00972318"/>
    <w:rsid w:val="00972455"/>
    <w:rsid w:val="0097245C"/>
    <w:rsid w:val="009729DC"/>
    <w:rsid w:val="00972B08"/>
    <w:rsid w:val="00972F72"/>
    <w:rsid w:val="00973289"/>
    <w:rsid w:val="00973575"/>
    <w:rsid w:val="0097361F"/>
    <w:rsid w:val="00973635"/>
    <w:rsid w:val="00973A3B"/>
    <w:rsid w:val="00973AB3"/>
    <w:rsid w:val="00973D73"/>
    <w:rsid w:val="00974356"/>
    <w:rsid w:val="0097457A"/>
    <w:rsid w:val="00974621"/>
    <w:rsid w:val="00974720"/>
    <w:rsid w:val="00974878"/>
    <w:rsid w:val="00974910"/>
    <w:rsid w:val="00974CFC"/>
    <w:rsid w:val="00974D3B"/>
    <w:rsid w:val="00975154"/>
    <w:rsid w:val="0097549B"/>
    <w:rsid w:val="009756E1"/>
    <w:rsid w:val="00975830"/>
    <w:rsid w:val="00975F1C"/>
    <w:rsid w:val="0097617F"/>
    <w:rsid w:val="0097629C"/>
    <w:rsid w:val="00976340"/>
    <w:rsid w:val="00976525"/>
    <w:rsid w:val="00976550"/>
    <w:rsid w:val="009765B1"/>
    <w:rsid w:val="009769F5"/>
    <w:rsid w:val="00976DB5"/>
    <w:rsid w:val="00976E4A"/>
    <w:rsid w:val="00976E66"/>
    <w:rsid w:val="00976F6E"/>
    <w:rsid w:val="00976F7C"/>
    <w:rsid w:val="00976F7F"/>
    <w:rsid w:val="00976F8C"/>
    <w:rsid w:val="0097713F"/>
    <w:rsid w:val="009772CD"/>
    <w:rsid w:val="009775BC"/>
    <w:rsid w:val="00977776"/>
    <w:rsid w:val="00977899"/>
    <w:rsid w:val="0097795C"/>
    <w:rsid w:val="00977A28"/>
    <w:rsid w:val="00977DCF"/>
    <w:rsid w:val="009802C7"/>
    <w:rsid w:val="0098033D"/>
    <w:rsid w:val="009803A9"/>
    <w:rsid w:val="009803B3"/>
    <w:rsid w:val="0098046E"/>
    <w:rsid w:val="00980520"/>
    <w:rsid w:val="009806BF"/>
    <w:rsid w:val="0098085D"/>
    <w:rsid w:val="009808F9"/>
    <w:rsid w:val="0098092A"/>
    <w:rsid w:val="00980AD8"/>
    <w:rsid w:val="00980B18"/>
    <w:rsid w:val="00980BDF"/>
    <w:rsid w:val="00980CD5"/>
    <w:rsid w:val="00980E5D"/>
    <w:rsid w:val="00980FA9"/>
    <w:rsid w:val="00980FBD"/>
    <w:rsid w:val="00980FFB"/>
    <w:rsid w:val="009815FC"/>
    <w:rsid w:val="009816D3"/>
    <w:rsid w:val="0098175B"/>
    <w:rsid w:val="0098190F"/>
    <w:rsid w:val="00981911"/>
    <w:rsid w:val="00981A21"/>
    <w:rsid w:val="00981A26"/>
    <w:rsid w:val="00981EDD"/>
    <w:rsid w:val="00981EE2"/>
    <w:rsid w:val="00982595"/>
    <w:rsid w:val="009826C1"/>
    <w:rsid w:val="009827F7"/>
    <w:rsid w:val="00982C98"/>
    <w:rsid w:val="00982D92"/>
    <w:rsid w:val="0098302B"/>
    <w:rsid w:val="00983063"/>
    <w:rsid w:val="00983120"/>
    <w:rsid w:val="00983236"/>
    <w:rsid w:val="00983491"/>
    <w:rsid w:val="00983655"/>
    <w:rsid w:val="009836B0"/>
    <w:rsid w:val="009836DD"/>
    <w:rsid w:val="00983BC2"/>
    <w:rsid w:val="00983C03"/>
    <w:rsid w:val="00983E36"/>
    <w:rsid w:val="00983F0A"/>
    <w:rsid w:val="00984094"/>
    <w:rsid w:val="0098417D"/>
    <w:rsid w:val="009844D1"/>
    <w:rsid w:val="009845F7"/>
    <w:rsid w:val="0098467E"/>
    <w:rsid w:val="00984684"/>
    <w:rsid w:val="00984688"/>
    <w:rsid w:val="009846B4"/>
    <w:rsid w:val="009847B5"/>
    <w:rsid w:val="009848A1"/>
    <w:rsid w:val="00984920"/>
    <w:rsid w:val="00984969"/>
    <w:rsid w:val="009849CB"/>
    <w:rsid w:val="009849ED"/>
    <w:rsid w:val="00984A13"/>
    <w:rsid w:val="00984A8E"/>
    <w:rsid w:val="00984B4E"/>
    <w:rsid w:val="00984BF3"/>
    <w:rsid w:val="00984C56"/>
    <w:rsid w:val="009850F8"/>
    <w:rsid w:val="00985342"/>
    <w:rsid w:val="00985453"/>
    <w:rsid w:val="009855C5"/>
    <w:rsid w:val="00985642"/>
    <w:rsid w:val="0098579E"/>
    <w:rsid w:val="009857B3"/>
    <w:rsid w:val="00985920"/>
    <w:rsid w:val="00985A54"/>
    <w:rsid w:val="00985AAF"/>
    <w:rsid w:val="00985AE2"/>
    <w:rsid w:val="00985C78"/>
    <w:rsid w:val="00985FE8"/>
    <w:rsid w:val="009861BD"/>
    <w:rsid w:val="00986226"/>
    <w:rsid w:val="00986882"/>
    <w:rsid w:val="00986A17"/>
    <w:rsid w:val="00986CB6"/>
    <w:rsid w:val="00986D7D"/>
    <w:rsid w:val="00987237"/>
    <w:rsid w:val="009873D0"/>
    <w:rsid w:val="00987817"/>
    <w:rsid w:val="00987821"/>
    <w:rsid w:val="009878D9"/>
    <w:rsid w:val="009878F1"/>
    <w:rsid w:val="0098798D"/>
    <w:rsid w:val="00987A58"/>
    <w:rsid w:val="00987A6D"/>
    <w:rsid w:val="00987B97"/>
    <w:rsid w:val="00987BCD"/>
    <w:rsid w:val="00987F1C"/>
    <w:rsid w:val="00987F32"/>
    <w:rsid w:val="00990121"/>
    <w:rsid w:val="0099028A"/>
    <w:rsid w:val="0099031B"/>
    <w:rsid w:val="00990644"/>
    <w:rsid w:val="00990A9F"/>
    <w:rsid w:val="00990BF4"/>
    <w:rsid w:val="00990C0E"/>
    <w:rsid w:val="00990C60"/>
    <w:rsid w:val="00990CF1"/>
    <w:rsid w:val="00990D32"/>
    <w:rsid w:val="00990EB5"/>
    <w:rsid w:val="009910E5"/>
    <w:rsid w:val="00991375"/>
    <w:rsid w:val="0099156F"/>
    <w:rsid w:val="009915A4"/>
    <w:rsid w:val="00991C6E"/>
    <w:rsid w:val="0099240B"/>
    <w:rsid w:val="00992776"/>
    <w:rsid w:val="00992BB5"/>
    <w:rsid w:val="00992DF3"/>
    <w:rsid w:val="0099304D"/>
    <w:rsid w:val="009930EC"/>
    <w:rsid w:val="0099337C"/>
    <w:rsid w:val="00993676"/>
    <w:rsid w:val="00993786"/>
    <w:rsid w:val="009937D0"/>
    <w:rsid w:val="009937E1"/>
    <w:rsid w:val="009938EF"/>
    <w:rsid w:val="009939AB"/>
    <w:rsid w:val="00993BA5"/>
    <w:rsid w:val="00993BB8"/>
    <w:rsid w:val="00993E01"/>
    <w:rsid w:val="00994005"/>
    <w:rsid w:val="009945F7"/>
    <w:rsid w:val="0099464B"/>
    <w:rsid w:val="00994899"/>
    <w:rsid w:val="009949DC"/>
    <w:rsid w:val="00994B0B"/>
    <w:rsid w:val="00994B3C"/>
    <w:rsid w:val="00994BBF"/>
    <w:rsid w:val="00994E89"/>
    <w:rsid w:val="00994FA9"/>
    <w:rsid w:val="009953D1"/>
    <w:rsid w:val="009954EC"/>
    <w:rsid w:val="009955EC"/>
    <w:rsid w:val="009956FE"/>
    <w:rsid w:val="00995A84"/>
    <w:rsid w:val="00995B2B"/>
    <w:rsid w:val="00995B58"/>
    <w:rsid w:val="00995D35"/>
    <w:rsid w:val="00996251"/>
    <w:rsid w:val="00996519"/>
    <w:rsid w:val="0099655C"/>
    <w:rsid w:val="009968CA"/>
    <w:rsid w:val="00996CFF"/>
    <w:rsid w:val="00996D09"/>
    <w:rsid w:val="00996E70"/>
    <w:rsid w:val="00996FE1"/>
    <w:rsid w:val="009972CF"/>
    <w:rsid w:val="0099747A"/>
    <w:rsid w:val="009975C4"/>
    <w:rsid w:val="009976CF"/>
    <w:rsid w:val="00997BAE"/>
    <w:rsid w:val="009A00E9"/>
    <w:rsid w:val="009A03EF"/>
    <w:rsid w:val="009A0665"/>
    <w:rsid w:val="009A0875"/>
    <w:rsid w:val="009A08D7"/>
    <w:rsid w:val="009A0CD2"/>
    <w:rsid w:val="009A0ED8"/>
    <w:rsid w:val="009A102B"/>
    <w:rsid w:val="009A149A"/>
    <w:rsid w:val="009A149C"/>
    <w:rsid w:val="009A18F0"/>
    <w:rsid w:val="009A1A7C"/>
    <w:rsid w:val="009A1AFD"/>
    <w:rsid w:val="009A1B07"/>
    <w:rsid w:val="009A1C32"/>
    <w:rsid w:val="009A1D64"/>
    <w:rsid w:val="009A1E1A"/>
    <w:rsid w:val="009A1E82"/>
    <w:rsid w:val="009A204C"/>
    <w:rsid w:val="009A20D2"/>
    <w:rsid w:val="009A212D"/>
    <w:rsid w:val="009A2160"/>
    <w:rsid w:val="009A2279"/>
    <w:rsid w:val="009A2632"/>
    <w:rsid w:val="009A264E"/>
    <w:rsid w:val="009A272C"/>
    <w:rsid w:val="009A2759"/>
    <w:rsid w:val="009A2BDE"/>
    <w:rsid w:val="009A2EB3"/>
    <w:rsid w:val="009A2EDB"/>
    <w:rsid w:val="009A301B"/>
    <w:rsid w:val="009A3244"/>
    <w:rsid w:val="009A3265"/>
    <w:rsid w:val="009A35BB"/>
    <w:rsid w:val="009A39A9"/>
    <w:rsid w:val="009A3B6C"/>
    <w:rsid w:val="009A3BE4"/>
    <w:rsid w:val="009A3CFC"/>
    <w:rsid w:val="009A3DFD"/>
    <w:rsid w:val="009A3E7B"/>
    <w:rsid w:val="009A3EBD"/>
    <w:rsid w:val="009A4222"/>
    <w:rsid w:val="009A452B"/>
    <w:rsid w:val="009A4581"/>
    <w:rsid w:val="009A4EE1"/>
    <w:rsid w:val="009A540C"/>
    <w:rsid w:val="009A5864"/>
    <w:rsid w:val="009A58D3"/>
    <w:rsid w:val="009A59BE"/>
    <w:rsid w:val="009A59CE"/>
    <w:rsid w:val="009A5CF6"/>
    <w:rsid w:val="009A5DD1"/>
    <w:rsid w:val="009A609E"/>
    <w:rsid w:val="009A6115"/>
    <w:rsid w:val="009A6140"/>
    <w:rsid w:val="009A61BC"/>
    <w:rsid w:val="009A6220"/>
    <w:rsid w:val="009A62A1"/>
    <w:rsid w:val="009A65E6"/>
    <w:rsid w:val="009A678B"/>
    <w:rsid w:val="009A6798"/>
    <w:rsid w:val="009A6A53"/>
    <w:rsid w:val="009A6AA9"/>
    <w:rsid w:val="009A6BEC"/>
    <w:rsid w:val="009A7094"/>
    <w:rsid w:val="009A7263"/>
    <w:rsid w:val="009A729A"/>
    <w:rsid w:val="009A7320"/>
    <w:rsid w:val="009A7321"/>
    <w:rsid w:val="009A7409"/>
    <w:rsid w:val="009A74BC"/>
    <w:rsid w:val="009A7510"/>
    <w:rsid w:val="009A7925"/>
    <w:rsid w:val="009A7970"/>
    <w:rsid w:val="009A79F6"/>
    <w:rsid w:val="009A7AA7"/>
    <w:rsid w:val="009A7B56"/>
    <w:rsid w:val="009A7C00"/>
    <w:rsid w:val="009A7D4E"/>
    <w:rsid w:val="009A7E79"/>
    <w:rsid w:val="009A7F3A"/>
    <w:rsid w:val="009B004E"/>
    <w:rsid w:val="009B00A4"/>
    <w:rsid w:val="009B081D"/>
    <w:rsid w:val="009B089B"/>
    <w:rsid w:val="009B08A5"/>
    <w:rsid w:val="009B09D5"/>
    <w:rsid w:val="009B0B92"/>
    <w:rsid w:val="009B0B9E"/>
    <w:rsid w:val="009B0E47"/>
    <w:rsid w:val="009B111D"/>
    <w:rsid w:val="009B1230"/>
    <w:rsid w:val="009B13C6"/>
    <w:rsid w:val="009B1514"/>
    <w:rsid w:val="009B1599"/>
    <w:rsid w:val="009B168A"/>
    <w:rsid w:val="009B185A"/>
    <w:rsid w:val="009B1A51"/>
    <w:rsid w:val="009B1AEF"/>
    <w:rsid w:val="009B1CD9"/>
    <w:rsid w:val="009B2202"/>
    <w:rsid w:val="009B236A"/>
    <w:rsid w:val="009B24AA"/>
    <w:rsid w:val="009B2681"/>
    <w:rsid w:val="009B2B17"/>
    <w:rsid w:val="009B2C1C"/>
    <w:rsid w:val="009B2C6B"/>
    <w:rsid w:val="009B2C9D"/>
    <w:rsid w:val="009B30B1"/>
    <w:rsid w:val="009B31EE"/>
    <w:rsid w:val="009B324F"/>
    <w:rsid w:val="009B35AB"/>
    <w:rsid w:val="009B35E6"/>
    <w:rsid w:val="009B36E7"/>
    <w:rsid w:val="009B388F"/>
    <w:rsid w:val="009B3A05"/>
    <w:rsid w:val="009B3DE7"/>
    <w:rsid w:val="009B3DE8"/>
    <w:rsid w:val="009B3E0E"/>
    <w:rsid w:val="009B4076"/>
    <w:rsid w:val="009B41AF"/>
    <w:rsid w:val="009B41ED"/>
    <w:rsid w:val="009B459F"/>
    <w:rsid w:val="009B48B7"/>
    <w:rsid w:val="009B4AE4"/>
    <w:rsid w:val="009B4DB6"/>
    <w:rsid w:val="009B4E61"/>
    <w:rsid w:val="009B4F31"/>
    <w:rsid w:val="009B501F"/>
    <w:rsid w:val="009B517D"/>
    <w:rsid w:val="009B51A6"/>
    <w:rsid w:val="009B5221"/>
    <w:rsid w:val="009B541A"/>
    <w:rsid w:val="009B55DA"/>
    <w:rsid w:val="009B571B"/>
    <w:rsid w:val="009B5913"/>
    <w:rsid w:val="009B595C"/>
    <w:rsid w:val="009B624A"/>
    <w:rsid w:val="009B6535"/>
    <w:rsid w:val="009B65A1"/>
    <w:rsid w:val="009B65CA"/>
    <w:rsid w:val="009B69BE"/>
    <w:rsid w:val="009B6A3D"/>
    <w:rsid w:val="009B6B60"/>
    <w:rsid w:val="009B6CAE"/>
    <w:rsid w:val="009B6F0D"/>
    <w:rsid w:val="009B6F44"/>
    <w:rsid w:val="009B706E"/>
    <w:rsid w:val="009B71B7"/>
    <w:rsid w:val="009B71D6"/>
    <w:rsid w:val="009B7224"/>
    <w:rsid w:val="009B7334"/>
    <w:rsid w:val="009B7491"/>
    <w:rsid w:val="009B7562"/>
    <w:rsid w:val="009B7591"/>
    <w:rsid w:val="009B7605"/>
    <w:rsid w:val="009B7647"/>
    <w:rsid w:val="009B76BC"/>
    <w:rsid w:val="009B7794"/>
    <w:rsid w:val="009B781A"/>
    <w:rsid w:val="009B78C7"/>
    <w:rsid w:val="009B7902"/>
    <w:rsid w:val="009B7BC4"/>
    <w:rsid w:val="009B7C5E"/>
    <w:rsid w:val="009B7C7C"/>
    <w:rsid w:val="009C01E7"/>
    <w:rsid w:val="009C0317"/>
    <w:rsid w:val="009C03E4"/>
    <w:rsid w:val="009C04C8"/>
    <w:rsid w:val="009C0A2D"/>
    <w:rsid w:val="009C0D05"/>
    <w:rsid w:val="009C0E84"/>
    <w:rsid w:val="009C0FE2"/>
    <w:rsid w:val="009C11DE"/>
    <w:rsid w:val="009C1403"/>
    <w:rsid w:val="009C151D"/>
    <w:rsid w:val="009C1632"/>
    <w:rsid w:val="009C16FB"/>
    <w:rsid w:val="009C1D20"/>
    <w:rsid w:val="009C1DE6"/>
    <w:rsid w:val="009C1DF4"/>
    <w:rsid w:val="009C1EFA"/>
    <w:rsid w:val="009C1F56"/>
    <w:rsid w:val="009C2030"/>
    <w:rsid w:val="009C204C"/>
    <w:rsid w:val="009C218D"/>
    <w:rsid w:val="009C220E"/>
    <w:rsid w:val="009C2265"/>
    <w:rsid w:val="009C2733"/>
    <w:rsid w:val="009C29F6"/>
    <w:rsid w:val="009C2C91"/>
    <w:rsid w:val="009C309D"/>
    <w:rsid w:val="009C33AD"/>
    <w:rsid w:val="009C35B1"/>
    <w:rsid w:val="009C3692"/>
    <w:rsid w:val="009C3799"/>
    <w:rsid w:val="009C3819"/>
    <w:rsid w:val="009C391B"/>
    <w:rsid w:val="009C3A00"/>
    <w:rsid w:val="009C3B2F"/>
    <w:rsid w:val="009C3BCF"/>
    <w:rsid w:val="009C3C65"/>
    <w:rsid w:val="009C3D4A"/>
    <w:rsid w:val="009C3DBA"/>
    <w:rsid w:val="009C3F42"/>
    <w:rsid w:val="009C3F9C"/>
    <w:rsid w:val="009C4077"/>
    <w:rsid w:val="009C407B"/>
    <w:rsid w:val="009C41F9"/>
    <w:rsid w:val="009C4255"/>
    <w:rsid w:val="009C42C5"/>
    <w:rsid w:val="009C4585"/>
    <w:rsid w:val="009C46B0"/>
    <w:rsid w:val="009C4B33"/>
    <w:rsid w:val="009C4B4D"/>
    <w:rsid w:val="009C4BAB"/>
    <w:rsid w:val="009C4C24"/>
    <w:rsid w:val="009C4D25"/>
    <w:rsid w:val="009C4E67"/>
    <w:rsid w:val="009C4E70"/>
    <w:rsid w:val="009C4F25"/>
    <w:rsid w:val="009C4FE6"/>
    <w:rsid w:val="009C56B3"/>
    <w:rsid w:val="009C5E7E"/>
    <w:rsid w:val="009C5F2A"/>
    <w:rsid w:val="009C5FAB"/>
    <w:rsid w:val="009C62CE"/>
    <w:rsid w:val="009C634D"/>
    <w:rsid w:val="009C637A"/>
    <w:rsid w:val="009C65AC"/>
    <w:rsid w:val="009C6701"/>
    <w:rsid w:val="009C6949"/>
    <w:rsid w:val="009C6D7B"/>
    <w:rsid w:val="009C6F4B"/>
    <w:rsid w:val="009C7134"/>
    <w:rsid w:val="009C7204"/>
    <w:rsid w:val="009C72A7"/>
    <w:rsid w:val="009C7547"/>
    <w:rsid w:val="009C78AB"/>
    <w:rsid w:val="009C7E9B"/>
    <w:rsid w:val="009C7F4A"/>
    <w:rsid w:val="009C7FD8"/>
    <w:rsid w:val="009D0034"/>
    <w:rsid w:val="009D0057"/>
    <w:rsid w:val="009D0083"/>
    <w:rsid w:val="009D0208"/>
    <w:rsid w:val="009D0523"/>
    <w:rsid w:val="009D0674"/>
    <w:rsid w:val="009D0A86"/>
    <w:rsid w:val="009D0BAA"/>
    <w:rsid w:val="009D0C64"/>
    <w:rsid w:val="009D0F21"/>
    <w:rsid w:val="009D12D4"/>
    <w:rsid w:val="009D144F"/>
    <w:rsid w:val="009D16CE"/>
    <w:rsid w:val="009D1804"/>
    <w:rsid w:val="009D1895"/>
    <w:rsid w:val="009D19CF"/>
    <w:rsid w:val="009D1A39"/>
    <w:rsid w:val="009D1DD3"/>
    <w:rsid w:val="009D1EC9"/>
    <w:rsid w:val="009D207D"/>
    <w:rsid w:val="009D21B0"/>
    <w:rsid w:val="009D227F"/>
    <w:rsid w:val="009D24D5"/>
    <w:rsid w:val="009D268D"/>
    <w:rsid w:val="009D26F3"/>
    <w:rsid w:val="009D26F4"/>
    <w:rsid w:val="009D27E0"/>
    <w:rsid w:val="009D2988"/>
    <w:rsid w:val="009D33EC"/>
    <w:rsid w:val="009D34ED"/>
    <w:rsid w:val="009D365B"/>
    <w:rsid w:val="009D37DD"/>
    <w:rsid w:val="009D3810"/>
    <w:rsid w:val="009D3A1C"/>
    <w:rsid w:val="009D3A20"/>
    <w:rsid w:val="009D3A3D"/>
    <w:rsid w:val="009D3B11"/>
    <w:rsid w:val="009D3DDF"/>
    <w:rsid w:val="009D3E15"/>
    <w:rsid w:val="009D3E68"/>
    <w:rsid w:val="009D4494"/>
    <w:rsid w:val="009D4939"/>
    <w:rsid w:val="009D54BA"/>
    <w:rsid w:val="009D551C"/>
    <w:rsid w:val="009D55F6"/>
    <w:rsid w:val="009D582A"/>
    <w:rsid w:val="009D5888"/>
    <w:rsid w:val="009D58B0"/>
    <w:rsid w:val="009D5B2E"/>
    <w:rsid w:val="009D5C0B"/>
    <w:rsid w:val="009D5C38"/>
    <w:rsid w:val="009D5D21"/>
    <w:rsid w:val="009D5DBD"/>
    <w:rsid w:val="009D5E34"/>
    <w:rsid w:val="009D6042"/>
    <w:rsid w:val="009D6065"/>
    <w:rsid w:val="009D618F"/>
    <w:rsid w:val="009D62C7"/>
    <w:rsid w:val="009D69D6"/>
    <w:rsid w:val="009D69FA"/>
    <w:rsid w:val="009D6D01"/>
    <w:rsid w:val="009D6D95"/>
    <w:rsid w:val="009D73A0"/>
    <w:rsid w:val="009D74D4"/>
    <w:rsid w:val="009D7635"/>
    <w:rsid w:val="009D76E9"/>
    <w:rsid w:val="009D76FD"/>
    <w:rsid w:val="009D7AFB"/>
    <w:rsid w:val="009D7C0B"/>
    <w:rsid w:val="009D7C89"/>
    <w:rsid w:val="009D7DC9"/>
    <w:rsid w:val="009D7FE6"/>
    <w:rsid w:val="009E01A9"/>
    <w:rsid w:val="009E0264"/>
    <w:rsid w:val="009E029C"/>
    <w:rsid w:val="009E0313"/>
    <w:rsid w:val="009E0574"/>
    <w:rsid w:val="009E072C"/>
    <w:rsid w:val="009E07A3"/>
    <w:rsid w:val="009E07CA"/>
    <w:rsid w:val="009E0A49"/>
    <w:rsid w:val="009E0B41"/>
    <w:rsid w:val="009E0C35"/>
    <w:rsid w:val="009E0C3F"/>
    <w:rsid w:val="009E0D2D"/>
    <w:rsid w:val="009E0D95"/>
    <w:rsid w:val="009E0E50"/>
    <w:rsid w:val="009E0F5B"/>
    <w:rsid w:val="009E0FCD"/>
    <w:rsid w:val="009E10BA"/>
    <w:rsid w:val="009E1138"/>
    <w:rsid w:val="009E1360"/>
    <w:rsid w:val="009E148D"/>
    <w:rsid w:val="009E16DA"/>
    <w:rsid w:val="009E17FF"/>
    <w:rsid w:val="009E1881"/>
    <w:rsid w:val="009E18F5"/>
    <w:rsid w:val="009E190A"/>
    <w:rsid w:val="009E197B"/>
    <w:rsid w:val="009E1A8C"/>
    <w:rsid w:val="009E1AA4"/>
    <w:rsid w:val="009E1C43"/>
    <w:rsid w:val="009E20BA"/>
    <w:rsid w:val="009E2172"/>
    <w:rsid w:val="009E268C"/>
    <w:rsid w:val="009E2B08"/>
    <w:rsid w:val="009E2C6C"/>
    <w:rsid w:val="009E2EA6"/>
    <w:rsid w:val="009E2F9E"/>
    <w:rsid w:val="009E3015"/>
    <w:rsid w:val="009E3303"/>
    <w:rsid w:val="009E37C5"/>
    <w:rsid w:val="009E38A9"/>
    <w:rsid w:val="009E3A6E"/>
    <w:rsid w:val="009E3B7F"/>
    <w:rsid w:val="009E3E2B"/>
    <w:rsid w:val="009E3FC0"/>
    <w:rsid w:val="009E41C4"/>
    <w:rsid w:val="009E4464"/>
    <w:rsid w:val="009E485C"/>
    <w:rsid w:val="009E4BEC"/>
    <w:rsid w:val="009E5306"/>
    <w:rsid w:val="009E5549"/>
    <w:rsid w:val="009E55BF"/>
    <w:rsid w:val="009E568F"/>
    <w:rsid w:val="009E5937"/>
    <w:rsid w:val="009E6446"/>
    <w:rsid w:val="009E64FC"/>
    <w:rsid w:val="009E65F1"/>
    <w:rsid w:val="009E69B1"/>
    <w:rsid w:val="009E6B88"/>
    <w:rsid w:val="009E6C4B"/>
    <w:rsid w:val="009E6F3B"/>
    <w:rsid w:val="009E722E"/>
    <w:rsid w:val="009E7396"/>
    <w:rsid w:val="009E74B5"/>
    <w:rsid w:val="009E7D10"/>
    <w:rsid w:val="009E7DC1"/>
    <w:rsid w:val="009F0302"/>
    <w:rsid w:val="009F0344"/>
    <w:rsid w:val="009F0400"/>
    <w:rsid w:val="009F04C8"/>
    <w:rsid w:val="009F04CF"/>
    <w:rsid w:val="009F04D8"/>
    <w:rsid w:val="009F0551"/>
    <w:rsid w:val="009F06B9"/>
    <w:rsid w:val="009F06CA"/>
    <w:rsid w:val="009F082E"/>
    <w:rsid w:val="009F0A58"/>
    <w:rsid w:val="009F0C1A"/>
    <w:rsid w:val="009F0DEF"/>
    <w:rsid w:val="009F116E"/>
    <w:rsid w:val="009F1172"/>
    <w:rsid w:val="009F1349"/>
    <w:rsid w:val="009F1658"/>
    <w:rsid w:val="009F182D"/>
    <w:rsid w:val="009F2060"/>
    <w:rsid w:val="009F208D"/>
    <w:rsid w:val="009F2554"/>
    <w:rsid w:val="009F27A9"/>
    <w:rsid w:val="009F2932"/>
    <w:rsid w:val="009F2AC4"/>
    <w:rsid w:val="009F2ED3"/>
    <w:rsid w:val="009F2FD9"/>
    <w:rsid w:val="009F3007"/>
    <w:rsid w:val="009F31EA"/>
    <w:rsid w:val="009F330F"/>
    <w:rsid w:val="009F3333"/>
    <w:rsid w:val="009F34E2"/>
    <w:rsid w:val="009F38ED"/>
    <w:rsid w:val="009F3A19"/>
    <w:rsid w:val="009F3A62"/>
    <w:rsid w:val="009F3A7E"/>
    <w:rsid w:val="009F3CEA"/>
    <w:rsid w:val="009F3E03"/>
    <w:rsid w:val="009F4211"/>
    <w:rsid w:val="009F433A"/>
    <w:rsid w:val="009F454C"/>
    <w:rsid w:val="009F4756"/>
    <w:rsid w:val="009F4902"/>
    <w:rsid w:val="009F4A26"/>
    <w:rsid w:val="009F4BFA"/>
    <w:rsid w:val="009F4D7D"/>
    <w:rsid w:val="009F4EF3"/>
    <w:rsid w:val="009F4F91"/>
    <w:rsid w:val="009F4FF2"/>
    <w:rsid w:val="009F5455"/>
    <w:rsid w:val="009F548E"/>
    <w:rsid w:val="009F562C"/>
    <w:rsid w:val="009F58F1"/>
    <w:rsid w:val="009F5AF7"/>
    <w:rsid w:val="009F5E2D"/>
    <w:rsid w:val="009F5E3E"/>
    <w:rsid w:val="009F5F68"/>
    <w:rsid w:val="009F62C7"/>
    <w:rsid w:val="009F62CF"/>
    <w:rsid w:val="009F6794"/>
    <w:rsid w:val="009F67FB"/>
    <w:rsid w:val="009F6859"/>
    <w:rsid w:val="009F68E9"/>
    <w:rsid w:val="009F6EFC"/>
    <w:rsid w:val="009F6FEF"/>
    <w:rsid w:val="009F7043"/>
    <w:rsid w:val="009F7191"/>
    <w:rsid w:val="009F7236"/>
    <w:rsid w:val="009F72B3"/>
    <w:rsid w:val="009F7374"/>
    <w:rsid w:val="009F7866"/>
    <w:rsid w:val="009F7B7E"/>
    <w:rsid w:val="009F7C0C"/>
    <w:rsid w:val="009F7E33"/>
    <w:rsid w:val="009F7E8F"/>
    <w:rsid w:val="00A000D3"/>
    <w:rsid w:val="00A0045A"/>
    <w:rsid w:val="00A0049D"/>
    <w:rsid w:val="00A006FA"/>
    <w:rsid w:val="00A0077D"/>
    <w:rsid w:val="00A00B2E"/>
    <w:rsid w:val="00A00FAB"/>
    <w:rsid w:val="00A010FD"/>
    <w:rsid w:val="00A01112"/>
    <w:rsid w:val="00A01142"/>
    <w:rsid w:val="00A0135B"/>
    <w:rsid w:val="00A01507"/>
    <w:rsid w:val="00A018B5"/>
    <w:rsid w:val="00A01930"/>
    <w:rsid w:val="00A019A7"/>
    <w:rsid w:val="00A01B9B"/>
    <w:rsid w:val="00A01BB3"/>
    <w:rsid w:val="00A01D78"/>
    <w:rsid w:val="00A021F3"/>
    <w:rsid w:val="00A022D5"/>
    <w:rsid w:val="00A02404"/>
    <w:rsid w:val="00A024F4"/>
    <w:rsid w:val="00A026AC"/>
    <w:rsid w:val="00A027D7"/>
    <w:rsid w:val="00A02875"/>
    <w:rsid w:val="00A02B54"/>
    <w:rsid w:val="00A02BBE"/>
    <w:rsid w:val="00A02BD5"/>
    <w:rsid w:val="00A02E1E"/>
    <w:rsid w:val="00A02F62"/>
    <w:rsid w:val="00A02FF7"/>
    <w:rsid w:val="00A03006"/>
    <w:rsid w:val="00A0302A"/>
    <w:rsid w:val="00A03217"/>
    <w:rsid w:val="00A0333C"/>
    <w:rsid w:val="00A0334D"/>
    <w:rsid w:val="00A039AD"/>
    <w:rsid w:val="00A03A1E"/>
    <w:rsid w:val="00A03FF7"/>
    <w:rsid w:val="00A040C2"/>
    <w:rsid w:val="00A041D9"/>
    <w:rsid w:val="00A042FB"/>
    <w:rsid w:val="00A043DE"/>
    <w:rsid w:val="00A0456F"/>
    <w:rsid w:val="00A04802"/>
    <w:rsid w:val="00A0482F"/>
    <w:rsid w:val="00A0493C"/>
    <w:rsid w:val="00A04B3C"/>
    <w:rsid w:val="00A04BA0"/>
    <w:rsid w:val="00A04CC4"/>
    <w:rsid w:val="00A05078"/>
    <w:rsid w:val="00A053FF"/>
    <w:rsid w:val="00A0542C"/>
    <w:rsid w:val="00A05C8A"/>
    <w:rsid w:val="00A05D1C"/>
    <w:rsid w:val="00A05F14"/>
    <w:rsid w:val="00A05FB8"/>
    <w:rsid w:val="00A06062"/>
    <w:rsid w:val="00A062E2"/>
    <w:rsid w:val="00A0635F"/>
    <w:rsid w:val="00A0696F"/>
    <w:rsid w:val="00A06A1E"/>
    <w:rsid w:val="00A06EB1"/>
    <w:rsid w:val="00A076B3"/>
    <w:rsid w:val="00A07701"/>
    <w:rsid w:val="00A07A1C"/>
    <w:rsid w:val="00A07ADA"/>
    <w:rsid w:val="00A07B0A"/>
    <w:rsid w:val="00A10091"/>
    <w:rsid w:val="00A10121"/>
    <w:rsid w:val="00A1023B"/>
    <w:rsid w:val="00A102F1"/>
    <w:rsid w:val="00A10791"/>
    <w:rsid w:val="00A10A47"/>
    <w:rsid w:val="00A10A73"/>
    <w:rsid w:val="00A10DBF"/>
    <w:rsid w:val="00A11144"/>
    <w:rsid w:val="00A113A1"/>
    <w:rsid w:val="00A115CF"/>
    <w:rsid w:val="00A1177C"/>
    <w:rsid w:val="00A11B39"/>
    <w:rsid w:val="00A11D60"/>
    <w:rsid w:val="00A121AB"/>
    <w:rsid w:val="00A1267D"/>
    <w:rsid w:val="00A127EE"/>
    <w:rsid w:val="00A12904"/>
    <w:rsid w:val="00A129D8"/>
    <w:rsid w:val="00A12A5C"/>
    <w:rsid w:val="00A12B8A"/>
    <w:rsid w:val="00A12D17"/>
    <w:rsid w:val="00A12E46"/>
    <w:rsid w:val="00A12FCA"/>
    <w:rsid w:val="00A1328D"/>
    <w:rsid w:val="00A1344F"/>
    <w:rsid w:val="00A13690"/>
    <w:rsid w:val="00A137B6"/>
    <w:rsid w:val="00A138AC"/>
    <w:rsid w:val="00A13C21"/>
    <w:rsid w:val="00A13C37"/>
    <w:rsid w:val="00A13D84"/>
    <w:rsid w:val="00A13DB1"/>
    <w:rsid w:val="00A14025"/>
    <w:rsid w:val="00A14368"/>
    <w:rsid w:val="00A14488"/>
    <w:rsid w:val="00A1456E"/>
    <w:rsid w:val="00A14586"/>
    <w:rsid w:val="00A145AA"/>
    <w:rsid w:val="00A14712"/>
    <w:rsid w:val="00A148A4"/>
    <w:rsid w:val="00A14EAE"/>
    <w:rsid w:val="00A15104"/>
    <w:rsid w:val="00A15241"/>
    <w:rsid w:val="00A153B3"/>
    <w:rsid w:val="00A1545E"/>
    <w:rsid w:val="00A15B89"/>
    <w:rsid w:val="00A15BC8"/>
    <w:rsid w:val="00A1624A"/>
    <w:rsid w:val="00A164D5"/>
    <w:rsid w:val="00A16566"/>
    <w:rsid w:val="00A168CB"/>
    <w:rsid w:val="00A1691D"/>
    <w:rsid w:val="00A16AD7"/>
    <w:rsid w:val="00A16B75"/>
    <w:rsid w:val="00A16C03"/>
    <w:rsid w:val="00A16CE7"/>
    <w:rsid w:val="00A16D50"/>
    <w:rsid w:val="00A16E07"/>
    <w:rsid w:val="00A16E56"/>
    <w:rsid w:val="00A16E61"/>
    <w:rsid w:val="00A16F0C"/>
    <w:rsid w:val="00A16F16"/>
    <w:rsid w:val="00A17142"/>
    <w:rsid w:val="00A17443"/>
    <w:rsid w:val="00A1753D"/>
    <w:rsid w:val="00A1753E"/>
    <w:rsid w:val="00A175CC"/>
    <w:rsid w:val="00A175D3"/>
    <w:rsid w:val="00A1777B"/>
    <w:rsid w:val="00A1781F"/>
    <w:rsid w:val="00A17B6D"/>
    <w:rsid w:val="00A17D56"/>
    <w:rsid w:val="00A17F0E"/>
    <w:rsid w:val="00A17FD2"/>
    <w:rsid w:val="00A20213"/>
    <w:rsid w:val="00A20271"/>
    <w:rsid w:val="00A202A9"/>
    <w:rsid w:val="00A202D6"/>
    <w:rsid w:val="00A2035D"/>
    <w:rsid w:val="00A20394"/>
    <w:rsid w:val="00A203E4"/>
    <w:rsid w:val="00A205A6"/>
    <w:rsid w:val="00A2092E"/>
    <w:rsid w:val="00A20ECE"/>
    <w:rsid w:val="00A21439"/>
    <w:rsid w:val="00A21457"/>
    <w:rsid w:val="00A214C2"/>
    <w:rsid w:val="00A21683"/>
    <w:rsid w:val="00A21956"/>
    <w:rsid w:val="00A21A40"/>
    <w:rsid w:val="00A21B7A"/>
    <w:rsid w:val="00A21D7F"/>
    <w:rsid w:val="00A22071"/>
    <w:rsid w:val="00A220E2"/>
    <w:rsid w:val="00A2242F"/>
    <w:rsid w:val="00A226A2"/>
    <w:rsid w:val="00A22A90"/>
    <w:rsid w:val="00A22AD1"/>
    <w:rsid w:val="00A22C5B"/>
    <w:rsid w:val="00A22D17"/>
    <w:rsid w:val="00A22E2B"/>
    <w:rsid w:val="00A22F09"/>
    <w:rsid w:val="00A22F1A"/>
    <w:rsid w:val="00A22F40"/>
    <w:rsid w:val="00A2335E"/>
    <w:rsid w:val="00A23466"/>
    <w:rsid w:val="00A2376C"/>
    <w:rsid w:val="00A237F7"/>
    <w:rsid w:val="00A23835"/>
    <w:rsid w:val="00A2390C"/>
    <w:rsid w:val="00A23979"/>
    <w:rsid w:val="00A23AEF"/>
    <w:rsid w:val="00A23C01"/>
    <w:rsid w:val="00A23C1C"/>
    <w:rsid w:val="00A23F61"/>
    <w:rsid w:val="00A24210"/>
    <w:rsid w:val="00A2431C"/>
    <w:rsid w:val="00A2451D"/>
    <w:rsid w:val="00A24713"/>
    <w:rsid w:val="00A247F5"/>
    <w:rsid w:val="00A24A36"/>
    <w:rsid w:val="00A24AED"/>
    <w:rsid w:val="00A24D28"/>
    <w:rsid w:val="00A2505D"/>
    <w:rsid w:val="00A25129"/>
    <w:rsid w:val="00A2523C"/>
    <w:rsid w:val="00A2549F"/>
    <w:rsid w:val="00A258C1"/>
    <w:rsid w:val="00A25BDC"/>
    <w:rsid w:val="00A25EF2"/>
    <w:rsid w:val="00A25FBE"/>
    <w:rsid w:val="00A26233"/>
    <w:rsid w:val="00A2624F"/>
    <w:rsid w:val="00A26334"/>
    <w:rsid w:val="00A265A7"/>
    <w:rsid w:val="00A26605"/>
    <w:rsid w:val="00A26637"/>
    <w:rsid w:val="00A266A6"/>
    <w:rsid w:val="00A266D2"/>
    <w:rsid w:val="00A2676D"/>
    <w:rsid w:val="00A26841"/>
    <w:rsid w:val="00A26949"/>
    <w:rsid w:val="00A269A4"/>
    <w:rsid w:val="00A269B1"/>
    <w:rsid w:val="00A26C8C"/>
    <w:rsid w:val="00A26D06"/>
    <w:rsid w:val="00A26E76"/>
    <w:rsid w:val="00A271BD"/>
    <w:rsid w:val="00A27430"/>
    <w:rsid w:val="00A27675"/>
    <w:rsid w:val="00A27AEB"/>
    <w:rsid w:val="00A27AF8"/>
    <w:rsid w:val="00A27B94"/>
    <w:rsid w:val="00A27D66"/>
    <w:rsid w:val="00A27D81"/>
    <w:rsid w:val="00A27E35"/>
    <w:rsid w:val="00A27F6B"/>
    <w:rsid w:val="00A303FF"/>
    <w:rsid w:val="00A30483"/>
    <w:rsid w:val="00A305AA"/>
    <w:rsid w:val="00A307F1"/>
    <w:rsid w:val="00A3084C"/>
    <w:rsid w:val="00A308D6"/>
    <w:rsid w:val="00A30B75"/>
    <w:rsid w:val="00A30C34"/>
    <w:rsid w:val="00A30CDE"/>
    <w:rsid w:val="00A30CEB"/>
    <w:rsid w:val="00A30CFF"/>
    <w:rsid w:val="00A30FE5"/>
    <w:rsid w:val="00A31136"/>
    <w:rsid w:val="00A31147"/>
    <w:rsid w:val="00A3115B"/>
    <w:rsid w:val="00A3142F"/>
    <w:rsid w:val="00A31671"/>
    <w:rsid w:val="00A316C3"/>
    <w:rsid w:val="00A31942"/>
    <w:rsid w:val="00A31B33"/>
    <w:rsid w:val="00A31CF9"/>
    <w:rsid w:val="00A31E9D"/>
    <w:rsid w:val="00A31F78"/>
    <w:rsid w:val="00A321C3"/>
    <w:rsid w:val="00A3258C"/>
    <w:rsid w:val="00A326CE"/>
    <w:rsid w:val="00A32726"/>
    <w:rsid w:val="00A32754"/>
    <w:rsid w:val="00A32777"/>
    <w:rsid w:val="00A327E4"/>
    <w:rsid w:val="00A32E96"/>
    <w:rsid w:val="00A32F03"/>
    <w:rsid w:val="00A32F74"/>
    <w:rsid w:val="00A33097"/>
    <w:rsid w:val="00A33359"/>
    <w:rsid w:val="00A3344A"/>
    <w:rsid w:val="00A33624"/>
    <w:rsid w:val="00A33847"/>
    <w:rsid w:val="00A3398C"/>
    <w:rsid w:val="00A33A2C"/>
    <w:rsid w:val="00A33B88"/>
    <w:rsid w:val="00A33D68"/>
    <w:rsid w:val="00A33D75"/>
    <w:rsid w:val="00A33F3A"/>
    <w:rsid w:val="00A34079"/>
    <w:rsid w:val="00A34137"/>
    <w:rsid w:val="00A341FE"/>
    <w:rsid w:val="00A3455A"/>
    <w:rsid w:val="00A3470F"/>
    <w:rsid w:val="00A347BE"/>
    <w:rsid w:val="00A34822"/>
    <w:rsid w:val="00A34855"/>
    <w:rsid w:val="00A34A0C"/>
    <w:rsid w:val="00A34B79"/>
    <w:rsid w:val="00A350CB"/>
    <w:rsid w:val="00A3519F"/>
    <w:rsid w:val="00A352B9"/>
    <w:rsid w:val="00A3540A"/>
    <w:rsid w:val="00A35433"/>
    <w:rsid w:val="00A354CA"/>
    <w:rsid w:val="00A35991"/>
    <w:rsid w:val="00A35CBD"/>
    <w:rsid w:val="00A36173"/>
    <w:rsid w:val="00A36316"/>
    <w:rsid w:val="00A36555"/>
    <w:rsid w:val="00A367EB"/>
    <w:rsid w:val="00A36AB0"/>
    <w:rsid w:val="00A36BF4"/>
    <w:rsid w:val="00A36E40"/>
    <w:rsid w:val="00A36E95"/>
    <w:rsid w:val="00A3709F"/>
    <w:rsid w:val="00A37260"/>
    <w:rsid w:val="00A37318"/>
    <w:rsid w:val="00A3739C"/>
    <w:rsid w:val="00A373D9"/>
    <w:rsid w:val="00A37700"/>
    <w:rsid w:val="00A37E06"/>
    <w:rsid w:val="00A37EF3"/>
    <w:rsid w:val="00A37FAC"/>
    <w:rsid w:val="00A400AA"/>
    <w:rsid w:val="00A4010D"/>
    <w:rsid w:val="00A40185"/>
    <w:rsid w:val="00A4057E"/>
    <w:rsid w:val="00A40668"/>
    <w:rsid w:val="00A406F2"/>
    <w:rsid w:val="00A40763"/>
    <w:rsid w:val="00A4094A"/>
    <w:rsid w:val="00A4095B"/>
    <w:rsid w:val="00A40AB0"/>
    <w:rsid w:val="00A40B4F"/>
    <w:rsid w:val="00A40D44"/>
    <w:rsid w:val="00A40E37"/>
    <w:rsid w:val="00A40EEF"/>
    <w:rsid w:val="00A41214"/>
    <w:rsid w:val="00A41316"/>
    <w:rsid w:val="00A4133A"/>
    <w:rsid w:val="00A413D9"/>
    <w:rsid w:val="00A415BC"/>
    <w:rsid w:val="00A417C6"/>
    <w:rsid w:val="00A41862"/>
    <w:rsid w:val="00A419CD"/>
    <w:rsid w:val="00A419FA"/>
    <w:rsid w:val="00A41A9B"/>
    <w:rsid w:val="00A41E5B"/>
    <w:rsid w:val="00A42131"/>
    <w:rsid w:val="00A421A4"/>
    <w:rsid w:val="00A421C8"/>
    <w:rsid w:val="00A4229E"/>
    <w:rsid w:val="00A42407"/>
    <w:rsid w:val="00A4251A"/>
    <w:rsid w:val="00A42552"/>
    <w:rsid w:val="00A429A7"/>
    <w:rsid w:val="00A42C40"/>
    <w:rsid w:val="00A42DCB"/>
    <w:rsid w:val="00A42E77"/>
    <w:rsid w:val="00A4300B"/>
    <w:rsid w:val="00A43292"/>
    <w:rsid w:val="00A43367"/>
    <w:rsid w:val="00A435B4"/>
    <w:rsid w:val="00A435FF"/>
    <w:rsid w:val="00A43646"/>
    <w:rsid w:val="00A43B69"/>
    <w:rsid w:val="00A43B84"/>
    <w:rsid w:val="00A43D99"/>
    <w:rsid w:val="00A43FFF"/>
    <w:rsid w:val="00A441BD"/>
    <w:rsid w:val="00A44527"/>
    <w:rsid w:val="00A44900"/>
    <w:rsid w:val="00A44B1E"/>
    <w:rsid w:val="00A44BBB"/>
    <w:rsid w:val="00A44FB5"/>
    <w:rsid w:val="00A4526D"/>
    <w:rsid w:val="00A45336"/>
    <w:rsid w:val="00A456AD"/>
    <w:rsid w:val="00A4579D"/>
    <w:rsid w:val="00A458DB"/>
    <w:rsid w:val="00A459D0"/>
    <w:rsid w:val="00A45A0B"/>
    <w:rsid w:val="00A45A9E"/>
    <w:rsid w:val="00A45B07"/>
    <w:rsid w:val="00A45CBD"/>
    <w:rsid w:val="00A45ED1"/>
    <w:rsid w:val="00A461BA"/>
    <w:rsid w:val="00A46310"/>
    <w:rsid w:val="00A4632F"/>
    <w:rsid w:val="00A46357"/>
    <w:rsid w:val="00A463D6"/>
    <w:rsid w:val="00A46A0C"/>
    <w:rsid w:val="00A46B7A"/>
    <w:rsid w:val="00A46E76"/>
    <w:rsid w:val="00A46FA1"/>
    <w:rsid w:val="00A4709B"/>
    <w:rsid w:val="00A47111"/>
    <w:rsid w:val="00A475AB"/>
    <w:rsid w:val="00A47D4C"/>
    <w:rsid w:val="00A505B4"/>
    <w:rsid w:val="00A50648"/>
    <w:rsid w:val="00A507B2"/>
    <w:rsid w:val="00A507FD"/>
    <w:rsid w:val="00A5089F"/>
    <w:rsid w:val="00A509D5"/>
    <w:rsid w:val="00A50CD2"/>
    <w:rsid w:val="00A50D4D"/>
    <w:rsid w:val="00A50E13"/>
    <w:rsid w:val="00A50FD1"/>
    <w:rsid w:val="00A51039"/>
    <w:rsid w:val="00A512C5"/>
    <w:rsid w:val="00A51338"/>
    <w:rsid w:val="00A51421"/>
    <w:rsid w:val="00A515F9"/>
    <w:rsid w:val="00A51913"/>
    <w:rsid w:val="00A51BF5"/>
    <w:rsid w:val="00A51E50"/>
    <w:rsid w:val="00A51EBE"/>
    <w:rsid w:val="00A52002"/>
    <w:rsid w:val="00A520A6"/>
    <w:rsid w:val="00A5233D"/>
    <w:rsid w:val="00A525E6"/>
    <w:rsid w:val="00A52A09"/>
    <w:rsid w:val="00A52B23"/>
    <w:rsid w:val="00A52CF6"/>
    <w:rsid w:val="00A53065"/>
    <w:rsid w:val="00A534A7"/>
    <w:rsid w:val="00A5351F"/>
    <w:rsid w:val="00A535DB"/>
    <w:rsid w:val="00A53662"/>
    <w:rsid w:val="00A5367B"/>
    <w:rsid w:val="00A5369F"/>
    <w:rsid w:val="00A5379B"/>
    <w:rsid w:val="00A53A1D"/>
    <w:rsid w:val="00A53A8C"/>
    <w:rsid w:val="00A53AD7"/>
    <w:rsid w:val="00A53B8F"/>
    <w:rsid w:val="00A53FB7"/>
    <w:rsid w:val="00A540F0"/>
    <w:rsid w:val="00A54126"/>
    <w:rsid w:val="00A541C7"/>
    <w:rsid w:val="00A54200"/>
    <w:rsid w:val="00A542D7"/>
    <w:rsid w:val="00A542D9"/>
    <w:rsid w:val="00A54472"/>
    <w:rsid w:val="00A548F0"/>
    <w:rsid w:val="00A54962"/>
    <w:rsid w:val="00A54AC5"/>
    <w:rsid w:val="00A54C20"/>
    <w:rsid w:val="00A54E8A"/>
    <w:rsid w:val="00A54ED4"/>
    <w:rsid w:val="00A54F48"/>
    <w:rsid w:val="00A5506B"/>
    <w:rsid w:val="00A55280"/>
    <w:rsid w:val="00A554D9"/>
    <w:rsid w:val="00A55765"/>
    <w:rsid w:val="00A5580C"/>
    <w:rsid w:val="00A55ADD"/>
    <w:rsid w:val="00A55CEF"/>
    <w:rsid w:val="00A55F3C"/>
    <w:rsid w:val="00A55F70"/>
    <w:rsid w:val="00A56263"/>
    <w:rsid w:val="00A5654D"/>
    <w:rsid w:val="00A565C3"/>
    <w:rsid w:val="00A5667E"/>
    <w:rsid w:val="00A568B2"/>
    <w:rsid w:val="00A5694F"/>
    <w:rsid w:val="00A569B9"/>
    <w:rsid w:val="00A56ACC"/>
    <w:rsid w:val="00A56AE8"/>
    <w:rsid w:val="00A56EC4"/>
    <w:rsid w:val="00A56EFA"/>
    <w:rsid w:val="00A56FC2"/>
    <w:rsid w:val="00A575D9"/>
    <w:rsid w:val="00A57A13"/>
    <w:rsid w:val="00A57DF7"/>
    <w:rsid w:val="00A600A7"/>
    <w:rsid w:val="00A6010F"/>
    <w:rsid w:val="00A60466"/>
    <w:rsid w:val="00A60720"/>
    <w:rsid w:val="00A60864"/>
    <w:rsid w:val="00A60973"/>
    <w:rsid w:val="00A61206"/>
    <w:rsid w:val="00A615A0"/>
    <w:rsid w:val="00A615AB"/>
    <w:rsid w:val="00A61639"/>
    <w:rsid w:val="00A61779"/>
    <w:rsid w:val="00A61847"/>
    <w:rsid w:val="00A61AF6"/>
    <w:rsid w:val="00A61CDB"/>
    <w:rsid w:val="00A61F80"/>
    <w:rsid w:val="00A620FA"/>
    <w:rsid w:val="00A62188"/>
    <w:rsid w:val="00A6226F"/>
    <w:rsid w:val="00A62548"/>
    <w:rsid w:val="00A6292D"/>
    <w:rsid w:val="00A6298E"/>
    <w:rsid w:val="00A62C15"/>
    <w:rsid w:val="00A62D4C"/>
    <w:rsid w:val="00A62E0E"/>
    <w:rsid w:val="00A62E12"/>
    <w:rsid w:val="00A62F63"/>
    <w:rsid w:val="00A630A0"/>
    <w:rsid w:val="00A632AE"/>
    <w:rsid w:val="00A633D5"/>
    <w:rsid w:val="00A63492"/>
    <w:rsid w:val="00A6368E"/>
    <w:rsid w:val="00A63BF0"/>
    <w:rsid w:val="00A63BF4"/>
    <w:rsid w:val="00A6402E"/>
    <w:rsid w:val="00A64414"/>
    <w:rsid w:val="00A6469A"/>
    <w:rsid w:val="00A6482E"/>
    <w:rsid w:val="00A6497B"/>
    <w:rsid w:val="00A649DE"/>
    <w:rsid w:val="00A64C49"/>
    <w:rsid w:val="00A64CBE"/>
    <w:rsid w:val="00A64E08"/>
    <w:rsid w:val="00A64FB9"/>
    <w:rsid w:val="00A650F4"/>
    <w:rsid w:val="00A65243"/>
    <w:rsid w:val="00A6567D"/>
    <w:rsid w:val="00A65778"/>
    <w:rsid w:val="00A65931"/>
    <w:rsid w:val="00A659A7"/>
    <w:rsid w:val="00A65B6A"/>
    <w:rsid w:val="00A65BDD"/>
    <w:rsid w:val="00A65CFC"/>
    <w:rsid w:val="00A65DE3"/>
    <w:rsid w:val="00A66129"/>
    <w:rsid w:val="00A661A0"/>
    <w:rsid w:val="00A66274"/>
    <w:rsid w:val="00A664DC"/>
    <w:rsid w:val="00A66A93"/>
    <w:rsid w:val="00A66CF1"/>
    <w:rsid w:val="00A66D2E"/>
    <w:rsid w:val="00A66E77"/>
    <w:rsid w:val="00A66F72"/>
    <w:rsid w:val="00A66FD1"/>
    <w:rsid w:val="00A6701D"/>
    <w:rsid w:val="00A6728E"/>
    <w:rsid w:val="00A6747C"/>
    <w:rsid w:val="00A674E9"/>
    <w:rsid w:val="00A6769A"/>
    <w:rsid w:val="00A676B4"/>
    <w:rsid w:val="00A67913"/>
    <w:rsid w:val="00A67A80"/>
    <w:rsid w:val="00A67A84"/>
    <w:rsid w:val="00A67AC6"/>
    <w:rsid w:val="00A67DA2"/>
    <w:rsid w:val="00A67DBB"/>
    <w:rsid w:val="00A70041"/>
    <w:rsid w:val="00A704D9"/>
    <w:rsid w:val="00A70532"/>
    <w:rsid w:val="00A70809"/>
    <w:rsid w:val="00A70813"/>
    <w:rsid w:val="00A708D1"/>
    <w:rsid w:val="00A70B75"/>
    <w:rsid w:val="00A70D01"/>
    <w:rsid w:val="00A70DB5"/>
    <w:rsid w:val="00A710AD"/>
    <w:rsid w:val="00A71334"/>
    <w:rsid w:val="00A71411"/>
    <w:rsid w:val="00A71439"/>
    <w:rsid w:val="00A71760"/>
    <w:rsid w:val="00A71A1F"/>
    <w:rsid w:val="00A71BA5"/>
    <w:rsid w:val="00A71D2C"/>
    <w:rsid w:val="00A71D7D"/>
    <w:rsid w:val="00A71EEB"/>
    <w:rsid w:val="00A721E6"/>
    <w:rsid w:val="00A72203"/>
    <w:rsid w:val="00A72294"/>
    <w:rsid w:val="00A7257B"/>
    <w:rsid w:val="00A7290A"/>
    <w:rsid w:val="00A72925"/>
    <w:rsid w:val="00A729E4"/>
    <w:rsid w:val="00A72C42"/>
    <w:rsid w:val="00A72C5D"/>
    <w:rsid w:val="00A72F17"/>
    <w:rsid w:val="00A72F67"/>
    <w:rsid w:val="00A730ED"/>
    <w:rsid w:val="00A730FB"/>
    <w:rsid w:val="00A73527"/>
    <w:rsid w:val="00A737C4"/>
    <w:rsid w:val="00A73B8D"/>
    <w:rsid w:val="00A73EDD"/>
    <w:rsid w:val="00A73F6B"/>
    <w:rsid w:val="00A74038"/>
    <w:rsid w:val="00A74046"/>
    <w:rsid w:val="00A74239"/>
    <w:rsid w:val="00A7437D"/>
    <w:rsid w:val="00A74416"/>
    <w:rsid w:val="00A7453A"/>
    <w:rsid w:val="00A7482F"/>
    <w:rsid w:val="00A74857"/>
    <w:rsid w:val="00A749BD"/>
    <w:rsid w:val="00A749F5"/>
    <w:rsid w:val="00A74ADB"/>
    <w:rsid w:val="00A74B6C"/>
    <w:rsid w:val="00A74D3C"/>
    <w:rsid w:val="00A74E40"/>
    <w:rsid w:val="00A7500D"/>
    <w:rsid w:val="00A750F0"/>
    <w:rsid w:val="00A75102"/>
    <w:rsid w:val="00A7537A"/>
    <w:rsid w:val="00A7576C"/>
    <w:rsid w:val="00A758A4"/>
    <w:rsid w:val="00A75A61"/>
    <w:rsid w:val="00A75C35"/>
    <w:rsid w:val="00A75C4C"/>
    <w:rsid w:val="00A75D83"/>
    <w:rsid w:val="00A75E3D"/>
    <w:rsid w:val="00A76525"/>
    <w:rsid w:val="00A766D5"/>
    <w:rsid w:val="00A7680A"/>
    <w:rsid w:val="00A76CEF"/>
    <w:rsid w:val="00A76E7F"/>
    <w:rsid w:val="00A7721B"/>
    <w:rsid w:val="00A7724F"/>
    <w:rsid w:val="00A772F1"/>
    <w:rsid w:val="00A773EC"/>
    <w:rsid w:val="00A7753A"/>
    <w:rsid w:val="00A77545"/>
    <w:rsid w:val="00A775D8"/>
    <w:rsid w:val="00A77695"/>
    <w:rsid w:val="00A777AB"/>
    <w:rsid w:val="00A77B9C"/>
    <w:rsid w:val="00A77C3A"/>
    <w:rsid w:val="00A77DF3"/>
    <w:rsid w:val="00A77F8F"/>
    <w:rsid w:val="00A77F96"/>
    <w:rsid w:val="00A77FE3"/>
    <w:rsid w:val="00A80206"/>
    <w:rsid w:val="00A80315"/>
    <w:rsid w:val="00A8036C"/>
    <w:rsid w:val="00A80709"/>
    <w:rsid w:val="00A8087B"/>
    <w:rsid w:val="00A80888"/>
    <w:rsid w:val="00A809EE"/>
    <w:rsid w:val="00A80AC5"/>
    <w:rsid w:val="00A80AD5"/>
    <w:rsid w:val="00A80EBC"/>
    <w:rsid w:val="00A8125A"/>
    <w:rsid w:val="00A812E9"/>
    <w:rsid w:val="00A81329"/>
    <w:rsid w:val="00A814D8"/>
    <w:rsid w:val="00A8159C"/>
    <w:rsid w:val="00A815E2"/>
    <w:rsid w:val="00A816CC"/>
    <w:rsid w:val="00A81766"/>
    <w:rsid w:val="00A818E4"/>
    <w:rsid w:val="00A82142"/>
    <w:rsid w:val="00A82282"/>
    <w:rsid w:val="00A8228B"/>
    <w:rsid w:val="00A823D4"/>
    <w:rsid w:val="00A824F3"/>
    <w:rsid w:val="00A825B8"/>
    <w:rsid w:val="00A82904"/>
    <w:rsid w:val="00A8307D"/>
    <w:rsid w:val="00A83490"/>
    <w:rsid w:val="00A834B5"/>
    <w:rsid w:val="00A835DF"/>
    <w:rsid w:val="00A83714"/>
    <w:rsid w:val="00A838AC"/>
    <w:rsid w:val="00A83934"/>
    <w:rsid w:val="00A83A0E"/>
    <w:rsid w:val="00A83A69"/>
    <w:rsid w:val="00A83AF6"/>
    <w:rsid w:val="00A83CA4"/>
    <w:rsid w:val="00A83D86"/>
    <w:rsid w:val="00A83DB4"/>
    <w:rsid w:val="00A83EB9"/>
    <w:rsid w:val="00A840C1"/>
    <w:rsid w:val="00A8415C"/>
    <w:rsid w:val="00A8438C"/>
    <w:rsid w:val="00A843F9"/>
    <w:rsid w:val="00A84C06"/>
    <w:rsid w:val="00A84C3A"/>
    <w:rsid w:val="00A84DA7"/>
    <w:rsid w:val="00A84DE4"/>
    <w:rsid w:val="00A84FB2"/>
    <w:rsid w:val="00A851FD"/>
    <w:rsid w:val="00A8532A"/>
    <w:rsid w:val="00A859E0"/>
    <w:rsid w:val="00A85D22"/>
    <w:rsid w:val="00A85FC2"/>
    <w:rsid w:val="00A85FD2"/>
    <w:rsid w:val="00A85FEF"/>
    <w:rsid w:val="00A86651"/>
    <w:rsid w:val="00A866DA"/>
    <w:rsid w:val="00A866F4"/>
    <w:rsid w:val="00A86747"/>
    <w:rsid w:val="00A8676E"/>
    <w:rsid w:val="00A868AF"/>
    <w:rsid w:val="00A86A59"/>
    <w:rsid w:val="00A86DD5"/>
    <w:rsid w:val="00A872FF"/>
    <w:rsid w:val="00A87439"/>
    <w:rsid w:val="00A8750B"/>
    <w:rsid w:val="00A87571"/>
    <w:rsid w:val="00A8777C"/>
    <w:rsid w:val="00A87835"/>
    <w:rsid w:val="00A87931"/>
    <w:rsid w:val="00A87963"/>
    <w:rsid w:val="00A87B69"/>
    <w:rsid w:val="00A87BBC"/>
    <w:rsid w:val="00A87C25"/>
    <w:rsid w:val="00A87C3B"/>
    <w:rsid w:val="00A87C4E"/>
    <w:rsid w:val="00A87D62"/>
    <w:rsid w:val="00A87D7E"/>
    <w:rsid w:val="00A87F23"/>
    <w:rsid w:val="00A90188"/>
    <w:rsid w:val="00A902CA"/>
    <w:rsid w:val="00A90342"/>
    <w:rsid w:val="00A90405"/>
    <w:rsid w:val="00A9040B"/>
    <w:rsid w:val="00A904B7"/>
    <w:rsid w:val="00A90513"/>
    <w:rsid w:val="00A90514"/>
    <w:rsid w:val="00A90638"/>
    <w:rsid w:val="00A90705"/>
    <w:rsid w:val="00A9070F"/>
    <w:rsid w:val="00A9075D"/>
    <w:rsid w:val="00A9094C"/>
    <w:rsid w:val="00A90AD7"/>
    <w:rsid w:val="00A90B19"/>
    <w:rsid w:val="00A90B9F"/>
    <w:rsid w:val="00A90C60"/>
    <w:rsid w:val="00A90E50"/>
    <w:rsid w:val="00A90E79"/>
    <w:rsid w:val="00A90EC7"/>
    <w:rsid w:val="00A91095"/>
    <w:rsid w:val="00A9114C"/>
    <w:rsid w:val="00A917C5"/>
    <w:rsid w:val="00A917D1"/>
    <w:rsid w:val="00A918C5"/>
    <w:rsid w:val="00A91B47"/>
    <w:rsid w:val="00A91C0D"/>
    <w:rsid w:val="00A91ED3"/>
    <w:rsid w:val="00A922C4"/>
    <w:rsid w:val="00A9240B"/>
    <w:rsid w:val="00A925FA"/>
    <w:rsid w:val="00A9276B"/>
    <w:rsid w:val="00A92882"/>
    <w:rsid w:val="00A92885"/>
    <w:rsid w:val="00A93116"/>
    <w:rsid w:val="00A9331E"/>
    <w:rsid w:val="00A93377"/>
    <w:rsid w:val="00A93412"/>
    <w:rsid w:val="00A9344B"/>
    <w:rsid w:val="00A93499"/>
    <w:rsid w:val="00A934D7"/>
    <w:rsid w:val="00A93676"/>
    <w:rsid w:val="00A93B6E"/>
    <w:rsid w:val="00A941C2"/>
    <w:rsid w:val="00A94302"/>
    <w:rsid w:val="00A947DC"/>
    <w:rsid w:val="00A94A70"/>
    <w:rsid w:val="00A94D21"/>
    <w:rsid w:val="00A94FAB"/>
    <w:rsid w:val="00A951E9"/>
    <w:rsid w:val="00A9527A"/>
    <w:rsid w:val="00A952E0"/>
    <w:rsid w:val="00A95381"/>
    <w:rsid w:val="00A9551A"/>
    <w:rsid w:val="00A95560"/>
    <w:rsid w:val="00A9569A"/>
    <w:rsid w:val="00A956CE"/>
    <w:rsid w:val="00A9570E"/>
    <w:rsid w:val="00A9597F"/>
    <w:rsid w:val="00A95B50"/>
    <w:rsid w:val="00A95C0D"/>
    <w:rsid w:val="00A95CCC"/>
    <w:rsid w:val="00A95CF9"/>
    <w:rsid w:val="00A95D87"/>
    <w:rsid w:val="00A95E7E"/>
    <w:rsid w:val="00A95EA3"/>
    <w:rsid w:val="00A95EED"/>
    <w:rsid w:val="00A95FEF"/>
    <w:rsid w:val="00A96282"/>
    <w:rsid w:val="00A96436"/>
    <w:rsid w:val="00A9674B"/>
    <w:rsid w:val="00A96B5C"/>
    <w:rsid w:val="00A96CC5"/>
    <w:rsid w:val="00A96F61"/>
    <w:rsid w:val="00A96FF4"/>
    <w:rsid w:val="00A97065"/>
    <w:rsid w:val="00A97445"/>
    <w:rsid w:val="00A975AE"/>
    <w:rsid w:val="00A97858"/>
    <w:rsid w:val="00A97B71"/>
    <w:rsid w:val="00A97BAF"/>
    <w:rsid w:val="00A97C2F"/>
    <w:rsid w:val="00A97DCA"/>
    <w:rsid w:val="00A97F7E"/>
    <w:rsid w:val="00AA00F0"/>
    <w:rsid w:val="00AA0494"/>
    <w:rsid w:val="00AA0559"/>
    <w:rsid w:val="00AA062B"/>
    <w:rsid w:val="00AA0651"/>
    <w:rsid w:val="00AA0668"/>
    <w:rsid w:val="00AA069B"/>
    <w:rsid w:val="00AA0996"/>
    <w:rsid w:val="00AA0AEF"/>
    <w:rsid w:val="00AA0D11"/>
    <w:rsid w:val="00AA0D95"/>
    <w:rsid w:val="00AA11B8"/>
    <w:rsid w:val="00AA147C"/>
    <w:rsid w:val="00AA1753"/>
    <w:rsid w:val="00AA1ADD"/>
    <w:rsid w:val="00AA1BB1"/>
    <w:rsid w:val="00AA1BBF"/>
    <w:rsid w:val="00AA1C25"/>
    <w:rsid w:val="00AA1CB5"/>
    <w:rsid w:val="00AA1E07"/>
    <w:rsid w:val="00AA1F47"/>
    <w:rsid w:val="00AA2039"/>
    <w:rsid w:val="00AA22DE"/>
    <w:rsid w:val="00AA23A9"/>
    <w:rsid w:val="00AA265E"/>
    <w:rsid w:val="00AA26EC"/>
    <w:rsid w:val="00AA293B"/>
    <w:rsid w:val="00AA29E5"/>
    <w:rsid w:val="00AA2AEB"/>
    <w:rsid w:val="00AA2D70"/>
    <w:rsid w:val="00AA30CD"/>
    <w:rsid w:val="00AA30F8"/>
    <w:rsid w:val="00AA3120"/>
    <w:rsid w:val="00AA3122"/>
    <w:rsid w:val="00AA329C"/>
    <w:rsid w:val="00AA329E"/>
    <w:rsid w:val="00AA37D2"/>
    <w:rsid w:val="00AA391B"/>
    <w:rsid w:val="00AA398A"/>
    <w:rsid w:val="00AA3AC3"/>
    <w:rsid w:val="00AA3BBA"/>
    <w:rsid w:val="00AA3C44"/>
    <w:rsid w:val="00AA3F74"/>
    <w:rsid w:val="00AA3FB3"/>
    <w:rsid w:val="00AA41E0"/>
    <w:rsid w:val="00AA470A"/>
    <w:rsid w:val="00AA4B23"/>
    <w:rsid w:val="00AA4B61"/>
    <w:rsid w:val="00AA4BD5"/>
    <w:rsid w:val="00AA4F4B"/>
    <w:rsid w:val="00AA4FA2"/>
    <w:rsid w:val="00AA5146"/>
    <w:rsid w:val="00AA536B"/>
    <w:rsid w:val="00AA5467"/>
    <w:rsid w:val="00AA54A4"/>
    <w:rsid w:val="00AA5573"/>
    <w:rsid w:val="00AA5B49"/>
    <w:rsid w:val="00AA5B58"/>
    <w:rsid w:val="00AA5BFC"/>
    <w:rsid w:val="00AA5D17"/>
    <w:rsid w:val="00AA5DC8"/>
    <w:rsid w:val="00AA5DFD"/>
    <w:rsid w:val="00AA6187"/>
    <w:rsid w:val="00AA637B"/>
    <w:rsid w:val="00AA677E"/>
    <w:rsid w:val="00AA68AB"/>
    <w:rsid w:val="00AA68C3"/>
    <w:rsid w:val="00AA6A99"/>
    <w:rsid w:val="00AA6C15"/>
    <w:rsid w:val="00AA6D76"/>
    <w:rsid w:val="00AA6F18"/>
    <w:rsid w:val="00AA7133"/>
    <w:rsid w:val="00AA758B"/>
    <w:rsid w:val="00AA75B0"/>
    <w:rsid w:val="00AA76C0"/>
    <w:rsid w:val="00AA7799"/>
    <w:rsid w:val="00AA781C"/>
    <w:rsid w:val="00AA7C0D"/>
    <w:rsid w:val="00AA7CDF"/>
    <w:rsid w:val="00AA7CF9"/>
    <w:rsid w:val="00AA7D64"/>
    <w:rsid w:val="00AA7E12"/>
    <w:rsid w:val="00AB0050"/>
    <w:rsid w:val="00AB05DC"/>
    <w:rsid w:val="00AB0747"/>
    <w:rsid w:val="00AB0781"/>
    <w:rsid w:val="00AB0813"/>
    <w:rsid w:val="00AB0844"/>
    <w:rsid w:val="00AB0C4D"/>
    <w:rsid w:val="00AB0CBF"/>
    <w:rsid w:val="00AB108B"/>
    <w:rsid w:val="00AB1389"/>
    <w:rsid w:val="00AB1490"/>
    <w:rsid w:val="00AB163B"/>
    <w:rsid w:val="00AB168A"/>
    <w:rsid w:val="00AB16B1"/>
    <w:rsid w:val="00AB1897"/>
    <w:rsid w:val="00AB18B9"/>
    <w:rsid w:val="00AB1938"/>
    <w:rsid w:val="00AB1A0A"/>
    <w:rsid w:val="00AB1A2B"/>
    <w:rsid w:val="00AB1D4E"/>
    <w:rsid w:val="00AB201C"/>
    <w:rsid w:val="00AB2040"/>
    <w:rsid w:val="00AB22DF"/>
    <w:rsid w:val="00AB268A"/>
    <w:rsid w:val="00AB27A9"/>
    <w:rsid w:val="00AB2881"/>
    <w:rsid w:val="00AB2A4C"/>
    <w:rsid w:val="00AB2AAF"/>
    <w:rsid w:val="00AB2EA9"/>
    <w:rsid w:val="00AB3029"/>
    <w:rsid w:val="00AB3167"/>
    <w:rsid w:val="00AB317D"/>
    <w:rsid w:val="00AB33C6"/>
    <w:rsid w:val="00AB3471"/>
    <w:rsid w:val="00AB3719"/>
    <w:rsid w:val="00AB3BEC"/>
    <w:rsid w:val="00AB3BEE"/>
    <w:rsid w:val="00AB4087"/>
    <w:rsid w:val="00AB4296"/>
    <w:rsid w:val="00AB42E5"/>
    <w:rsid w:val="00AB437B"/>
    <w:rsid w:val="00AB473F"/>
    <w:rsid w:val="00AB4762"/>
    <w:rsid w:val="00AB4779"/>
    <w:rsid w:val="00AB49B3"/>
    <w:rsid w:val="00AB49CF"/>
    <w:rsid w:val="00AB4B97"/>
    <w:rsid w:val="00AB4C59"/>
    <w:rsid w:val="00AB4C68"/>
    <w:rsid w:val="00AB5270"/>
    <w:rsid w:val="00AB5273"/>
    <w:rsid w:val="00AB5321"/>
    <w:rsid w:val="00AB5538"/>
    <w:rsid w:val="00AB5639"/>
    <w:rsid w:val="00AB5942"/>
    <w:rsid w:val="00AB5946"/>
    <w:rsid w:val="00AB5A02"/>
    <w:rsid w:val="00AB5BCC"/>
    <w:rsid w:val="00AB5C1C"/>
    <w:rsid w:val="00AB5EB5"/>
    <w:rsid w:val="00AB6078"/>
    <w:rsid w:val="00AB61B9"/>
    <w:rsid w:val="00AB61EC"/>
    <w:rsid w:val="00AB644D"/>
    <w:rsid w:val="00AB665B"/>
    <w:rsid w:val="00AB67D8"/>
    <w:rsid w:val="00AB690E"/>
    <w:rsid w:val="00AB6981"/>
    <w:rsid w:val="00AB6B13"/>
    <w:rsid w:val="00AB755B"/>
    <w:rsid w:val="00AB771C"/>
    <w:rsid w:val="00AB7A3B"/>
    <w:rsid w:val="00AB7D5C"/>
    <w:rsid w:val="00AB7EE3"/>
    <w:rsid w:val="00AC0186"/>
    <w:rsid w:val="00AC02ED"/>
    <w:rsid w:val="00AC0325"/>
    <w:rsid w:val="00AC040A"/>
    <w:rsid w:val="00AC0410"/>
    <w:rsid w:val="00AC046B"/>
    <w:rsid w:val="00AC048C"/>
    <w:rsid w:val="00AC0573"/>
    <w:rsid w:val="00AC05BF"/>
    <w:rsid w:val="00AC0682"/>
    <w:rsid w:val="00AC0881"/>
    <w:rsid w:val="00AC0BCC"/>
    <w:rsid w:val="00AC0CA2"/>
    <w:rsid w:val="00AC0D41"/>
    <w:rsid w:val="00AC0D6F"/>
    <w:rsid w:val="00AC0F3A"/>
    <w:rsid w:val="00AC0FCD"/>
    <w:rsid w:val="00AC11A5"/>
    <w:rsid w:val="00AC15C0"/>
    <w:rsid w:val="00AC16D0"/>
    <w:rsid w:val="00AC1751"/>
    <w:rsid w:val="00AC1807"/>
    <w:rsid w:val="00AC1837"/>
    <w:rsid w:val="00AC197A"/>
    <w:rsid w:val="00AC1B17"/>
    <w:rsid w:val="00AC1D77"/>
    <w:rsid w:val="00AC1D85"/>
    <w:rsid w:val="00AC217A"/>
    <w:rsid w:val="00AC21BD"/>
    <w:rsid w:val="00AC2292"/>
    <w:rsid w:val="00AC22A2"/>
    <w:rsid w:val="00AC2388"/>
    <w:rsid w:val="00AC254D"/>
    <w:rsid w:val="00AC25C8"/>
    <w:rsid w:val="00AC271B"/>
    <w:rsid w:val="00AC2764"/>
    <w:rsid w:val="00AC27DA"/>
    <w:rsid w:val="00AC28D1"/>
    <w:rsid w:val="00AC2B24"/>
    <w:rsid w:val="00AC2BB0"/>
    <w:rsid w:val="00AC2CBA"/>
    <w:rsid w:val="00AC2E0B"/>
    <w:rsid w:val="00AC2F69"/>
    <w:rsid w:val="00AC30E6"/>
    <w:rsid w:val="00AC30E8"/>
    <w:rsid w:val="00AC322E"/>
    <w:rsid w:val="00AC3771"/>
    <w:rsid w:val="00AC377D"/>
    <w:rsid w:val="00AC3798"/>
    <w:rsid w:val="00AC387E"/>
    <w:rsid w:val="00AC3922"/>
    <w:rsid w:val="00AC3A7E"/>
    <w:rsid w:val="00AC3C7F"/>
    <w:rsid w:val="00AC3E2A"/>
    <w:rsid w:val="00AC3F51"/>
    <w:rsid w:val="00AC406A"/>
    <w:rsid w:val="00AC435A"/>
    <w:rsid w:val="00AC43B0"/>
    <w:rsid w:val="00AC448A"/>
    <w:rsid w:val="00AC449F"/>
    <w:rsid w:val="00AC44B8"/>
    <w:rsid w:val="00AC44BC"/>
    <w:rsid w:val="00AC45A9"/>
    <w:rsid w:val="00AC47A7"/>
    <w:rsid w:val="00AC47D9"/>
    <w:rsid w:val="00AC5063"/>
    <w:rsid w:val="00AC511A"/>
    <w:rsid w:val="00AC525E"/>
    <w:rsid w:val="00AC52B9"/>
    <w:rsid w:val="00AC5379"/>
    <w:rsid w:val="00AC56BA"/>
    <w:rsid w:val="00AC56F5"/>
    <w:rsid w:val="00AC5734"/>
    <w:rsid w:val="00AC5886"/>
    <w:rsid w:val="00AC58A0"/>
    <w:rsid w:val="00AC5F14"/>
    <w:rsid w:val="00AC65DE"/>
    <w:rsid w:val="00AC67BD"/>
    <w:rsid w:val="00AC6B21"/>
    <w:rsid w:val="00AC701E"/>
    <w:rsid w:val="00AC70E3"/>
    <w:rsid w:val="00AC7195"/>
    <w:rsid w:val="00AC71CC"/>
    <w:rsid w:val="00AC723B"/>
    <w:rsid w:val="00AC724C"/>
    <w:rsid w:val="00AC7B34"/>
    <w:rsid w:val="00AC7EB2"/>
    <w:rsid w:val="00AD06BE"/>
    <w:rsid w:val="00AD074B"/>
    <w:rsid w:val="00AD080E"/>
    <w:rsid w:val="00AD085E"/>
    <w:rsid w:val="00AD0B29"/>
    <w:rsid w:val="00AD0B3E"/>
    <w:rsid w:val="00AD0BC9"/>
    <w:rsid w:val="00AD11ED"/>
    <w:rsid w:val="00AD11F2"/>
    <w:rsid w:val="00AD1319"/>
    <w:rsid w:val="00AD1387"/>
    <w:rsid w:val="00AD163F"/>
    <w:rsid w:val="00AD16C6"/>
    <w:rsid w:val="00AD17FA"/>
    <w:rsid w:val="00AD182F"/>
    <w:rsid w:val="00AD1D13"/>
    <w:rsid w:val="00AD1FEB"/>
    <w:rsid w:val="00AD200B"/>
    <w:rsid w:val="00AD2656"/>
    <w:rsid w:val="00AD2841"/>
    <w:rsid w:val="00AD28E2"/>
    <w:rsid w:val="00AD2A55"/>
    <w:rsid w:val="00AD2A78"/>
    <w:rsid w:val="00AD2BAD"/>
    <w:rsid w:val="00AD2BD5"/>
    <w:rsid w:val="00AD2CAF"/>
    <w:rsid w:val="00AD2FBE"/>
    <w:rsid w:val="00AD3248"/>
    <w:rsid w:val="00AD3314"/>
    <w:rsid w:val="00AD34A6"/>
    <w:rsid w:val="00AD360B"/>
    <w:rsid w:val="00AD3706"/>
    <w:rsid w:val="00AD372C"/>
    <w:rsid w:val="00AD3A06"/>
    <w:rsid w:val="00AD3AC7"/>
    <w:rsid w:val="00AD3B94"/>
    <w:rsid w:val="00AD3E8E"/>
    <w:rsid w:val="00AD3F16"/>
    <w:rsid w:val="00AD3F43"/>
    <w:rsid w:val="00AD40C4"/>
    <w:rsid w:val="00AD4273"/>
    <w:rsid w:val="00AD42EC"/>
    <w:rsid w:val="00AD4451"/>
    <w:rsid w:val="00AD4468"/>
    <w:rsid w:val="00AD45F2"/>
    <w:rsid w:val="00AD47B7"/>
    <w:rsid w:val="00AD49F3"/>
    <w:rsid w:val="00AD4AF3"/>
    <w:rsid w:val="00AD4B0F"/>
    <w:rsid w:val="00AD4C9D"/>
    <w:rsid w:val="00AD4E32"/>
    <w:rsid w:val="00AD50B5"/>
    <w:rsid w:val="00AD5340"/>
    <w:rsid w:val="00AD5385"/>
    <w:rsid w:val="00AD5751"/>
    <w:rsid w:val="00AD579E"/>
    <w:rsid w:val="00AD5803"/>
    <w:rsid w:val="00AD5A42"/>
    <w:rsid w:val="00AD5AB6"/>
    <w:rsid w:val="00AD5E81"/>
    <w:rsid w:val="00AD5ECA"/>
    <w:rsid w:val="00AD6101"/>
    <w:rsid w:val="00AD61FE"/>
    <w:rsid w:val="00AD6589"/>
    <w:rsid w:val="00AD6674"/>
    <w:rsid w:val="00AD66DA"/>
    <w:rsid w:val="00AD66E5"/>
    <w:rsid w:val="00AD67BC"/>
    <w:rsid w:val="00AD68BF"/>
    <w:rsid w:val="00AD6B05"/>
    <w:rsid w:val="00AD6E87"/>
    <w:rsid w:val="00AD7187"/>
    <w:rsid w:val="00AD754C"/>
    <w:rsid w:val="00AD760C"/>
    <w:rsid w:val="00AD7C7E"/>
    <w:rsid w:val="00AD7D8B"/>
    <w:rsid w:val="00AD7DC6"/>
    <w:rsid w:val="00AD7E03"/>
    <w:rsid w:val="00AD7E14"/>
    <w:rsid w:val="00AD7ECD"/>
    <w:rsid w:val="00AD7F43"/>
    <w:rsid w:val="00AD7FD5"/>
    <w:rsid w:val="00AE0265"/>
    <w:rsid w:val="00AE02CA"/>
    <w:rsid w:val="00AE056D"/>
    <w:rsid w:val="00AE058E"/>
    <w:rsid w:val="00AE05C2"/>
    <w:rsid w:val="00AE061D"/>
    <w:rsid w:val="00AE06E6"/>
    <w:rsid w:val="00AE081D"/>
    <w:rsid w:val="00AE088E"/>
    <w:rsid w:val="00AE08D2"/>
    <w:rsid w:val="00AE0A24"/>
    <w:rsid w:val="00AE0ABA"/>
    <w:rsid w:val="00AE0B62"/>
    <w:rsid w:val="00AE0D1C"/>
    <w:rsid w:val="00AE0EA3"/>
    <w:rsid w:val="00AE0FE0"/>
    <w:rsid w:val="00AE10A1"/>
    <w:rsid w:val="00AE10AC"/>
    <w:rsid w:val="00AE1102"/>
    <w:rsid w:val="00AE1139"/>
    <w:rsid w:val="00AE14D9"/>
    <w:rsid w:val="00AE151E"/>
    <w:rsid w:val="00AE1675"/>
    <w:rsid w:val="00AE16C4"/>
    <w:rsid w:val="00AE1B31"/>
    <w:rsid w:val="00AE1B51"/>
    <w:rsid w:val="00AE1CBA"/>
    <w:rsid w:val="00AE1E30"/>
    <w:rsid w:val="00AE1F26"/>
    <w:rsid w:val="00AE1F45"/>
    <w:rsid w:val="00AE207D"/>
    <w:rsid w:val="00AE212A"/>
    <w:rsid w:val="00AE22D3"/>
    <w:rsid w:val="00AE2384"/>
    <w:rsid w:val="00AE23CA"/>
    <w:rsid w:val="00AE23DF"/>
    <w:rsid w:val="00AE2688"/>
    <w:rsid w:val="00AE26AA"/>
    <w:rsid w:val="00AE293B"/>
    <w:rsid w:val="00AE3036"/>
    <w:rsid w:val="00AE30CD"/>
    <w:rsid w:val="00AE3478"/>
    <w:rsid w:val="00AE3616"/>
    <w:rsid w:val="00AE392C"/>
    <w:rsid w:val="00AE3B6A"/>
    <w:rsid w:val="00AE405B"/>
    <w:rsid w:val="00AE4080"/>
    <w:rsid w:val="00AE4150"/>
    <w:rsid w:val="00AE4816"/>
    <w:rsid w:val="00AE48EB"/>
    <w:rsid w:val="00AE4AE1"/>
    <w:rsid w:val="00AE4BE4"/>
    <w:rsid w:val="00AE4C52"/>
    <w:rsid w:val="00AE4E78"/>
    <w:rsid w:val="00AE4EE2"/>
    <w:rsid w:val="00AE4EF3"/>
    <w:rsid w:val="00AE5053"/>
    <w:rsid w:val="00AE50A1"/>
    <w:rsid w:val="00AE525D"/>
    <w:rsid w:val="00AE54C5"/>
    <w:rsid w:val="00AE5561"/>
    <w:rsid w:val="00AE55D2"/>
    <w:rsid w:val="00AE56D5"/>
    <w:rsid w:val="00AE576B"/>
    <w:rsid w:val="00AE5949"/>
    <w:rsid w:val="00AE5990"/>
    <w:rsid w:val="00AE59C2"/>
    <w:rsid w:val="00AE5B61"/>
    <w:rsid w:val="00AE5E36"/>
    <w:rsid w:val="00AE5FD1"/>
    <w:rsid w:val="00AE61EE"/>
    <w:rsid w:val="00AE62A0"/>
    <w:rsid w:val="00AE6577"/>
    <w:rsid w:val="00AE662C"/>
    <w:rsid w:val="00AE66AD"/>
    <w:rsid w:val="00AE6911"/>
    <w:rsid w:val="00AE6B3B"/>
    <w:rsid w:val="00AE6B9D"/>
    <w:rsid w:val="00AE6BE0"/>
    <w:rsid w:val="00AE6CFF"/>
    <w:rsid w:val="00AE6D5B"/>
    <w:rsid w:val="00AE6EC0"/>
    <w:rsid w:val="00AE6FD5"/>
    <w:rsid w:val="00AE71FF"/>
    <w:rsid w:val="00AE7299"/>
    <w:rsid w:val="00AE7367"/>
    <w:rsid w:val="00AE7405"/>
    <w:rsid w:val="00AE74E3"/>
    <w:rsid w:val="00AE74E5"/>
    <w:rsid w:val="00AE7506"/>
    <w:rsid w:val="00AE7CCA"/>
    <w:rsid w:val="00AE7F85"/>
    <w:rsid w:val="00AF016A"/>
    <w:rsid w:val="00AF03B0"/>
    <w:rsid w:val="00AF0709"/>
    <w:rsid w:val="00AF08C0"/>
    <w:rsid w:val="00AF099C"/>
    <w:rsid w:val="00AF09EC"/>
    <w:rsid w:val="00AF0AAC"/>
    <w:rsid w:val="00AF0AD7"/>
    <w:rsid w:val="00AF0BD4"/>
    <w:rsid w:val="00AF0D9E"/>
    <w:rsid w:val="00AF12F7"/>
    <w:rsid w:val="00AF1345"/>
    <w:rsid w:val="00AF13FD"/>
    <w:rsid w:val="00AF156D"/>
    <w:rsid w:val="00AF15B4"/>
    <w:rsid w:val="00AF17C5"/>
    <w:rsid w:val="00AF1943"/>
    <w:rsid w:val="00AF1BC7"/>
    <w:rsid w:val="00AF1DFB"/>
    <w:rsid w:val="00AF21FA"/>
    <w:rsid w:val="00AF235E"/>
    <w:rsid w:val="00AF253E"/>
    <w:rsid w:val="00AF25C9"/>
    <w:rsid w:val="00AF26E8"/>
    <w:rsid w:val="00AF28A7"/>
    <w:rsid w:val="00AF2BD9"/>
    <w:rsid w:val="00AF2D62"/>
    <w:rsid w:val="00AF2D8E"/>
    <w:rsid w:val="00AF2EBA"/>
    <w:rsid w:val="00AF2EFD"/>
    <w:rsid w:val="00AF301F"/>
    <w:rsid w:val="00AF320D"/>
    <w:rsid w:val="00AF38E5"/>
    <w:rsid w:val="00AF3D0F"/>
    <w:rsid w:val="00AF3DAD"/>
    <w:rsid w:val="00AF3F34"/>
    <w:rsid w:val="00AF4420"/>
    <w:rsid w:val="00AF44BB"/>
    <w:rsid w:val="00AF44BC"/>
    <w:rsid w:val="00AF45C1"/>
    <w:rsid w:val="00AF4DAD"/>
    <w:rsid w:val="00AF4DCA"/>
    <w:rsid w:val="00AF4E14"/>
    <w:rsid w:val="00AF4F15"/>
    <w:rsid w:val="00AF5319"/>
    <w:rsid w:val="00AF590B"/>
    <w:rsid w:val="00AF5A90"/>
    <w:rsid w:val="00AF5AEE"/>
    <w:rsid w:val="00AF5FB8"/>
    <w:rsid w:val="00AF5FEF"/>
    <w:rsid w:val="00AF60EE"/>
    <w:rsid w:val="00AF6393"/>
    <w:rsid w:val="00AF6590"/>
    <w:rsid w:val="00AF65F2"/>
    <w:rsid w:val="00AF6632"/>
    <w:rsid w:val="00AF6740"/>
    <w:rsid w:val="00AF68EB"/>
    <w:rsid w:val="00AF6914"/>
    <w:rsid w:val="00AF699A"/>
    <w:rsid w:val="00AF6B09"/>
    <w:rsid w:val="00AF6B23"/>
    <w:rsid w:val="00AF6C41"/>
    <w:rsid w:val="00AF6D4C"/>
    <w:rsid w:val="00AF6E8C"/>
    <w:rsid w:val="00AF6F5C"/>
    <w:rsid w:val="00AF6F91"/>
    <w:rsid w:val="00AF71DC"/>
    <w:rsid w:val="00AF7251"/>
    <w:rsid w:val="00AF7412"/>
    <w:rsid w:val="00AF7731"/>
    <w:rsid w:val="00AF77E2"/>
    <w:rsid w:val="00AF7AC9"/>
    <w:rsid w:val="00AF7B73"/>
    <w:rsid w:val="00AF7E1C"/>
    <w:rsid w:val="00AF7E4F"/>
    <w:rsid w:val="00AF7EB5"/>
    <w:rsid w:val="00AF7F7C"/>
    <w:rsid w:val="00B0004F"/>
    <w:rsid w:val="00B00186"/>
    <w:rsid w:val="00B00402"/>
    <w:rsid w:val="00B00B18"/>
    <w:rsid w:val="00B00B2C"/>
    <w:rsid w:val="00B0116B"/>
    <w:rsid w:val="00B011E6"/>
    <w:rsid w:val="00B0131F"/>
    <w:rsid w:val="00B01657"/>
    <w:rsid w:val="00B016E6"/>
    <w:rsid w:val="00B01713"/>
    <w:rsid w:val="00B0178E"/>
    <w:rsid w:val="00B0183B"/>
    <w:rsid w:val="00B01B74"/>
    <w:rsid w:val="00B01C38"/>
    <w:rsid w:val="00B02596"/>
    <w:rsid w:val="00B02996"/>
    <w:rsid w:val="00B02A85"/>
    <w:rsid w:val="00B02B66"/>
    <w:rsid w:val="00B02B90"/>
    <w:rsid w:val="00B02BEE"/>
    <w:rsid w:val="00B02FB4"/>
    <w:rsid w:val="00B0309D"/>
    <w:rsid w:val="00B030C3"/>
    <w:rsid w:val="00B03303"/>
    <w:rsid w:val="00B033EA"/>
    <w:rsid w:val="00B037BD"/>
    <w:rsid w:val="00B0380A"/>
    <w:rsid w:val="00B0383B"/>
    <w:rsid w:val="00B03847"/>
    <w:rsid w:val="00B039DE"/>
    <w:rsid w:val="00B03C2D"/>
    <w:rsid w:val="00B03F70"/>
    <w:rsid w:val="00B03FA4"/>
    <w:rsid w:val="00B04392"/>
    <w:rsid w:val="00B04610"/>
    <w:rsid w:val="00B047F4"/>
    <w:rsid w:val="00B04A17"/>
    <w:rsid w:val="00B04A3B"/>
    <w:rsid w:val="00B04A42"/>
    <w:rsid w:val="00B04BAD"/>
    <w:rsid w:val="00B050DF"/>
    <w:rsid w:val="00B051F7"/>
    <w:rsid w:val="00B05521"/>
    <w:rsid w:val="00B056D3"/>
    <w:rsid w:val="00B05729"/>
    <w:rsid w:val="00B05BF4"/>
    <w:rsid w:val="00B05CDA"/>
    <w:rsid w:val="00B05D30"/>
    <w:rsid w:val="00B06208"/>
    <w:rsid w:val="00B063F4"/>
    <w:rsid w:val="00B064F2"/>
    <w:rsid w:val="00B0669D"/>
    <w:rsid w:val="00B06BBA"/>
    <w:rsid w:val="00B06BCA"/>
    <w:rsid w:val="00B06C5C"/>
    <w:rsid w:val="00B06FB5"/>
    <w:rsid w:val="00B070D1"/>
    <w:rsid w:val="00B07146"/>
    <w:rsid w:val="00B07287"/>
    <w:rsid w:val="00B073D5"/>
    <w:rsid w:val="00B074D5"/>
    <w:rsid w:val="00B0752C"/>
    <w:rsid w:val="00B07547"/>
    <w:rsid w:val="00B076E6"/>
    <w:rsid w:val="00B07701"/>
    <w:rsid w:val="00B1009C"/>
    <w:rsid w:val="00B10259"/>
    <w:rsid w:val="00B1025A"/>
    <w:rsid w:val="00B1028E"/>
    <w:rsid w:val="00B10401"/>
    <w:rsid w:val="00B10710"/>
    <w:rsid w:val="00B107DA"/>
    <w:rsid w:val="00B10A39"/>
    <w:rsid w:val="00B10D57"/>
    <w:rsid w:val="00B10DA4"/>
    <w:rsid w:val="00B10E07"/>
    <w:rsid w:val="00B11032"/>
    <w:rsid w:val="00B1105E"/>
    <w:rsid w:val="00B11115"/>
    <w:rsid w:val="00B11182"/>
    <w:rsid w:val="00B11299"/>
    <w:rsid w:val="00B112F0"/>
    <w:rsid w:val="00B1157A"/>
    <w:rsid w:val="00B11589"/>
    <w:rsid w:val="00B1168B"/>
    <w:rsid w:val="00B117DC"/>
    <w:rsid w:val="00B1181A"/>
    <w:rsid w:val="00B1184C"/>
    <w:rsid w:val="00B1192C"/>
    <w:rsid w:val="00B11B82"/>
    <w:rsid w:val="00B11DB3"/>
    <w:rsid w:val="00B11DBA"/>
    <w:rsid w:val="00B11E36"/>
    <w:rsid w:val="00B11EBD"/>
    <w:rsid w:val="00B1217D"/>
    <w:rsid w:val="00B121E7"/>
    <w:rsid w:val="00B12441"/>
    <w:rsid w:val="00B12552"/>
    <w:rsid w:val="00B1278A"/>
    <w:rsid w:val="00B12BF0"/>
    <w:rsid w:val="00B12D3B"/>
    <w:rsid w:val="00B12F3A"/>
    <w:rsid w:val="00B130E9"/>
    <w:rsid w:val="00B132A7"/>
    <w:rsid w:val="00B132E5"/>
    <w:rsid w:val="00B1337A"/>
    <w:rsid w:val="00B13408"/>
    <w:rsid w:val="00B1368B"/>
    <w:rsid w:val="00B137B3"/>
    <w:rsid w:val="00B13BBC"/>
    <w:rsid w:val="00B13BBD"/>
    <w:rsid w:val="00B13BC2"/>
    <w:rsid w:val="00B13EC0"/>
    <w:rsid w:val="00B13FC3"/>
    <w:rsid w:val="00B140D3"/>
    <w:rsid w:val="00B14100"/>
    <w:rsid w:val="00B14257"/>
    <w:rsid w:val="00B14299"/>
    <w:rsid w:val="00B143C6"/>
    <w:rsid w:val="00B14A52"/>
    <w:rsid w:val="00B14AE5"/>
    <w:rsid w:val="00B14C83"/>
    <w:rsid w:val="00B15537"/>
    <w:rsid w:val="00B15675"/>
    <w:rsid w:val="00B156B1"/>
    <w:rsid w:val="00B158E9"/>
    <w:rsid w:val="00B15910"/>
    <w:rsid w:val="00B15CA0"/>
    <w:rsid w:val="00B15ED8"/>
    <w:rsid w:val="00B15EEC"/>
    <w:rsid w:val="00B16038"/>
    <w:rsid w:val="00B16154"/>
    <w:rsid w:val="00B16640"/>
    <w:rsid w:val="00B1679A"/>
    <w:rsid w:val="00B16937"/>
    <w:rsid w:val="00B16AE4"/>
    <w:rsid w:val="00B16BC8"/>
    <w:rsid w:val="00B16C65"/>
    <w:rsid w:val="00B16E92"/>
    <w:rsid w:val="00B16F6B"/>
    <w:rsid w:val="00B17103"/>
    <w:rsid w:val="00B17492"/>
    <w:rsid w:val="00B1760F"/>
    <w:rsid w:val="00B1763B"/>
    <w:rsid w:val="00B17B42"/>
    <w:rsid w:val="00B17C59"/>
    <w:rsid w:val="00B20375"/>
    <w:rsid w:val="00B20765"/>
    <w:rsid w:val="00B2092B"/>
    <w:rsid w:val="00B209A5"/>
    <w:rsid w:val="00B20BC0"/>
    <w:rsid w:val="00B20C43"/>
    <w:rsid w:val="00B20D22"/>
    <w:rsid w:val="00B20D53"/>
    <w:rsid w:val="00B21162"/>
    <w:rsid w:val="00B21193"/>
    <w:rsid w:val="00B2138E"/>
    <w:rsid w:val="00B21400"/>
    <w:rsid w:val="00B2160C"/>
    <w:rsid w:val="00B216BC"/>
    <w:rsid w:val="00B216ED"/>
    <w:rsid w:val="00B2192A"/>
    <w:rsid w:val="00B21BDC"/>
    <w:rsid w:val="00B21C44"/>
    <w:rsid w:val="00B21CAB"/>
    <w:rsid w:val="00B21D4D"/>
    <w:rsid w:val="00B21E75"/>
    <w:rsid w:val="00B220E1"/>
    <w:rsid w:val="00B2217A"/>
    <w:rsid w:val="00B222B5"/>
    <w:rsid w:val="00B225F5"/>
    <w:rsid w:val="00B228F3"/>
    <w:rsid w:val="00B229A2"/>
    <w:rsid w:val="00B22C2D"/>
    <w:rsid w:val="00B22D3D"/>
    <w:rsid w:val="00B22F11"/>
    <w:rsid w:val="00B2300F"/>
    <w:rsid w:val="00B2329F"/>
    <w:rsid w:val="00B233DA"/>
    <w:rsid w:val="00B2349D"/>
    <w:rsid w:val="00B234C6"/>
    <w:rsid w:val="00B23731"/>
    <w:rsid w:val="00B23799"/>
    <w:rsid w:val="00B238BB"/>
    <w:rsid w:val="00B2399A"/>
    <w:rsid w:val="00B23ADA"/>
    <w:rsid w:val="00B23C7F"/>
    <w:rsid w:val="00B24017"/>
    <w:rsid w:val="00B243AB"/>
    <w:rsid w:val="00B2460E"/>
    <w:rsid w:val="00B2477C"/>
    <w:rsid w:val="00B2486A"/>
    <w:rsid w:val="00B24872"/>
    <w:rsid w:val="00B248C9"/>
    <w:rsid w:val="00B24906"/>
    <w:rsid w:val="00B24C83"/>
    <w:rsid w:val="00B24E35"/>
    <w:rsid w:val="00B24E41"/>
    <w:rsid w:val="00B24E6F"/>
    <w:rsid w:val="00B24F39"/>
    <w:rsid w:val="00B25020"/>
    <w:rsid w:val="00B2512B"/>
    <w:rsid w:val="00B251D8"/>
    <w:rsid w:val="00B2522D"/>
    <w:rsid w:val="00B253AC"/>
    <w:rsid w:val="00B256DC"/>
    <w:rsid w:val="00B25963"/>
    <w:rsid w:val="00B25DAF"/>
    <w:rsid w:val="00B25E97"/>
    <w:rsid w:val="00B2603E"/>
    <w:rsid w:val="00B2636D"/>
    <w:rsid w:val="00B267D2"/>
    <w:rsid w:val="00B26899"/>
    <w:rsid w:val="00B26B1F"/>
    <w:rsid w:val="00B26BFE"/>
    <w:rsid w:val="00B26D0C"/>
    <w:rsid w:val="00B26F00"/>
    <w:rsid w:val="00B27231"/>
    <w:rsid w:val="00B272EA"/>
    <w:rsid w:val="00B2742A"/>
    <w:rsid w:val="00B2770C"/>
    <w:rsid w:val="00B27A70"/>
    <w:rsid w:val="00B27BF7"/>
    <w:rsid w:val="00B27D0C"/>
    <w:rsid w:val="00B27D32"/>
    <w:rsid w:val="00B30275"/>
    <w:rsid w:val="00B3087C"/>
    <w:rsid w:val="00B3090A"/>
    <w:rsid w:val="00B30B2C"/>
    <w:rsid w:val="00B30E17"/>
    <w:rsid w:val="00B30EB9"/>
    <w:rsid w:val="00B30FDF"/>
    <w:rsid w:val="00B31259"/>
    <w:rsid w:val="00B3125E"/>
    <w:rsid w:val="00B31280"/>
    <w:rsid w:val="00B313FF"/>
    <w:rsid w:val="00B314D3"/>
    <w:rsid w:val="00B3184F"/>
    <w:rsid w:val="00B318D6"/>
    <w:rsid w:val="00B31984"/>
    <w:rsid w:val="00B319C2"/>
    <w:rsid w:val="00B31A5B"/>
    <w:rsid w:val="00B31B42"/>
    <w:rsid w:val="00B31EF6"/>
    <w:rsid w:val="00B31FF6"/>
    <w:rsid w:val="00B32067"/>
    <w:rsid w:val="00B322E3"/>
    <w:rsid w:val="00B32318"/>
    <w:rsid w:val="00B3269D"/>
    <w:rsid w:val="00B3282D"/>
    <w:rsid w:val="00B32D01"/>
    <w:rsid w:val="00B32E39"/>
    <w:rsid w:val="00B32E47"/>
    <w:rsid w:val="00B33089"/>
    <w:rsid w:val="00B332CE"/>
    <w:rsid w:val="00B3356E"/>
    <w:rsid w:val="00B3379D"/>
    <w:rsid w:val="00B3384C"/>
    <w:rsid w:val="00B3398E"/>
    <w:rsid w:val="00B33ADF"/>
    <w:rsid w:val="00B33B24"/>
    <w:rsid w:val="00B33B32"/>
    <w:rsid w:val="00B33B48"/>
    <w:rsid w:val="00B33C10"/>
    <w:rsid w:val="00B33CB0"/>
    <w:rsid w:val="00B33DFC"/>
    <w:rsid w:val="00B33EB1"/>
    <w:rsid w:val="00B33EC1"/>
    <w:rsid w:val="00B34095"/>
    <w:rsid w:val="00B34112"/>
    <w:rsid w:val="00B34167"/>
    <w:rsid w:val="00B3444E"/>
    <w:rsid w:val="00B34503"/>
    <w:rsid w:val="00B34519"/>
    <w:rsid w:val="00B34727"/>
    <w:rsid w:val="00B34A27"/>
    <w:rsid w:val="00B34D69"/>
    <w:rsid w:val="00B34E39"/>
    <w:rsid w:val="00B34F82"/>
    <w:rsid w:val="00B34FE7"/>
    <w:rsid w:val="00B35083"/>
    <w:rsid w:val="00B35378"/>
    <w:rsid w:val="00B353B4"/>
    <w:rsid w:val="00B353FA"/>
    <w:rsid w:val="00B35468"/>
    <w:rsid w:val="00B35595"/>
    <w:rsid w:val="00B355D6"/>
    <w:rsid w:val="00B35875"/>
    <w:rsid w:val="00B3594C"/>
    <w:rsid w:val="00B35A73"/>
    <w:rsid w:val="00B35B3C"/>
    <w:rsid w:val="00B35E63"/>
    <w:rsid w:val="00B35E8D"/>
    <w:rsid w:val="00B35FA5"/>
    <w:rsid w:val="00B362B0"/>
    <w:rsid w:val="00B362EA"/>
    <w:rsid w:val="00B36489"/>
    <w:rsid w:val="00B364F3"/>
    <w:rsid w:val="00B3666C"/>
    <w:rsid w:val="00B36754"/>
    <w:rsid w:val="00B36A80"/>
    <w:rsid w:val="00B36EA9"/>
    <w:rsid w:val="00B371A0"/>
    <w:rsid w:val="00B371B0"/>
    <w:rsid w:val="00B3720F"/>
    <w:rsid w:val="00B37435"/>
    <w:rsid w:val="00B37844"/>
    <w:rsid w:val="00B37891"/>
    <w:rsid w:val="00B379D2"/>
    <w:rsid w:val="00B37B9D"/>
    <w:rsid w:val="00B37BF8"/>
    <w:rsid w:val="00B37D06"/>
    <w:rsid w:val="00B4019C"/>
    <w:rsid w:val="00B402C3"/>
    <w:rsid w:val="00B40357"/>
    <w:rsid w:val="00B40641"/>
    <w:rsid w:val="00B4070A"/>
    <w:rsid w:val="00B40727"/>
    <w:rsid w:val="00B40A7B"/>
    <w:rsid w:val="00B40B23"/>
    <w:rsid w:val="00B40B7F"/>
    <w:rsid w:val="00B410C2"/>
    <w:rsid w:val="00B410E3"/>
    <w:rsid w:val="00B41150"/>
    <w:rsid w:val="00B41363"/>
    <w:rsid w:val="00B41418"/>
    <w:rsid w:val="00B41424"/>
    <w:rsid w:val="00B41838"/>
    <w:rsid w:val="00B41B64"/>
    <w:rsid w:val="00B41B68"/>
    <w:rsid w:val="00B41E01"/>
    <w:rsid w:val="00B41F61"/>
    <w:rsid w:val="00B420C6"/>
    <w:rsid w:val="00B42246"/>
    <w:rsid w:val="00B42586"/>
    <w:rsid w:val="00B4289E"/>
    <w:rsid w:val="00B428BF"/>
    <w:rsid w:val="00B42C50"/>
    <w:rsid w:val="00B42CDB"/>
    <w:rsid w:val="00B42D97"/>
    <w:rsid w:val="00B42EAF"/>
    <w:rsid w:val="00B42F27"/>
    <w:rsid w:val="00B42FF5"/>
    <w:rsid w:val="00B432EC"/>
    <w:rsid w:val="00B432FB"/>
    <w:rsid w:val="00B438DC"/>
    <w:rsid w:val="00B439D3"/>
    <w:rsid w:val="00B43A7C"/>
    <w:rsid w:val="00B43C9C"/>
    <w:rsid w:val="00B43D7A"/>
    <w:rsid w:val="00B43E9A"/>
    <w:rsid w:val="00B43FED"/>
    <w:rsid w:val="00B446D4"/>
    <w:rsid w:val="00B4472C"/>
    <w:rsid w:val="00B44806"/>
    <w:rsid w:val="00B44BB8"/>
    <w:rsid w:val="00B44EA8"/>
    <w:rsid w:val="00B45174"/>
    <w:rsid w:val="00B451EE"/>
    <w:rsid w:val="00B455D8"/>
    <w:rsid w:val="00B455F3"/>
    <w:rsid w:val="00B457C5"/>
    <w:rsid w:val="00B457F2"/>
    <w:rsid w:val="00B45885"/>
    <w:rsid w:val="00B4589E"/>
    <w:rsid w:val="00B45BE2"/>
    <w:rsid w:val="00B45F29"/>
    <w:rsid w:val="00B45F66"/>
    <w:rsid w:val="00B460AC"/>
    <w:rsid w:val="00B46190"/>
    <w:rsid w:val="00B461EA"/>
    <w:rsid w:val="00B46504"/>
    <w:rsid w:val="00B4668B"/>
    <w:rsid w:val="00B46841"/>
    <w:rsid w:val="00B469E4"/>
    <w:rsid w:val="00B46BC4"/>
    <w:rsid w:val="00B46C1E"/>
    <w:rsid w:val="00B46D10"/>
    <w:rsid w:val="00B470CD"/>
    <w:rsid w:val="00B470E5"/>
    <w:rsid w:val="00B471D4"/>
    <w:rsid w:val="00B47225"/>
    <w:rsid w:val="00B4744C"/>
    <w:rsid w:val="00B4749C"/>
    <w:rsid w:val="00B475A0"/>
    <w:rsid w:val="00B47777"/>
    <w:rsid w:val="00B4779B"/>
    <w:rsid w:val="00B47955"/>
    <w:rsid w:val="00B479EC"/>
    <w:rsid w:val="00B479F4"/>
    <w:rsid w:val="00B47ABB"/>
    <w:rsid w:val="00B47C5F"/>
    <w:rsid w:val="00B50064"/>
    <w:rsid w:val="00B50464"/>
    <w:rsid w:val="00B507BB"/>
    <w:rsid w:val="00B50809"/>
    <w:rsid w:val="00B50826"/>
    <w:rsid w:val="00B50906"/>
    <w:rsid w:val="00B50DFB"/>
    <w:rsid w:val="00B50E7E"/>
    <w:rsid w:val="00B50ECA"/>
    <w:rsid w:val="00B510CD"/>
    <w:rsid w:val="00B51818"/>
    <w:rsid w:val="00B51A10"/>
    <w:rsid w:val="00B51A11"/>
    <w:rsid w:val="00B51BE9"/>
    <w:rsid w:val="00B51C67"/>
    <w:rsid w:val="00B51CC7"/>
    <w:rsid w:val="00B51D6A"/>
    <w:rsid w:val="00B51F4C"/>
    <w:rsid w:val="00B521DB"/>
    <w:rsid w:val="00B521E5"/>
    <w:rsid w:val="00B52391"/>
    <w:rsid w:val="00B52849"/>
    <w:rsid w:val="00B52894"/>
    <w:rsid w:val="00B528D3"/>
    <w:rsid w:val="00B529EA"/>
    <w:rsid w:val="00B52BAF"/>
    <w:rsid w:val="00B52EFF"/>
    <w:rsid w:val="00B53037"/>
    <w:rsid w:val="00B53157"/>
    <w:rsid w:val="00B5333C"/>
    <w:rsid w:val="00B534EF"/>
    <w:rsid w:val="00B535C1"/>
    <w:rsid w:val="00B536F4"/>
    <w:rsid w:val="00B5374B"/>
    <w:rsid w:val="00B537CB"/>
    <w:rsid w:val="00B53BD5"/>
    <w:rsid w:val="00B53D28"/>
    <w:rsid w:val="00B541E7"/>
    <w:rsid w:val="00B54234"/>
    <w:rsid w:val="00B542FD"/>
    <w:rsid w:val="00B543BE"/>
    <w:rsid w:val="00B54647"/>
    <w:rsid w:val="00B54759"/>
    <w:rsid w:val="00B54BAE"/>
    <w:rsid w:val="00B5528F"/>
    <w:rsid w:val="00B55838"/>
    <w:rsid w:val="00B559FC"/>
    <w:rsid w:val="00B55BAB"/>
    <w:rsid w:val="00B55F17"/>
    <w:rsid w:val="00B56219"/>
    <w:rsid w:val="00B56356"/>
    <w:rsid w:val="00B5653A"/>
    <w:rsid w:val="00B565AC"/>
    <w:rsid w:val="00B566D7"/>
    <w:rsid w:val="00B568C7"/>
    <w:rsid w:val="00B56B1A"/>
    <w:rsid w:val="00B56F44"/>
    <w:rsid w:val="00B57263"/>
    <w:rsid w:val="00B5741B"/>
    <w:rsid w:val="00B5775A"/>
    <w:rsid w:val="00B5782F"/>
    <w:rsid w:val="00B579CE"/>
    <w:rsid w:val="00B57A52"/>
    <w:rsid w:val="00B57B9F"/>
    <w:rsid w:val="00B57E05"/>
    <w:rsid w:val="00B57EF6"/>
    <w:rsid w:val="00B6045D"/>
    <w:rsid w:val="00B6048B"/>
    <w:rsid w:val="00B605C0"/>
    <w:rsid w:val="00B605C7"/>
    <w:rsid w:val="00B605F9"/>
    <w:rsid w:val="00B60635"/>
    <w:rsid w:val="00B606A6"/>
    <w:rsid w:val="00B60786"/>
    <w:rsid w:val="00B60858"/>
    <w:rsid w:val="00B608FC"/>
    <w:rsid w:val="00B60ABD"/>
    <w:rsid w:val="00B60BE1"/>
    <w:rsid w:val="00B60C99"/>
    <w:rsid w:val="00B60CD7"/>
    <w:rsid w:val="00B60EFB"/>
    <w:rsid w:val="00B611F0"/>
    <w:rsid w:val="00B61369"/>
    <w:rsid w:val="00B614DB"/>
    <w:rsid w:val="00B61619"/>
    <w:rsid w:val="00B61823"/>
    <w:rsid w:val="00B61919"/>
    <w:rsid w:val="00B619D4"/>
    <w:rsid w:val="00B61A73"/>
    <w:rsid w:val="00B61F3E"/>
    <w:rsid w:val="00B627E5"/>
    <w:rsid w:val="00B6285E"/>
    <w:rsid w:val="00B62B9D"/>
    <w:rsid w:val="00B62C9E"/>
    <w:rsid w:val="00B62DCF"/>
    <w:rsid w:val="00B63013"/>
    <w:rsid w:val="00B63024"/>
    <w:rsid w:val="00B630C5"/>
    <w:rsid w:val="00B63171"/>
    <w:rsid w:val="00B63286"/>
    <w:rsid w:val="00B63356"/>
    <w:rsid w:val="00B633A2"/>
    <w:rsid w:val="00B634FF"/>
    <w:rsid w:val="00B636F7"/>
    <w:rsid w:val="00B63728"/>
    <w:rsid w:val="00B63957"/>
    <w:rsid w:val="00B63B85"/>
    <w:rsid w:val="00B63BA0"/>
    <w:rsid w:val="00B63C6F"/>
    <w:rsid w:val="00B63E8C"/>
    <w:rsid w:val="00B63EB0"/>
    <w:rsid w:val="00B63EEA"/>
    <w:rsid w:val="00B64075"/>
    <w:rsid w:val="00B64177"/>
    <w:rsid w:val="00B64407"/>
    <w:rsid w:val="00B644B4"/>
    <w:rsid w:val="00B645A5"/>
    <w:rsid w:val="00B64811"/>
    <w:rsid w:val="00B64A04"/>
    <w:rsid w:val="00B64A38"/>
    <w:rsid w:val="00B64AA7"/>
    <w:rsid w:val="00B64AD9"/>
    <w:rsid w:val="00B64BF8"/>
    <w:rsid w:val="00B64E2D"/>
    <w:rsid w:val="00B64F0E"/>
    <w:rsid w:val="00B64F50"/>
    <w:rsid w:val="00B65047"/>
    <w:rsid w:val="00B6507D"/>
    <w:rsid w:val="00B65094"/>
    <w:rsid w:val="00B6518E"/>
    <w:rsid w:val="00B65239"/>
    <w:rsid w:val="00B6546E"/>
    <w:rsid w:val="00B65683"/>
    <w:rsid w:val="00B6579E"/>
    <w:rsid w:val="00B65CED"/>
    <w:rsid w:val="00B65EE0"/>
    <w:rsid w:val="00B65F4D"/>
    <w:rsid w:val="00B65F67"/>
    <w:rsid w:val="00B66255"/>
    <w:rsid w:val="00B66294"/>
    <w:rsid w:val="00B664F5"/>
    <w:rsid w:val="00B666D3"/>
    <w:rsid w:val="00B6678B"/>
    <w:rsid w:val="00B669B7"/>
    <w:rsid w:val="00B669CC"/>
    <w:rsid w:val="00B66FBE"/>
    <w:rsid w:val="00B67111"/>
    <w:rsid w:val="00B673EE"/>
    <w:rsid w:val="00B6779C"/>
    <w:rsid w:val="00B679EF"/>
    <w:rsid w:val="00B67C2D"/>
    <w:rsid w:val="00B67FF6"/>
    <w:rsid w:val="00B70238"/>
    <w:rsid w:val="00B70373"/>
    <w:rsid w:val="00B703E8"/>
    <w:rsid w:val="00B70AF6"/>
    <w:rsid w:val="00B70B14"/>
    <w:rsid w:val="00B70CDC"/>
    <w:rsid w:val="00B70D0B"/>
    <w:rsid w:val="00B70EA9"/>
    <w:rsid w:val="00B70FA7"/>
    <w:rsid w:val="00B71193"/>
    <w:rsid w:val="00B7119C"/>
    <w:rsid w:val="00B712C6"/>
    <w:rsid w:val="00B71424"/>
    <w:rsid w:val="00B71661"/>
    <w:rsid w:val="00B716E3"/>
    <w:rsid w:val="00B717DF"/>
    <w:rsid w:val="00B71A52"/>
    <w:rsid w:val="00B71B17"/>
    <w:rsid w:val="00B71D69"/>
    <w:rsid w:val="00B72119"/>
    <w:rsid w:val="00B7238C"/>
    <w:rsid w:val="00B724E1"/>
    <w:rsid w:val="00B72563"/>
    <w:rsid w:val="00B72584"/>
    <w:rsid w:val="00B7261D"/>
    <w:rsid w:val="00B7276E"/>
    <w:rsid w:val="00B72E2D"/>
    <w:rsid w:val="00B72E81"/>
    <w:rsid w:val="00B730FC"/>
    <w:rsid w:val="00B73480"/>
    <w:rsid w:val="00B73670"/>
    <w:rsid w:val="00B739A3"/>
    <w:rsid w:val="00B739AD"/>
    <w:rsid w:val="00B73A6C"/>
    <w:rsid w:val="00B740A5"/>
    <w:rsid w:val="00B74195"/>
    <w:rsid w:val="00B74267"/>
    <w:rsid w:val="00B74422"/>
    <w:rsid w:val="00B745E4"/>
    <w:rsid w:val="00B74918"/>
    <w:rsid w:val="00B74939"/>
    <w:rsid w:val="00B74BCD"/>
    <w:rsid w:val="00B74C42"/>
    <w:rsid w:val="00B74EA1"/>
    <w:rsid w:val="00B7511C"/>
    <w:rsid w:val="00B753C1"/>
    <w:rsid w:val="00B753CA"/>
    <w:rsid w:val="00B753F5"/>
    <w:rsid w:val="00B75618"/>
    <w:rsid w:val="00B7576F"/>
    <w:rsid w:val="00B759A1"/>
    <w:rsid w:val="00B75A28"/>
    <w:rsid w:val="00B75AFF"/>
    <w:rsid w:val="00B75B09"/>
    <w:rsid w:val="00B75DE1"/>
    <w:rsid w:val="00B75F0D"/>
    <w:rsid w:val="00B76156"/>
    <w:rsid w:val="00B7618C"/>
    <w:rsid w:val="00B76246"/>
    <w:rsid w:val="00B76368"/>
    <w:rsid w:val="00B763F3"/>
    <w:rsid w:val="00B765F7"/>
    <w:rsid w:val="00B765FC"/>
    <w:rsid w:val="00B7665E"/>
    <w:rsid w:val="00B76842"/>
    <w:rsid w:val="00B76A19"/>
    <w:rsid w:val="00B76B86"/>
    <w:rsid w:val="00B7700A"/>
    <w:rsid w:val="00B77080"/>
    <w:rsid w:val="00B776DE"/>
    <w:rsid w:val="00B77B09"/>
    <w:rsid w:val="00B77F30"/>
    <w:rsid w:val="00B8007E"/>
    <w:rsid w:val="00B800BE"/>
    <w:rsid w:val="00B8017C"/>
    <w:rsid w:val="00B801CC"/>
    <w:rsid w:val="00B80218"/>
    <w:rsid w:val="00B8032F"/>
    <w:rsid w:val="00B8076B"/>
    <w:rsid w:val="00B80780"/>
    <w:rsid w:val="00B80852"/>
    <w:rsid w:val="00B808B5"/>
    <w:rsid w:val="00B808E9"/>
    <w:rsid w:val="00B80E9C"/>
    <w:rsid w:val="00B80F87"/>
    <w:rsid w:val="00B80FBF"/>
    <w:rsid w:val="00B81005"/>
    <w:rsid w:val="00B81007"/>
    <w:rsid w:val="00B810B5"/>
    <w:rsid w:val="00B81211"/>
    <w:rsid w:val="00B8133D"/>
    <w:rsid w:val="00B8157A"/>
    <w:rsid w:val="00B81795"/>
    <w:rsid w:val="00B81B0F"/>
    <w:rsid w:val="00B81BB5"/>
    <w:rsid w:val="00B821A2"/>
    <w:rsid w:val="00B82433"/>
    <w:rsid w:val="00B8246B"/>
    <w:rsid w:val="00B824B3"/>
    <w:rsid w:val="00B8251B"/>
    <w:rsid w:val="00B827D7"/>
    <w:rsid w:val="00B82AEC"/>
    <w:rsid w:val="00B82B0C"/>
    <w:rsid w:val="00B82C66"/>
    <w:rsid w:val="00B82CB6"/>
    <w:rsid w:val="00B82D93"/>
    <w:rsid w:val="00B82E9F"/>
    <w:rsid w:val="00B82F90"/>
    <w:rsid w:val="00B830F1"/>
    <w:rsid w:val="00B83787"/>
    <w:rsid w:val="00B837E4"/>
    <w:rsid w:val="00B83B13"/>
    <w:rsid w:val="00B83BD5"/>
    <w:rsid w:val="00B83D41"/>
    <w:rsid w:val="00B83E5F"/>
    <w:rsid w:val="00B83F21"/>
    <w:rsid w:val="00B8403D"/>
    <w:rsid w:val="00B842C9"/>
    <w:rsid w:val="00B843EC"/>
    <w:rsid w:val="00B8457F"/>
    <w:rsid w:val="00B8466B"/>
    <w:rsid w:val="00B846FC"/>
    <w:rsid w:val="00B84982"/>
    <w:rsid w:val="00B84DDD"/>
    <w:rsid w:val="00B850B2"/>
    <w:rsid w:val="00B852F7"/>
    <w:rsid w:val="00B8533C"/>
    <w:rsid w:val="00B855A1"/>
    <w:rsid w:val="00B858BA"/>
    <w:rsid w:val="00B85C52"/>
    <w:rsid w:val="00B860BD"/>
    <w:rsid w:val="00B8612A"/>
    <w:rsid w:val="00B864A3"/>
    <w:rsid w:val="00B86800"/>
    <w:rsid w:val="00B86884"/>
    <w:rsid w:val="00B86D30"/>
    <w:rsid w:val="00B86D4E"/>
    <w:rsid w:val="00B86D55"/>
    <w:rsid w:val="00B86E7C"/>
    <w:rsid w:val="00B87003"/>
    <w:rsid w:val="00B870BC"/>
    <w:rsid w:val="00B8710F"/>
    <w:rsid w:val="00B87157"/>
    <w:rsid w:val="00B8719C"/>
    <w:rsid w:val="00B87237"/>
    <w:rsid w:val="00B874A1"/>
    <w:rsid w:val="00B875E8"/>
    <w:rsid w:val="00B875FF"/>
    <w:rsid w:val="00B87667"/>
    <w:rsid w:val="00B87900"/>
    <w:rsid w:val="00B87940"/>
    <w:rsid w:val="00B8798C"/>
    <w:rsid w:val="00B87BD2"/>
    <w:rsid w:val="00B87D21"/>
    <w:rsid w:val="00B87E30"/>
    <w:rsid w:val="00B9034B"/>
    <w:rsid w:val="00B9034C"/>
    <w:rsid w:val="00B90371"/>
    <w:rsid w:val="00B9038D"/>
    <w:rsid w:val="00B90439"/>
    <w:rsid w:val="00B9067B"/>
    <w:rsid w:val="00B9070F"/>
    <w:rsid w:val="00B908B7"/>
    <w:rsid w:val="00B909F7"/>
    <w:rsid w:val="00B90B15"/>
    <w:rsid w:val="00B90DA4"/>
    <w:rsid w:val="00B90FA7"/>
    <w:rsid w:val="00B91131"/>
    <w:rsid w:val="00B9136B"/>
    <w:rsid w:val="00B917F8"/>
    <w:rsid w:val="00B91926"/>
    <w:rsid w:val="00B91933"/>
    <w:rsid w:val="00B91B3A"/>
    <w:rsid w:val="00B92000"/>
    <w:rsid w:val="00B9213A"/>
    <w:rsid w:val="00B92149"/>
    <w:rsid w:val="00B92220"/>
    <w:rsid w:val="00B92401"/>
    <w:rsid w:val="00B926EF"/>
    <w:rsid w:val="00B92C13"/>
    <w:rsid w:val="00B92DCE"/>
    <w:rsid w:val="00B92FDE"/>
    <w:rsid w:val="00B934A0"/>
    <w:rsid w:val="00B9392A"/>
    <w:rsid w:val="00B93A23"/>
    <w:rsid w:val="00B93AE5"/>
    <w:rsid w:val="00B93B14"/>
    <w:rsid w:val="00B93D34"/>
    <w:rsid w:val="00B93D9B"/>
    <w:rsid w:val="00B93DC3"/>
    <w:rsid w:val="00B93E6C"/>
    <w:rsid w:val="00B940EB"/>
    <w:rsid w:val="00B9412F"/>
    <w:rsid w:val="00B9430D"/>
    <w:rsid w:val="00B94578"/>
    <w:rsid w:val="00B94643"/>
    <w:rsid w:val="00B9475A"/>
    <w:rsid w:val="00B94CBC"/>
    <w:rsid w:val="00B94D53"/>
    <w:rsid w:val="00B94EDB"/>
    <w:rsid w:val="00B94FD5"/>
    <w:rsid w:val="00B95017"/>
    <w:rsid w:val="00B951D8"/>
    <w:rsid w:val="00B951FC"/>
    <w:rsid w:val="00B9522A"/>
    <w:rsid w:val="00B953A4"/>
    <w:rsid w:val="00B954B8"/>
    <w:rsid w:val="00B95703"/>
    <w:rsid w:val="00B959A7"/>
    <w:rsid w:val="00B95ACE"/>
    <w:rsid w:val="00B95C69"/>
    <w:rsid w:val="00B95DB8"/>
    <w:rsid w:val="00B95DE5"/>
    <w:rsid w:val="00B95FD6"/>
    <w:rsid w:val="00B960E5"/>
    <w:rsid w:val="00B9629D"/>
    <w:rsid w:val="00B962C0"/>
    <w:rsid w:val="00B96470"/>
    <w:rsid w:val="00B964A9"/>
    <w:rsid w:val="00B96573"/>
    <w:rsid w:val="00B96614"/>
    <w:rsid w:val="00B96881"/>
    <w:rsid w:val="00B96969"/>
    <w:rsid w:val="00B96B57"/>
    <w:rsid w:val="00B96CEA"/>
    <w:rsid w:val="00B96D26"/>
    <w:rsid w:val="00B96D46"/>
    <w:rsid w:val="00B970C4"/>
    <w:rsid w:val="00B970F0"/>
    <w:rsid w:val="00B9712C"/>
    <w:rsid w:val="00B97487"/>
    <w:rsid w:val="00B97874"/>
    <w:rsid w:val="00B978F2"/>
    <w:rsid w:val="00B97923"/>
    <w:rsid w:val="00B97AE2"/>
    <w:rsid w:val="00B97B59"/>
    <w:rsid w:val="00B97BE4"/>
    <w:rsid w:val="00B97C84"/>
    <w:rsid w:val="00B97D21"/>
    <w:rsid w:val="00B97D67"/>
    <w:rsid w:val="00B97F21"/>
    <w:rsid w:val="00BA0165"/>
    <w:rsid w:val="00BA040D"/>
    <w:rsid w:val="00BA07F5"/>
    <w:rsid w:val="00BA0C07"/>
    <w:rsid w:val="00BA0C59"/>
    <w:rsid w:val="00BA0DDD"/>
    <w:rsid w:val="00BA0E86"/>
    <w:rsid w:val="00BA108F"/>
    <w:rsid w:val="00BA1171"/>
    <w:rsid w:val="00BA17C5"/>
    <w:rsid w:val="00BA1A08"/>
    <w:rsid w:val="00BA1B50"/>
    <w:rsid w:val="00BA1CAC"/>
    <w:rsid w:val="00BA1CB3"/>
    <w:rsid w:val="00BA1E3E"/>
    <w:rsid w:val="00BA1FC9"/>
    <w:rsid w:val="00BA21BB"/>
    <w:rsid w:val="00BA24C1"/>
    <w:rsid w:val="00BA2529"/>
    <w:rsid w:val="00BA2844"/>
    <w:rsid w:val="00BA28FD"/>
    <w:rsid w:val="00BA2BFF"/>
    <w:rsid w:val="00BA2D81"/>
    <w:rsid w:val="00BA2E47"/>
    <w:rsid w:val="00BA3071"/>
    <w:rsid w:val="00BA3142"/>
    <w:rsid w:val="00BA3238"/>
    <w:rsid w:val="00BA3281"/>
    <w:rsid w:val="00BA3338"/>
    <w:rsid w:val="00BA333C"/>
    <w:rsid w:val="00BA366F"/>
    <w:rsid w:val="00BA36D2"/>
    <w:rsid w:val="00BA392B"/>
    <w:rsid w:val="00BA3973"/>
    <w:rsid w:val="00BA39CE"/>
    <w:rsid w:val="00BA3AC1"/>
    <w:rsid w:val="00BA3AED"/>
    <w:rsid w:val="00BA3B93"/>
    <w:rsid w:val="00BA3D1C"/>
    <w:rsid w:val="00BA3F22"/>
    <w:rsid w:val="00BA3F43"/>
    <w:rsid w:val="00BA3FCB"/>
    <w:rsid w:val="00BA4571"/>
    <w:rsid w:val="00BA46C9"/>
    <w:rsid w:val="00BA4948"/>
    <w:rsid w:val="00BA4B6F"/>
    <w:rsid w:val="00BA4BED"/>
    <w:rsid w:val="00BA4CAE"/>
    <w:rsid w:val="00BA4DD0"/>
    <w:rsid w:val="00BA4E51"/>
    <w:rsid w:val="00BA4E86"/>
    <w:rsid w:val="00BA4E94"/>
    <w:rsid w:val="00BA508C"/>
    <w:rsid w:val="00BA50B6"/>
    <w:rsid w:val="00BA528F"/>
    <w:rsid w:val="00BA52D8"/>
    <w:rsid w:val="00BA55D7"/>
    <w:rsid w:val="00BA565E"/>
    <w:rsid w:val="00BA57C0"/>
    <w:rsid w:val="00BA591D"/>
    <w:rsid w:val="00BA5921"/>
    <w:rsid w:val="00BA5B10"/>
    <w:rsid w:val="00BA5D6A"/>
    <w:rsid w:val="00BA5D91"/>
    <w:rsid w:val="00BA5F22"/>
    <w:rsid w:val="00BA60EF"/>
    <w:rsid w:val="00BA627E"/>
    <w:rsid w:val="00BA62BF"/>
    <w:rsid w:val="00BA64B3"/>
    <w:rsid w:val="00BA657A"/>
    <w:rsid w:val="00BA67FD"/>
    <w:rsid w:val="00BA68D2"/>
    <w:rsid w:val="00BA68FA"/>
    <w:rsid w:val="00BA690E"/>
    <w:rsid w:val="00BA6DD2"/>
    <w:rsid w:val="00BA6DE1"/>
    <w:rsid w:val="00BA7045"/>
    <w:rsid w:val="00BA73EB"/>
    <w:rsid w:val="00BA7922"/>
    <w:rsid w:val="00BA79BA"/>
    <w:rsid w:val="00BA7B31"/>
    <w:rsid w:val="00BA7E23"/>
    <w:rsid w:val="00BA7E33"/>
    <w:rsid w:val="00BA7ED0"/>
    <w:rsid w:val="00BB006D"/>
    <w:rsid w:val="00BB00FD"/>
    <w:rsid w:val="00BB056A"/>
    <w:rsid w:val="00BB0A67"/>
    <w:rsid w:val="00BB0FB0"/>
    <w:rsid w:val="00BB10B9"/>
    <w:rsid w:val="00BB1141"/>
    <w:rsid w:val="00BB123F"/>
    <w:rsid w:val="00BB17B7"/>
    <w:rsid w:val="00BB17C5"/>
    <w:rsid w:val="00BB19D0"/>
    <w:rsid w:val="00BB1A74"/>
    <w:rsid w:val="00BB1B10"/>
    <w:rsid w:val="00BB1C3A"/>
    <w:rsid w:val="00BB1C88"/>
    <w:rsid w:val="00BB21CD"/>
    <w:rsid w:val="00BB259C"/>
    <w:rsid w:val="00BB263A"/>
    <w:rsid w:val="00BB2796"/>
    <w:rsid w:val="00BB2A17"/>
    <w:rsid w:val="00BB2A7A"/>
    <w:rsid w:val="00BB2C13"/>
    <w:rsid w:val="00BB2D37"/>
    <w:rsid w:val="00BB30B1"/>
    <w:rsid w:val="00BB30D5"/>
    <w:rsid w:val="00BB3270"/>
    <w:rsid w:val="00BB32B4"/>
    <w:rsid w:val="00BB32DD"/>
    <w:rsid w:val="00BB3318"/>
    <w:rsid w:val="00BB34A2"/>
    <w:rsid w:val="00BB3824"/>
    <w:rsid w:val="00BB3956"/>
    <w:rsid w:val="00BB3A04"/>
    <w:rsid w:val="00BB3A35"/>
    <w:rsid w:val="00BB3B5F"/>
    <w:rsid w:val="00BB3C3E"/>
    <w:rsid w:val="00BB3CA0"/>
    <w:rsid w:val="00BB3DBA"/>
    <w:rsid w:val="00BB4101"/>
    <w:rsid w:val="00BB4153"/>
    <w:rsid w:val="00BB4237"/>
    <w:rsid w:val="00BB4240"/>
    <w:rsid w:val="00BB452D"/>
    <w:rsid w:val="00BB45CD"/>
    <w:rsid w:val="00BB47BF"/>
    <w:rsid w:val="00BB4833"/>
    <w:rsid w:val="00BB4928"/>
    <w:rsid w:val="00BB4941"/>
    <w:rsid w:val="00BB4A48"/>
    <w:rsid w:val="00BB4E92"/>
    <w:rsid w:val="00BB568A"/>
    <w:rsid w:val="00BB58EE"/>
    <w:rsid w:val="00BB5A12"/>
    <w:rsid w:val="00BB5AF0"/>
    <w:rsid w:val="00BB5C22"/>
    <w:rsid w:val="00BB5CDE"/>
    <w:rsid w:val="00BB5E4D"/>
    <w:rsid w:val="00BB6061"/>
    <w:rsid w:val="00BB6290"/>
    <w:rsid w:val="00BB62CE"/>
    <w:rsid w:val="00BB63D1"/>
    <w:rsid w:val="00BB6404"/>
    <w:rsid w:val="00BB64AE"/>
    <w:rsid w:val="00BB658C"/>
    <w:rsid w:val="00BB65D7"/>
    <w:rsid w:val="00BB66ED"/>
    <w:rsid w:val="00BB686B"/>
    <w:rsid w:val="00BB69A5"/>
    <w:rsid w:val="00BB6AAB"/>
    <w:rsid w:val="00BB6AB7"/>
    <w:rsid w:val="00BB6BAA"/>
    <w:rsid w:val="00BB6CB4"/>
    <w:rsid w:val="00BB6F6C"/>
    <w:rsid w:val="00BB6FE5"/>
    <w:rsid w:val="00BB7075"/>
    <w:rsid w:val="00BB7326"/>
    <w:rsid w:val="00BB7531"/>
    <w:rsid w:val="00BB75E8"/>
    <w:rsid w:val="00BB793A"/>
    <w:rsid w:val="00BB7B33"/>
    <w:rsid w:val="00BB7B84"/>
    <w:rsid w:val="00BB7E85"/>
    <w:rsid w:val="00BC0030"/>
    <w:rsid w:val="00BC0044"/>
    <w:rsid w:val="00BC0181"/>
    <w:rsid w:val="00BC018E"/>
    <w:rsid w:val="00BC0228"/>
    <w:rsid w:val="00BC0479"/>
    <w:rsid w:val="00BC04A2"/>
    <w:rsid w:val="00BC0623"/>
    <w:rsid w:val="00BC063E"/>
    <w:rsid w:val="00BC080A"/>
    <w:rsid w:val="00BC0AE7"/>
    <w:rsid w:val="00BC0C52"/>
    <w:rsid w:val="00BC0D59"/>
    <w:rsid w:val="00BC0E18"/>
    <w:rsid w:val="00BC13E9"/>
    <w:rsid w:val="00BC168E"/>
    <w:rsid w:val="00BC16E8"/>
    <w:rsid w:val="00BC1B84"/>
    <w:rsid w:val="00BC1C31"/>
    <w:rsid w:val="00BC1C51"/>
    <w:rsid w:val="00BC1F8B"/>
    <w:rsid w:val="00BC21AA"/>
    <w:rsid w:val="00BC230B"/>
    <w:rsid w:val="00BC2393"/>
    <w:rsid w:val="00BC2C03"/>
    <w:rsid w:val="00BC2C35"/>
    <w:rsid w:val="00BC2DB9"/>
    <w:rsid w:val="00BC2E61"/>
    <w:rsid w:val="00BC2E8D"/>
    <w:rsid w:val="00BC30A0"/>
    <w:rsid w:val="00BC33A4"/>
    <w:rsid w:val="00BC33BC"/>
    <w:rsid w:val="00BC33E1"/>
    <w:rsid w:val="00BC3403"/>
    <w:rsid w:val="00BC3453"/>
    <w:rsid w:val="00BC352F"/>
    <w:rsid w:val="00BC3635"/>
    <w:rsid w:val="00BC380B"/>
    <w:rsid w:val="00BC3817"/>
    <w:rsid w:val="00BC3A27"/>
    <w:rsid w:val="00BC3BC3"/>
    <w:rsid w:val="00BC3C63"/>
    <w:rsid w:val="00BC3E6B"/>
    <w:rsid w:val="00BC4086"/>
    <w:rsid w:val="00BC41A5"/>
    <w:rsid w:val="00BC462B"/>
    <w:rsid w:val="00BC48B6"/>
    <w:rsid w:val="00BC49D6"/>
    <w:rsid w:val="00BC4C79"/>
    <w:rsid w:val="00BC4D09"/>
    <w:rsid w:val="00BC4D48"/>
    <w:rsid w:val="00BC4E18"/>
    <w:rsid w:val="00BC51F2"/>
    <w:rsid w:val="00BC5244"/>
    <w:rsid w:val="00BC540A"/>
    <w:rsid w:val="00BC55A3"/>
    <w:rsid w:val="00BC5664"/>
    <w:rsid w:val="00BC5674"/>
    <w:rsid w:val="00BC5B35"/>
    <w:rsid w:val="00BC5B4F"/>
    <w:rsid w:val="00BC5DDF"/>
    <w:rsid w:val="00BC5E57"/>
    <w:rsid w:val="00BC5EA9"/>
    <w:rsid w:val="00BC5F02"/>
    <w:rsid w:val="00BC604F"/>
    <w:rsid w:val="00BC6292"/>
    <w:rsid w:val="00BC63AA"/>
    <w:rsid w:val="00BC651F"/>
    <w:rsid w:val="00BC65EC"/>
    <w:rsid w:val="00BC65F6"/>
    <w:rsid w:val="00BC68CE"/>
    <w:rsid w:val="00BC6A20"/>
    <w:rsid w:val="00BC6AF5"/>
    <w:rsid w:val="00BC6B26"/>
    <w:rsid w:val="00BC6CC7"/>
    <w:rsid w:val="00BC73A4"/>
    <w:rsid w:val="00BC741D"/>
    <w:rsid w:val="00BC7773"/>
    <w:rsid w:val="00BC7834"/>
    <w:rsid w:val="00BC789D"/>
    <w:rsid w:val="00BC7B17"/>
    <w:rsid w:val="00BC7B6D"/>
    <w:rsid w:val="00BC7BE8"/>
    <w:rsid w:val="00BD00A9"/>
    <w:rsid w:val="00BD00BF"/>
    <w:rsid w:val="00BD0103"/>
    <w:rsid w:val="00BD0198"/>
    <w:rsid w:val="00BD0233"/>
    <w:rsid w:val="00BD04A9"/>
    <w:rsid w:val="00BD0561"/>
    <w:rsid w:val="00BD061A"/>
    <w:rsid w:val="00BD0690"/>
    <w:rsid w:val="00BD07FB"/>
    <w:rsid w:val="00BD0E1C"/>
    <w:rsid w:val="00BD1283"/>
    <w:rsid w:val="00BD15C0"/>
    <w:rsid w:val="00BD16CC"/>
    <w:rsid w:val="00BD1E31"/>
    <w:rsid w:val="00BD2384"/>
    <w:rsid w:val="00BD281B"/>
    <w:rsid w:val="00BD2DBD"/>
    <w:rsid w:val="00BD3010"/>
    <w:rsid w:val="00BD302D"/>
    <w:rsid w:val="00BD30DE"/>
    <w:rsid w:val="00BD3198"/>
    <w:rsid w:val="00BD32BE"/>
    <w:rsid w:val="00BD3405"/>
    <w:rsid w:val="00BD3411"/>
    <w:rsid w:val="00BD344E"/>
    <w:rsid w:val="00BD352C"/>
    <w:rsid w:val="00BD37E8"/>
    <w:rsid w:val="00BD3839"/>
    <w:rsid w:val="00BD387A"/>
    <w:rsid w:val="00BD3BCA"/>
    <w:rsid w:val="00BD3C31"/>
    <w:rsid w:val="00BD3D86"/>
    <w:rsid w:val="00BD3E8D"/>
    <w:rsid w:val="00BD4005"/>
    <w:rsid w:val="00BD406B"/>
    <w:rsid w:val="00BD4072"/>
    <w:rsid w:val="00BD40FC"/>
    <w:rsid w:val="00BD41FF"/>
    <w:rsid w:val="00BD45D6"/>
    <w:rsid w:val="00BD4627"/>
    <w:rsid w:val="00BD4ADD"/>
    <w:rsid w:val="00BD4BC9"/>
    <w:rsid w:val="00BD4C16"/>
    <w:rsid w:val="00BD4E31"/>
    <w:rsid w:val="00BD4EA1"/>
    <w:rsid w:val="00BD4EC4"/>
    <w:rsid w:val="00BD540D"/>
    <w:rsid w:val="00BD54CB"/>
    <w:rsid w:val="00BD55D9"/>
    <w:rsid w:val="00BD5945"/>
    <w:rsid w:val="00BD5A0E"/>
    <w:rsid w:val="00BD5AD9"/>
    <w:rsid w:val="00BD5CD3"/>
    <w:rsid w:val="00BD5E49"/>
    <w:rsid w:val="00BD5F5E"/>
    <w:rsid w:val="00BD61C7"/>
    <w:rsid w:val="00BD62B4"/>
    <w:rsid w:val="00BD6583"/>
    <w:rsid w:val="00BD6711"/>
    <w:rsid w:val="00BD69A5"/>
    <w:rsid w:val="00BD6A9B"/>
    <w:rsid w:val="00BD6C79"/>
    <w:rsid w:val="00BD6DCB"/>
    <w:rsid w:val="00BD6E20"/>
    <w:rsid w:val="00BD6ED2"/>
    <w:rsid w:val="00BD6F73"/>
    <w:rsid w:val="00BD6F9D"/>
    <w:rsid w:val="00BD700D"/>
    <w:rsid w:val="00BD70F6"/>
    <w:rsid w:val="00BD71F7"/>
    <w:rsid w:val="00BD7372"/>
    <w:rsid w:val="00BD73AD"/>
    <w:rsid w:val="00BD7403"/>
    <w:rsid w:val="00BD7536"/>
    <w:rsid w:val="00BD75B6"/>
    <w:rsid w:val="00BD78E0"/>
    <w:rsid w:val="00BD7AE0"/>
    <w:rsid w:val="00BD7B90"/>
    <w:rsid w:val="00BD7DE4"/>
    <w:rsid w:val="00BD7ECE"/>
    <w:rsid w:val="00BE0053"/>
    <w:rsid w:val="00BE0350"/>
    <w:rsid w:val="00BE04E2"/>
    <w:rsid w:val="00BE06B9"/>
    <w:rsid w:val="00BE096B"/>
    <w:rsid w:val="00BE09B4"/>
    <w:rsid w:val="00BE09E0"/>
    <w:rsid w:val="00BE0ABD"/>
    <w:rsid w:val="00BE0B7C"/>
    <w:rsid w:val="00BE0C83"/>
    <w:rsid w:val="00BE0CE4"/>
    <w:rsid w:val="00BE0E36"/>
    <w:rsid w:val="00BE0F0E"/>
    <w:rsid w:val="00BE1056"/>
    <w:rsid w:val="00BE106B"/>
    <w:rsid w:val="00BE1093"/>
    <w:rsid w:val="00BE13D0"/>
    <w:rsid w:val="00BE147A"/>
    <w:rsid w:val="00BE1617"/>
    <w:rsid w:val="00BE1890"/>
    <w:rsid w:val="00BE18FC"/>
    <w:rsid w:val="00BE1A09"/>
    <w:rsid w:val="00BE1C89"/>
    <w:rsid w:val="00BE1CA2"/>
    <w:rsid w:val="00BE1F34"/>
    <w:rsid w:val="00BE2057"/>
    <w:rsid w:val="00BE221D"/>
    <w:rsid w:val="00BE2396"/>
    <w:rsid w:val="00BE23F4"/>
    <w:rsid w:val="00BE2494"/>
    <w:rsid w:val="00BE2559"/>
    <w:rsid w:val="00BE2655"/>
    <w:rsid w:val="00BE2688"/>
    <w:rsid w:val="00BE28BF"/>
    <w:rsid w:val="00BE2AB5"/>
    <w:rsid w:val="00BE2C97"/>
    <w:rsid w:val="00BE2D2E"/>
    <w:rsid w:val="00BE2DA8"/>
    <w:rsid w:val="00BE2DB6"/>
    <w:rsid w:val="00BE2DFF"/>
    <w:rsid w:val="00BE2F90"/>
    <w:rsid w:val="00BE32A1"/>
    <w:rsid w:val="00BE32C8"/>
    <w:rsid w:val="00BE3430"/>
    <w:rsid w:val="00BE36F5"/>
    <w:rsid w:val="00BE38AA"/>
    <w:rsid w:val="00BE3A0D"/>
    <w:rsid w:val="00BE3B03"/>
    <w:rsid w:val="00BE3C2A"/>
    <w:rsid w:val="00BE3DA2"/>
    <w:rsid w:val="00BE433F"/>
    <w:rsid w:val="00BE4775"/>
    <w:rsid w:val="00BE47EA"/>
    <w:rsid w:val="00BE48BE"/>
    <w:rsid w:val="00BE490D"/>
    <w:rsid w:val="00BE495B"/>
    <w:rsid w:val="00BE4CF8"/>
    <w:rsid w:val="00BE4EAF"/>
    <w:rsid w:val="00BE4F10"/>
    <w:rsid w:val="00BE550A"/>
    <w:rsid w:val="00BE57DB"/>
    <w:rsid w:val="00BE5929"/>
    <w:rsid w:val="00BE5947"/>
    <w:rsid w:val="00BE5975"/>
    <w:rsid w:val="00BE59CF"/>
    <w:rsid w:val="00BE5A25"/>
    <w:rsid w:val="00BE5B6B"/>
    <w:rsid w:val="00BE5F05"/>
    <w:rsid w:val="00BE60A1"/>
    <w:rsid w:val="00BE60F0"/>
    <w:rsid w:val="00BE6118"/>
    <w:rsid w:val="00BE6559"/>
    <w:rsid w:val="00BE66F7"/>
    <w:rsid w:val="00BE68EB"/>
    <w:rsid w:val="00BE6981"/>
    <w:rsid w:val="00BE6B67"/>
    <w:rsid w:val="00BE6B6F"/>
    <w:rsid w:val="00BE6C16"/>
    <w:rsid w:val="00BE6C3D"/>
    <w:rsid w:val="00BE6C7F"/>
    <w:rsid w:val="00BE6CFF"/>
    <w:rsid w:val="00BE70AC"/>
    <w:rsid w:val="00BE70EF"/>
    <w:rsid w:val="00BE7147"/>
    <w:rsid w:val="00BE7347"/>
    <w:rsid w:val="00BE739F"/>
    <w:rsid w:val="00BE747E"/>
    <w:rsid w:val="00BE74B0"/>
    <w:rsid w:val="00BE7616"/>
    <w:rsid w:val="00BE7C08"/>
    <w:rsid w:val="00BE7F8D"/>
    <w:rsid w:val="00BF013B"/>
    <w:rsid w:val="00BF013E"/>
    <w:rsid w:val="00BF014C"/>
    <w:rsid w:val="00BF0248"/>
    <w:rsid w:val="00BF0264"/>
    <w:rsid w:val="00BF0314"/>
    <w:rsid w:val="00BF042B"/>
    <w:rsid w:val="00BF05BE"/>
    <w:rsid w:val="00BF0617"/>
    <w:rsid w:val="00BF063F"/>
    <w:rsid w:val="00BF06E3"/>
    <w:rsid w:val="00BF07AD"/>
    <w:rsid w:val="00BF0863"/>
    <w:rsid w:val="00BF08FD"/>
    <w:rsid w:val="00BF0993"/>
    <w:rsid w:val="00BF0E0F"/>
    <w:rsid w:val="00BF0E28"/>
    <w:rsid w:val="00BF0EC6"/>
    <w:rsid w:val="00BF0ED8"/>
    <w:rsid w:val="00BF0FF8"/>
    <w:rsid w:val="00BF10CB"/>
    <w:rsid w:val="00BF1277"/>
    <w:rsid w:val="00BF1361"/>
    <w:rsid w:val="00BF1507"/>
    <w:rsid w:val="00BF18C1"/>
    <w:rsid w:val="00BF1C7D"/>
    <w:rsid w:val="00BF1F96"/>
    <w:rsid w:val="00BF1FF5"/>
    <w:rsid w:val="00BF2259"/>
    <w:rsid w:val="00BF2292"/>
    <w:rsid w:val="00BF229F"/>
    <w:rsid w:val="00BF22B1"/>
    <w:rsid w:val="00BF24B6"/>
    <w:rsid w:val="00BF27A7"/>
    <w:rsid w:val="00BF28AD"/>
    <w:rsid w:val="00BF28FA"/>
    <w:rsid w:val="00BF2B80"/>
    <w:rsid w:val="00BF2BD4"/>
    <w:rsid w:val="00BF2CA5"/>
    <w:rsid w:val="00BF2CC8"/>
    <w:rsid w:val="00BF2DB8"/>
    <w:rsid w:val="00BF2E41"/>
    <w:rsid w:val="00BF3075"/>
    <w:rsid w:val="00BF3221"/>
    <w:rsid w:val="00BF32D2"/>
    <w:rsid w:val="00BF3369"/>
    <w:rsid w:val="00BF33E8"/>
    <w:rsid w:val="00BF348B"/>
    <w:rsid w:val="00BF3521"/>
    <w:rsid w:val="00BF3602"/>
    <w:rsid w:val="00BF378E"/>
    <w:rsid w:val="00BF37DF"/>
    <w:rsid w:val="00BF3ACD"/>
    <w:rsid w:val="00BF3B1D"/>
    <w:rsid w:val="00BF3B64"/>
    <w:rsid w:val="00BF3B69"/>
    <w:rsid w:val="00BF3D86"/>
    <w:rsid w:val="00BF3E62"/>
    <w:rsid w:val="00BF4221"/>
    <w:rsid w:val="00BF42EB"/>
    <w:rsid w:val="00BF4475"/>
    <w:rsid w:val="00BF46F2"/>
    <w:rsid w:val="00BF4944"/>
    <w:rsid w:val="00BF4AED"/>
    <w:rsid w:val="00BF4CE4"/>
    <w:rsid w:val="00BF4D19"/>
    <w:rsid w:val="00BF4DD2"/>
    <w:rsid w:val="00BF4E6F"/>
    <w:rsid w:val="00BF5059"/>
    <w:rsid w:val="00BF5370"/>
    <w:rsid w:val="00BF569A"/>
    <w:rsid w:val="00BF577E"/>
    <w:rsid w:val="00BF578E"/>
    <w:rsid w:val="00BF5878"/>
    <w:rsid w:val="00BF5A2C"/>
    <w:rsid w:val="00BF5ABA"/>
    <w:rsid w:val="00BF5CD3"/>
    <w:rsid w:val="00BF5CDD"/>
    <w:rsid w:val="00BF5F91"/>
    <w:rsid w:val="00BF60FA"/>
    <w:rsid w:val="00BF6231"/>
    <w:rsid w:val="00BF631A"/>
    <w:rsid w:val="00BF6404"/>
    <w:rsid w:val="00BF6628"/>
    <w:rsid w:val="00BF6921"/>
    <w:rsid w:val="00BF6CEB"/>
    <w:rsid w:val="00BF6DD8"/>
    <w:rsid w:val="00BF704D"/>
    <w:rsid w:val="00BF70A6"/>
    <w:rsid w:val="00BF716D"/>
    <w:rsid w:val="00BF740F"/>
    <w:rsid w:val="00BF769A"/>
    <w:rsid w:val="00BF78D1"/>
    <w:rsid w:val="00C00042"/>
    <w:rsid w:val="00C000F0"/>
    <w:rsid w:val="00C00357"/>
    <w:rsid w:val="00C00542"/>
    <w:rsid w:val="00C00691"/>
    <w:rsid w:val="00C006F8"/>
    <w:rsid w:val="00C008B3"/>
    <w:rsid w:val="00C008D1"/>
    <w:rsid w:val="00C00A38"/>
    <w:rsid w:val="00C00BB5"/>
    <w:rsid w:val="00C01555"/>
    <w:rsid w:val="00C0157F"/>
    <w:rsid w:val="00C01614"/>
    <w:rsid w:val="00C0168C"/>
    <w:rsid w:val="00C018B1"/>
    <w:rsid w:val="00C01942"/>
    <w:rsid w:val="00C01A1F"/>
    <w:rsid w:val="00C01A58"/>
    <w:rsid w:val="00C01E11"/>
    <w:rsid w:val="00C01FA9"/>
    <w:rsid w:val="00C01FF5"/>
    <w:rsid w:val="00C0202D"/>
    <w:rsid w:val="00C02115"/>
    <w:rsid w:val="00C02124"/>
    <w:rsid w:val="00C02151"/>
    <w:rsid w:val="00C022F9"/>
    <w:rsid w:val="00C02528"/>
    <w:rsid w:val="00C025AB"/>
    <w:rsid w:val="00C025F3"/>
    <w:rsid w:val="00C0265D"/>
    <w:rsid w:val="00C0276B"/>
    <w:rsid w:val="00C02A4C"/>
    <w:rsid w:val="00C02A5D"/>
    <w:rsid w:val="00C02C90"/>
    <w:rsid w:val="00C02E63"/>
    <w:rsid w:val="00C0310B"/>
    <w:rsid w:val="00C032D4"/>
    <w:rsid w:val="00C033AF"/>
    <w:rsid w:val="00C034D8"/>
    <w:rsid w:val="00C03619"/>
    <w:rsid w:val="00C03624"/>
    <w:rsid w:val="00C03767"/>
    <w:rsid w:val="00C03779"/>
    <w:rsid w:val="00C037A3"/>
    <w:rsid w:val="00C03A57"/>
    <w:rsid w:val="00C03D9C"/>
    <w:rsid w:val="00C03EE5"/>
    <w:rsid w:val="00C03F4C"/>
    <w:rsid w:val="00C0411A"/>
    <w:rsid w:val="00C0423A"/>
    <w:rsid w:val="00C042F6"/>
    <w:rsid w:val="00C0480F"/>
    <w:rsid w:val="00C04898"/>
    <w:rsid w:val="00C048F4"/>
    <w:rsid w:val="00C04A0D"/>
    <w:rsid w:val="00C04BC0"/>
    <w:rsid w:val="00C04C28"/>
    <w:rsid w:val="00C04C92"/>
    <w:rsid w:val="00C04C95"/>
    <w:rsid w:val="00C04E05"/>
    <w:rsid w:val="00C04E6A"/>
    <w:rsid w:val="00C04F0A"/>
    <w:rsid w:val="00C04F3B"/>
    <w:rsid w:val="00C04FCF"/>
    <w:rsid w:val="00C053BC"/>
    <w:rsid w:val="00C054E3"/>
    <w:rsid w:val="00C05526"/>
    <w:rsid w:val="00C05AD2"/>
    <w:rsid w:val="00C05BC4"/>
    <w:rsid w:val="00C05BD4"/>
    <w:rsid w:val="00C05E52"/>
    <w:rsid w:val="00C06060"/>
    <w:rsid w:val="00C061F0"/>
    <w:rsid w:val="00C062DF"/>
    <w:rsid w:val="00C063D2"/>
    <w:rsid w:val="00C06438"/>
    <w:rsid w:val="00C0646B"/>
    <w:rsid w:val="00C064F6"/>
    <w:rsid w:val="00C06504"/>
    <w:rsid w:val="00C0657B"/>
    <w:rsid w:val="00C0679A"/>
    <w:rsid w:val="00C069CA"/>
    <w:rsid w:val="00C06E83"/>
    <w:rsid w:val="00C06F02"/>
    <w:rsid w:val="00C06F57"/>
    <w:rsid w:val="00C07506"/>
    <w:rsid w:val="00C075EC"/>
    <w:rsid w:val="00C078D0"/>
    <w:rsid w:val="00C0797F"/>
    <w:rsid w:val="00C07994"/>
    <w:rsid w:val="00C07B0D"/>
    <w:rsid w:val="00C07CA2"/>
    <w:rsid w:val="00C07D83"/>
    <w:rsid w:val="00C07EED"/>
    <w:rsid w:val="00C07F57"/>
    <w:rsid w:val="00C10012"/>
    <w:rsid w:val="00C10043"/>
    <w:rsid w:val="00C10287"/>
    <w:rsid w:val="00C10292"/>
    <w:rsid w:val="00C1030F"/>
    <w:rsid w:val="00C105D6"/>
    <w:rsid w:val="00C106D1"/>
    <w:rsid w:val="00C1070B"/>
    <w:rsid w:val="00C10714"/>
    <w:rsid w:val="00C1077A"/>
    <w:rsid w:val="00C107BF"/>
    <w:rsid w:val="00C10825"/>
    <w:rsid w:val="00C1086E"/>
    <w:rsid w:val="00C109CD"/>
    <w:rsid w:val="00C10DBC"/>
    <w:rsid w:val="00C10E73"/>
    <w:rsid w:val="00C10E91"/>
    <w:rsid w:val="00C1113E"/>
    <w:rsid w:val="00C11373"/>
    <w:rsid w:val="00C11411"/>
    <w:rsid w:val="00C11862"/>
    <w:rsid w:val="00C118CA"/>
    <w:rsid w:val="00C118FF"/>
    <w:rsid w:val="00C11921"/>
    <w:rsid w:val="00C11AF9"/>
    <w:rsid w:val="00C11AFA"/>
    <w:rsid w:val="00C11B45"/>
    <w:rsid w:val="00C11B8E"/>
    <w:rsid w:val="00C11DC4"/>
    <w:rsid w:val="00C11E8C"/>
    <w:rsid w:val="00C11ED0"/>
    <w:rsid w:val="00C12025"/>
    <w:rsid w:val="00C1205F"/>
    <w:rsid w:val="00C12188"/>
    <w:rsid w:val="00C12398"/>
    <w:rsid w:val="00C1258B"/>
    <w:rsid w:val="00C12790"/>
    <w:rsid w:val="00C12881"/>
    <w:rsid w:val="00C12907"/>
    <w:rsid w:val="00C1292E"/>
    <w:rsid w:val="00C1293B"/>
    <w:rsid w:val="00C12B57"/>
    <w:rsid w:val="00C12E04"/>
    <w:rsid w:val="00C12E1F"/>
    <w:rsid w:val="00C12E46"/>
    <w:rsid w:val="00C12E49"/>
    <w:rsid w:val="00C13213"/>
    <w:rsid w:val="00C13511"/>
    <w:rsid w:val="00C1364F"/>
    <w:rsid w:val="00C13835"/>
    <w:rsid w:val="00C138E2"/>
    <w:rsid w:val="00C13DAF"/>
    <w:rsid w:val="00C13F15"/>
    <w:rsid w:val="00C14053"/>
    <w:rsid w:val="00C1456E"/>
    <w:rsid w:val="00C145AC"/>
    <w:rsid w:val="00C14B52"/>
    <w:rsid w:val="00C14BE0"/>
    <w:rsid w:val="00C150E0"/>
    <w:rsid w:val="00C150E5"/>
    <w:rsid w:val="00C1541F"/>
    <w:rsid w:val="00C15630"/>
    <w:rsid w:val="00C159A5"/>
    <w:rsid w:val="00C15A25"/>
    <w:rsid w:val="00C15A6C"/>
    <w:rsid w:val="00C15BB8"/>
    <w:rsid w:val="00C15CBC"/>
    <w:rsid w:val="00C15DA9"/>
    <w:rsid w:val="00C1605F"/>
    <w:rsid w:val="00C16201"/>
    <w:rsid w:val="00C162AC"/>
    <w:rsid w:val="00C165F9"/>
    <w:rsid w:val="00C1663B"/>
    <w:rsid w:val="00C1671F"/>
    <w:rsid w:val="00C16937"/>
    <w:rsid w:val="00C1700C"/>
    <w:rsid w:val="00C1705A"/>
    <w:rsid w:val="00C1710F"/>
    <w:rsid w:val="00C17134"/>
    <w:rsid w:val="00C171BC"/>
    <w:rsid w:val="00C17409"/>
    <w:rsid w:val="00C1773B"/>
    <w:rsid w:val="00C177C9"/>
    <w:rsid w:val="00C1796C"/>
    <w:rsid w:val="00C17A04"/>
    <w:rsid w:val="00C17ABF"/>
    <w:rsid w:val="00C17DF2"/>
    <w:rsid w:val="00C17E36"/>
    <w:rsid w:val="00C17FB9"/>
    <w:rsid w:val="00C20114"/>
    <w:rsid w:val="00C201D9"/>
    <w:rsid w:val="00C20220"/>
    <w:rsid w:val="00C2022D"/>
    <w:rsid w:val="00C202AF"/>
    <w:rsid w:val="00C202CA"/>
    <w:rsid w:val="00C203EF"/>
    <w:rsid w:val="00C20783"/>
    <w:rsid w:val="00C2078B"/>
    <w:rsid w:val="00C20813"/>
    <w:rsid w:val="00C20869"/>
    <w:rsid w:val="00C209F0"/>
    <w:rsid w:val="00C20E59"/>
    <w:rsid w:val="00C210C4"/>
    <w:rsid w:val="00C21143"/>
    <w:rsid w:val="00C211BD"/>
    <w:rsid w:val="00C211EF"/>
    <w:rsid w:val="00C21434"/>
    <w:rsid w:val="00C214E5"/>
    <w:rsid w:val="00C2164B"/>
    <w:rsid w:val="00C21685"/>
    <w:rsid w:val="00C218E2"/>
    <w:rsid w:val="00C21914"/>
    <w:rsid w:val="00C21A09"/>
    <w:rsid w:val="00C21B18"/>
    <w:rsid w:val="00C21CAB"/>
    <w:rsid w:val="00C21E43"/>
    <w:rsid w:val="00C21EC4"/>
    <w:rsid w:val="00C22115"/>
    <w:rsid w:val="00C2214F"/>
    <w:rsid w:val="00C2220A"/>
    <w:rsid w:val="00C22717"/>
    <w:rsid w:val="00C22D68"/>
    <w:rsid w:val="00C22E7C"/>
    <w:rsid w:val="00C22FB2"/>
    <w:rsid w:val="00C233A7"/>
    <w:rsid w:val="00C235AF"/>
    <w:rsid w:val="00C236F8"/>
    <w:rsid w:val="00C23763"/>
    <w:rsid w:val="00C237A3"/>
    <w:rsid w:val="00C2384C"/>
    <w:rsid w:val="00C2385C"/>
    <w:rsid w:val="00C2386D"/>
    <w:rsid w:val="00C23A53"/>
    <w:rsid w:val="00C2401D"/>
    <w:rsid w:val="00C24169"/>
    <w:rsid w:val="00C24172"/>
    <w:rsid w:val="00C24301"/>
    <w:rsid w:val="00C24343"/>
    <w:rsid w:val="00C24502"/>
    <w:rsid w:val="00C24574"/>
    <w:rsid w:val="00C24735"/>
    <w:rsid w:val="00C247B3"/>
    <w:rsid w:val="00C248C7"/>
    <w:rsid w:val="00C24984"/>
    <w:rsid w:val="00C2498E"/>
    <w:rsid w:val="00C24C85"/>
    <w:rsid w:val="00C24CBB"/>
    <w:rsid w:val="00C24CBD"/>
    <w:rsid w:val="00C24D84"/>
    <w:rsid w:val="00C24DCB"/>
    <w:rsid w:val="00C24E42"/>
    <w:rsid w:val="00C24F9B"/>
    <w:rsid w:val="00C25064"/>
    <w:rsid w:val="00C251A1"/>
    <w:rsid w:val="00C2524E"/>
    <w:rsid w:val="00C252FB"/>
    <w:rsid w:val="00C25436"/>
    <w:rsid w:val="00C25772"/>
    <w:rsid w:val="00C25BAE"/>
    <w:rsid w:val="00C25E31"/>
    <w:rsid w:val="00C25E6C"/>
    <w:rsid w:val="00C25F6D"/>
    <w:rsid w:val="00C25F7E"/>
    <w:rsid w:val="00C26117"/>
    <w:rsid w:val="00C262EF"/>
    <w:rsid w:val="00C263C2"/>
    <w:rsid w:val="00C26430"/>
    <w:rsid w:val="00C264E0"/>
    <w:rsid w:val="00C26785"/>
    <w:rsid w:val="00C268E1"/>
    <w:rsid w:val="00C26A8D"/>
    <w:rsid w:val="00C26AA2"/>
    <w:rsid w:val="00C26AB3"/>
    <w:rsid w:val="00C26EC1"/>
    <w:rsid w:val="00C26EC5"/>
    <w:rsid w:val="00C276D3"/>
    <w:rsid w:val="00C27836"/>
    <w:rsid w:val="00C3016C"/>
    <w:rsid w:val="00C30220"/>
    <w:rsid w:val="00C30252"/>
    <w:rsid w:val="00C307A8"/>
    <w:rsid w:val="00C30C77"/>
    <w:rsid w:val="00C30CE4"/>
    <w:rsid w:val="00C30D06"/>
    <w:rsid w:val="00C311EC"/>
    <w:rsid w:val="00C31269"/>
    <w:rsid w:val="00C312A5"/>
    <w:rsid w:val="00C31616"/>
    <w:rsid w:val="00C31630"/>
    <w:rsid w:val="00C31820"/>
    <w:rsid w:val="00C318A7"/>
    <w:rsid w:val="00C319F7"/>
    <w:rsid w:val="00C31B76"/>
    <w:rsid w:val="00C31BCE"/>
    <w:rsid w:val="00C31CE3"/>
    <w:rsid w:val="00C31D3F"/>
    <w:rsid w:val="00C31E24"/>
    <w:rsid w:val="00C320CF"/>
    <w:rsid w:val="00C3215A"/>
    <w:rsid w:val="00C3247B"/>
    <w:rsid w:val="00C3276F"/>
    <w:rsid w:val="00C3297A"/>
    <w:rsid w:val="00C329F5"/>
    <w:rsid w:val="00C32CCC"/>
    <w:rsid w:val="00C33204"/>
    <w:rsid w:val="00C332E3"/>
    <w:rsid w:val="00C33551"/>
    <w:rsid w:val="00C33635"/>
    <w:rsid w:val="00C336A8"/>
    <w:rsid w:val="00C33729"/>
    <w:rsid w:val="00C338D3"/>
    <w:rsid w:val="00C3391B"/>
    <w:rsid w:val="00C33BD0"/>
    <w:rsid w:val="00C33BDF"/>
    <w:rsid w:val="00C33D02"/>
    <w:rsid w:val="00C33F3F"/>
    <w:rsid w:val="00C34094"/>
    <w:rsid w:val="00C34312"/>
    <w:rsid w:val="00C34418"/>
    <w:rsid w:val="00C344FD"/>
    <w:rsid w:val="00C347AD"/>
    <w:rsid w:val="00C34872"/>
    <w:rsid w:val="00C34D3D"/>
    <w:rsid w:val="00C350C6"/>
    <w:rsid w:val="00C350E8"/>
    <w:rsid w:val="00C35569"/>
    <w:rsid w:val="00C355E0"/>
    <w:rsid w:val="00C3596F"/>
    <w:rsid w:val="00C35CA8"/>
    <w:rsid w:val="00C35D0C"/>
    <w:rsid w:val="00C35D7A"/>
    <w:rsid w:val="00C35DF9"/>
    <w:rsid w:val="00C365A4"/>
    <w:rsid w:val="00C3667E"/>
    <w:rsid w:val="00C3690F"/>
    <w:rsid w:val="00C369DB"/>
    <w:rsid w:val="00C36D28"/>
    <w:rsid w:val="00C36D66"/>
    <w:rsid w:val="00C36E09"/>
    <w:rsid w:val="00C36E39"/>
    <w:rsid w:val="00C36F85"/>
    <w:rsid w:val="00C370DF"/>
    <w:rsid w:val="00C371EA"/>
    <w:rsid w:val="00C378F0"/>
    <w:rsid w:val="00C37BD1"/>
    <w:rsid w:val="00C37BF5"/>
    <w:rsid w:val="00C402FD"/>
    <w:rsid w:val="00C4087F"/>
    <w:rsid w:val="00C408CE"/>
    <w:rsid w:val="00C4091B"/>
    <w:rsid w:val="00C40A40"/>
    <w:rsid w:val="00C40AC5"/>
    <w:rsid w:val="00C40B4B"/>
    <w:rsid w:val="00C40C82"/>
    <w:rsid w:val="00C40F36"/>
    <w:rsid w:val="00C411B0"/>
    <w:rsid w:val="00C4130F"/>
    <w:rsid w:val="00C413D0"/>
    <w:rsid w:val="00C4144F"/>
    <w:rsid w:val="00C4145D"/>
    <w:rsid w:val="00C41967"/>
    <w:rsid w:val="00C41A09"/>
    <w:rsid w:val="00C41BD3"/>
    <w:rsid w:val="00C41D96"/>
    <w:rsid w:val="00C41F79"/>
    <w:rsid w:val="00C42109"/>
    <w:rsid w:val="00C421FF"/>
    <w:rsid w:val="00C422E3"/>
    <w:rsid w:val="00C42468"/>
    <w:rsid w:val="00C425EB"/>
    <w:rsid w:val="00C4268C"/>
    <w:rsid w:val="00C426FF"/>
    <w:rsid w:val="00C4275D"/>
    <w:rsid w:val="00C42857"/>
    <w:rsid w:val="00C428F6"/>
    <w:rsid w:val="00C42A06"/>
    <w:rsid w:val="00C42BE0"/>
    <w:rsid w:val="00C42D69"/>
    <w:rsid w:val="00C432CF"/>
    <w:rsid w:val="00C434FB"/>
    <w:rsid w:val="00C43572"/>
    <w:rsid w:val="00C43705"/>
    <w:rsid w:val="00C437DF"/>
    <w:rsid w:val="00C4391E"/>
    <w:rsid w:val="00C43DC1"/>
    <w:rsid w:val="00C4402C"/>
    <w:rsid w:val="00C440C5"/>
    <w:rsid w:val="00C4435B"/>
    <w:rsid w:val="00C444A1"/>
    <w:rsid w:val="00C44789"/>
    <w:rsid w:val="00C44F01"/>
    <w:rsid w:val="00C44F65"/>
    <w:rsid w:val="00C4505D"/>
    <w:rsid w:val="00C450DD"/>
    <w:rsid w:val="00C4515E"/>
    <w:rsid w:val="00C452E3"/>
    <w:rsid w:val="00C4550F"/>
    <w:rsid w:val="00C45F38"/>
    <w:rsid w:val="00C45F4D"/>
    <w:rsid w:val="00C45F94"/>
    <w:rsid w:val="00C45FA8"/>
    <w:rsid w:val="00C4604D"/>
    <w:rsid w:val="00C4606C"/>
    <w:rsid w:val="00C46091"/>
    <w:rsid w:val="00C463B7"/>
    <w:rsid w:val="00C463E3"/>
    <w:rsid w:val="00C464C0"/>
    <w:rsid w:val="00C469CD"/>
    <w:rsid w:val="00C46C8B"/>
    <w:rsid w:val="00C46D33"/>
    <w:rsid w:val="00C46D5A"/>
    <w:rsid w:val="00C47049"/>
    <w:rsid w:val="00C47083"/>
    <w:rsid w:val="00C471DD"/>
    <w:rsid w:val="00C47335"/>
    <w:rsid w:val="00C4752D"/>
    <w:rsid w:val="00C4759F"/>
    <w:rsid w:val="00C47B6B"/>
    <w:rsid w:val="00C5014B"/>
    <w:rsid w:val="00C50936"/>
    <w:rsid w:val="00C50B1C"/>
    <w:rsid w:val="00C50CF0"/>
    <w:rsid w:val="00C50E6A"/>
    <w:rsid w:val="00C50E94"/>
    <w:rsid w:val="00C51144"/>
    <w:rsid w:val="00C5126E"/>
    <w:rsid w:val="00C51457"/>
    <w:rsid w:val="00C51479"/>
    <w:rsid w:val="00C51A89"/>
    <w:rsid w:val="00C51B4F"/>
    <w:rsid w:val="00C51BE9"/>
    <w:rsid w:val="00C51F67"/>
    <w:rsid w:val="00C51FA3"/>
    <w:rsid w:val="00C5207E"/>
    <w:rsid w:val="00C521C2"/>
    <w:rsid w:val="00C5222C"/>
    <w:rsid w:val="00C52346"/>
    <w:rsid w:val="00C523A2"/>
    <w:rsid w:val="00C52463"/>
    <w:rsid w:val="00C524BA"/>
    <w:rsid w:val="00C52502"/>
    <w:rsid w:val="00C526C9"/>
    <w:rsid w:val="00C5284C"/>
    <w:rsid w:val="00C528F6"/>
    <w:rsid w:val="00C52A5E"/>
    <w:rsid w:val="00C52FFF"/>
    <w:rsid w:val="00C530F5"/>
    <w:rsid w:val="00C53119"/>
    <w:rsid w:val="00C5312F"/>
    <w:rsid w:val="00C53246"/>
    <w:rsid w:val="00C533E1"/>
    <w:rsid w:val="00C5350A"/>
    <w:rsid w:val="00C535EC"/>
    <w:rsid w:val="00C53688"/>
    <w:rsid w:val="00C538BB"/>
    <w:rsid w:val="00C53FDD"/>
    <w:rsid w:val="00C5406D"/>
    <w:rsid w:val="00C5424E"/>
    <w:rsid w:val="00C54367"/>
    <w:rsid w:val="00C543CB"/>
    <w:rsid w:val="00C54433"/>
    <w:rsid w:val="00C5445F"/>
    <w:rsid w:val="00C54498"/>
    <w:rsid w:val="00C545C9"/>
    <w:rsid w:val="00C54883"/>
    <w:rsid w:val="00C548A3"/>
    <w:rsid w:val="00C54DCF"/>
    <w:rsid w:val="00C54DF1"/>
    <w:rsid w:val="00C54E7C"/>
    <w:rsid w:val="00C54F75"/>
    <w:rsid w:val="00C55068"/>
    <w:rsid w:val="00C55B0A"/>
    <w:rsid w:val="00C55BC9"/>
    <w:rsid w:val="00C55C8F"/>
    <w:rsid w:val="00C55F72"/>
    <w:rsid w:val="00C56526"/>
    <w:rsid w:val="00C568CD"/>
    <w:rsid w:val="00C56921"/>
    <w:rsid w:val="00C56A27"/>
    <w:rsid w:val="00C56C17"/>
    <w:rsid w:val="00C56C9D"/>
    <w:rsid w:val="00C56CDB"/>
    <w:rsid w:val="00C56D6F"/>
    <w:rsid w:val="00C56DD3"/>
    <w:rsid w:val="00C56E2A"/>
    <w:rsid w:val="00C5710C"/>
    <w:rsid w:val="00C571AD"/>
    <w:rsid w:val="00C571D1"/>
    <w:rsid w:val="00C57228"/>
    <w:rsid w:val="00C574A5"/>
    <w:rsid w:val="00C578A1"/>
    <w:rsid w:val="00C578FD"/>
    <w:rsid w:val="00C579A0"/>
    <w:rsid w:val="00C57AE8"/>
    <w:rsid w:val="00C57B39"/>
    <w:rsid w:val="00C57D6E"/>
    <w:rsid w:val="00C57DE2"/>
    <w:rsid w:val="00C60029"/>
    <w:rsid w:val="00C600F2"/>
    <w:rsid w:val="00C60333"/>
    <w:rsid w:val="00C60478"/>
    <w:rsid w:val="00C605F5"/>
    <w:rsid w:val="00C60708"/>
    <w:rsid w:val="00C60886"/>
    <w:rsid w:val="00C60C07"/>
    <w:rsid w:val="00C60C94"/>
    <w:rsid w:val="00C60CDD"/>
    <w:rsid w:val="00C611E7"/>
    <w:rsid w:val="00C61357"/>
    <w:rsid w:val="00C618D6"/>
    <w:rsid w:val="00C61906"/>
    <w:rsid w:val="00C61BD3"/>
    <w:rsid w:val="00C61C02"/>
    <w:rsid w:val="00C61C0E"/>
    <w:rsid w:val="00C61C83"/>
    <w:rsid w:val="00C61DE4"/>
    <w:rsid w:val="00C61E37"/>
    <w:rsid w:val="00C620E8"/>
    <w:rsid w:val="00C62591"/>
    <w:rsid w:val="00C625B6"/>
    <w:rsid w:val="00C625F6"/>
    <w:rsid w:val="00C62680"/>
    <w:rsid w:val="00C6274A"/>
    <w:rsid w:val="00C628A3"/>
    <w:rsid w:val="00C62BCC"/>
    <w:rsid w:val="00C62C97"/>
    <w:rsid w:val="00C62ED9"/>
    <w:rsid w:val="00C62F7B"/>
    <w:rsid w:val="00C62F8C"/>
    <w:rsid w:val="00C6305C"/>
    <w:rsid w:val="00C6316C"/>
    <w:rsid w:val="00C63195"/>
    <w:rsid w:val="00C6335D"/>
    <w:rsid w:val="00C6346D"/>
    <w:rsid w:val="00C634E9"/>
    <w:rsid w:val="00C635C2"/>
    <w:rsid w:val="00C6370A"/>
    <w:rsid w:val="00C6399C"/>
    <w:rsid w:val="00C63B69"/>
    <w:rsid w:val="00C63BAE"/>
    <w:rsid w:val="00C63EE3"/>
    <w:rsid w:val="00C640CA"/>
    <w:rsid w:val="00C64132"/>
    <w:rsid w:val="00C642CD"/>
    <w:rsid w:val="00C6442E"/>
    <w:rsid w:val="00C6445E"/>
    <w:rsid w:val="00C6467A"/>
    <w:rsid w:val="00C647F9"/>
    <w:rsid w:val="00C64A01"/>
    <w:rsid w:val="00C64A3C"/>
    <w:rsid w:val="00C64C34"/>
    <w:rsid w:val="00C64C60"/>
    <w:rsid w:val="00C64C61"/>
    <w:rsid w:val="00C64C8D"/>
    <w:rsid w:val="00C65067"/>
    <w:rsid w:val="00C6529A"/>
    <w:rsid w:val="00C654BA"/>
    <w:rsid w:val="00C6552A"/>
    <w:rsid w:val="00C655BA"/>
    <w:rsid w:val="00C656BA"/>
    <w:rsid w:val="00C656C1"/>
    <w:rsid w:val="00C658A9"/>
    <w:rsid w:val="00C65C20"/>
    <w:rsid w:val="00C65E6B"/>
    <w:rsid w:val="00C66349"/>
    <w:rsid w:val="00C6659E"/>
    <w:rsid w:val="00C66737"/>
    <w:rsid w:val="00C6687D"/>
    <w:rsid w:val="00C66949"/>
    <w:rsid w:val="00C669F7"/>
    <w:rsid w:val="00C66BDC"/>
    <w:rsid w:val="00C66BE0"/>
    <w:rsid w:val="00C66C02"/>
    <w:rsid w:val="00C66F95"/>
    <w:rsid w:val="00C67313"/>
    <w:rsid w:val="00C67548"/>
    <w:rsid w:val="00C6759B"/>
    <w:rsid w:val="00C67740"/>
    <w:rsid w:val="00C678D3"/>
    <w:rsid w:val="00C678EB"/>
    <w:rsid w:val="00C67A86"/>
    <w:rsid w:val="00C67AB0"/>
    <w:rsid w:val="00C67EB4"/>
    <w:rsid w:val="00C67EF3"/>
    <w:rsid w:val="00C702A2"/>
    <w:rsid w:val="00C703E3"/>
    <w:rsid w:val="00C7044D"/>
    <w:rsid w:val="00C70508"/>
    <w:rsid w:val="00C708E6"/>
    <w:rsid w:val="00C70954"/>
    <w:rsid w:val="00C70A67"/>
    <w:rsid w:val="00C70B53"/>
    <w:rsid w:val="00C70B9B"/>
    <w:rsid w:val="00C70C13"/>
    <w:rsid w:val="00C70EED"/>
    <w:rsid w:val="00C70F2D"/>
    <w:rsid w:val="00C70F39"/>
    <w:rsid w:val="00C719D9"/>
    <w:rsid w:val="00C71CF8"/>
    <w:rsid w:val="00C71EE2"/>
    <w:rsid w:val="00C71F5E"/>
    <w:rsid w:val="00C7218C"/>
    <w:rsid w:val="00C724E1"/>
    <w:rsid w:val="00C725B3"/>
    <w:rsid w:val="00C725F1"/>
    <w:rsid w:val="00C72A26"/>
    <w:rsid w:val="00C72B3F"/>
    <w:rsid w:val="00C72B6A"/>
    <w:rsid w:val="00C72EB8"/>
    <w:rsid w:val="00C72EE8"/>
    <w:rsid w:val="00C72FB4"/>
    <w:rsid w:val="00C733ED"/>
    <w:rsid w:val="00C735E8"/>
    <w:rsid w:val="00C73AA1"/>
    <w:rsid w:val="00C73D46"/>
    <w:rsid w:val="00C73E19"/>
    <w:rsid w:val="00C73FAE"/>
    <w:rsid w:val="00C7426A"/>
    <w:rsid w:val="00C7448F"/>
    <w:rsid w:val="00C7452C"/>
    <w:rsid w:val="00C7475E"/>
    <w:rsid w:val="00C749F2"/>
    <w:rsid w:val="00C749F5"/>
    <w:rsid w:val="00C74C20"/>
    <w:rsid w:val="00C74D49"/>
    <w:rsid w:val="00C74EB2"/>
    <w:rsid w:val="00C7542E"/>
    <w:rsid w:val="00C75B95"/>
    <w:rsid w:val="00C75BB7"/>
    <w:rsid w:val="00C75BC1"/>
    <w:rsid w:val="00C75CB3"/>
    <w:rsid w:val="00C75E1B"/>
    <w:rsid w:val="00C75E28"/>
    <w:rsid w:val="00C75F3C"/>
    <w:rsid w:val="00C76003"/>
    <w:rsid w:val="00C76220"/>
    <w:rsid w:val="00C765BB"/>
    <w:rsid w:val="00C7668E"/>
    <w:rsid w:val="00C76792"/>
    <w:rsid w:val="00C7681D"/>
    <w:rsid w:val="00C768BB"/>
    <w:rsid w:val="00C76D10"/>
    <w:rsid w:val="00C76F01"/>
    <w:rsid w:val="00C775D4"/>
    <w:rsid w:val="00C7764B"/>
    <w:rsid w:val="00C7799A"/>
    <w:rsid w:val="00C77A22"/>
    <w:rsid w:val="00C77AAE"/>
    <w:rsid w:val="00C77C56"/>
    <w:rsid w:val="00C77CB8"/>
    <w:rsid w:val="00C77D39"/>
    <w:rsid w:val="00C77D3A"/>
    <w:rsid w:val="00C77F05"/>
    <w:rsid w:val="00C801FD"/>
    <w:rsid w:val="00C80543"/>
    <w:rsid w:val="00C8074E"/>
    <w:rsid w:val="00C80791"/>
    <w:rsid w:val="00C80834"/>
    <w:rsid w:val="00C80C2F"/>
    <w:rsid w:val="00C80D0B"/>
    <w:rsid w:val="00C80F32"/>
    <w:rsid w:val="00C81001"/>
    <w:rsid w:val="00C81204"/>
    <w:rsid w:val="00C81342"/>
    <w:rsid w:val="00C815CF"/>
    <w:rsid w:val="00C816A4"/>
    <w:rsid w:val="00C816AE"/>
    <w:rsid w:val="00C816F6"/>
    <w:rsid w:val="00C817B2"/>
    <w:rsid w:val="00C8182C"/>
    <w:rsid w:val="00C8191D"/>
    <w:rsid w:val="00C81A23"/>
    <w:rsid w:val="00C81EAC"/>
    <w:rsid w:val="00C82224"/>
    <w:rsid w:val="00C82315"/>
    <w:rsid w:val="00C82396"/>
    <w:rsid w:val="00C8251B"/>
    <w:rsid w:val="00C82873"/>
    <w:rsid w:val="00C8289C"/>
    <w:rsid w:val="00C82A28"/>
    <w:rsid w:val="00C8307D"/>
    <w:rsid w:val="00C8310D"/>
    <w:rsid w:val="00C831B6"/>
    <w:rsid w:val="00C832F7"/>
    <w:rsid w:val="00C8341B"/>
    <w:rsid w:val="00C8346C"/>
    <w:rsid w:val="00C8357A"/>
    <w:rsid w:val="00C83597"/>
    <w:rsid w:val="00C835E7"/>
    <w:rsid w:val="00C83650"/>
    <w:rsid w:val="00C8379D"/>
    <w:rsid w:val="00C83B67"/>
    <w:rsid w:val="00C83CFD"/>
    <w:rsid w:val="00C83D72"/>
    <w:rsid w:val="00C83F8A"/>
    <w:rsid w:val="00C844A3"/>
    <w:rsid w:val="00C847AF"/>
    <w:rsid w:val="00C84844"/>
    <w:rsid w:val="00C84A74"/>
    <w:rsid w:val="00C84B1B"/>
    <w:rsid w:val="00C84B84"/>
    <w:rsid w:val="00C84C8E"/>
    <w:rsid w:val="00C84C96"/>
    <w:rsid w:val="00C85132"/>
    <w:rsid w:val="00C85160"/>
    <w:rsid w:val="00C85323"/>
    <w:rsid w:val="00C85821"/>
    <w:rsid w:val="00C859B5"/>
    <w:rsid w:val="00C85BCF"/>
    <w:rsid w:val="00C86048"/>
    <w:rsid w:val="00C86177"/>
    <w:rsid w:val="00C861BE"/>
    <w:rsid w:val="00C86355"/>
    <w:rsid w:val="00C86485"/>
    <w:rsid w:val="00C86B57"/>
    <w:rsid w:val="00C86CBC"/>
    <w:rsid w:val="00C86D81"/>
    <w:rsid w:val="00C86E4C"/>
    <w:rsid w:val="00C86E67"/>
    <w:rsid w:val="00C86EAA"/>
    <w:rsid w:val="00C86FAE"/>
    <w:rsid w:val="00C87114"/>
    <w:rsid w:val="00C87254"/>
    <w:rsid w:val="00C87308"/>
    <w:rsid w:val="00C8741C"/>
    <w:rsid w:val="00C87425"/>
    <w:rsid w:val="00C876CB"/>
    <w:rsid w:val="00C876F0"/>
    <w:rsid w:val="00C87712"/>
    <w:rsid w:val="00C8787C"/>
    <w:rsid w:val="00C878E1"/>
    <w:rsid w:val="00C878EA"/>
    <w:rsid w:val="00C87990"/>
    <w:rsid w:val="00C87F1B"/>
    <w:rsid w:val="00C87F8F"/>
    <w:rsid w:val="00C87FFA"/>
    <w:rsid w:val="00C900CF"/>
    <w:rsid w:val="00C901B4"/>
    <w:rsid w:val="00C904C6"/>
    <w:rsid w:val="00C904D5"/>
    <w:rsid w:val="00C90636"/>
    <w:rsid w:val="00C9095B"/>
    <w:rsid w:val="00C90B00"/>
    <w:rsid w:val="00C90B6C"/>
    <w:rsid w:val="00C90C45"/>
    <w:rsid w:val="00C90EC1"/>
    <w:rsid w:val="00C90F5D"/>
    <w:rsid w:val="00C911EB"/>
    <w:rsid w:val="00C912BE"/>
    <w:rsid w:val="00C91352"/>
    <w:rsid w:val="00C914DA"/>
    <w:rsid w:val="00C916F2"/>
    <w:rsid w:val="00C91B28"/>
    <w:rsid w:val="00C91B34"/>
    <w:rsid w:val="00C91C82"/>
    <w:rsid w:val="00C91D5A"/>
    <w:rsid w:val="00C92017"/>
    <w:rsid w:val="00C9204A"/>
    <w:rsid w:val="00C921C2"/>
    <w:rsid w:val="00C92250"/>
    <w:rsid w:val="00C9244C"/>
    <w:rsid w:val="00C924CA"/>
    <w:rsid w:val="00C925A8"/>
    <w:rsid w:val="00C926F6"/>
    <w:rsid w:val="00C92795"/>
    <w:rsid w:val="00C928BB"/>
    <w:rsid w:val="00C92AF5"/>
    <w:rsid w:val="00C931A3"/>
    <w:rsid w:val="00C9320C"/>
    <w:rsid w:val="00C9332B"/>
    <w:rsid w:val="00C933EE"/>
    <w:rsid w:val="00C9387D"/>
    <w:rsid w:val="00C93914"/>
    <w:rsid w:val="00C93926"/>
    <w:rsid w:val="00C939B6"/>
    <w:rsid w:val="00C93A1E"/>
    <w:rsid w:val="00C93CB4"/>
    <w:rsid w:val="00C93DB6"/>
    <w:rsid w:val="00C93E1D"/>
    <w:rsid w:val="00C93E96"/>
    <w:rsid w:val="00C94093"/>
    <w:rsid w:val="00C94132"/>
    <w:rsid w:val="00C94280"/>
    <w:rsid w:val="00C9442B"/>
    <w:rsid w:val="00C945DA"/>
    <w:rsid w:val="00C945F8"/>
    <w:rsid w:val="00C94795"/>
    <w:rsid w:val="00C94A2D"/>
    <w:rsid w:val="00C94A78"/>
    <w:rsid w:val="00C951B8"/>
    <w:rsid w:val="00C952BE"/>
    <w:rsid w:val="00C953E2"/>
    <w:rsid w:val="00C954A2"/>
    <w:rsid w:val="00C955F5"/>
    <w:rsid w:val="00C959FC"/>
    <w:rsid w:val="00C963E5"/>
    <w:rsid w:val="00C96481"/>
    <w:rsid w:val="00C96658"/>
    <w:rsid w:val="00C968C2"/>
    <w:rsid w:val="00C9693C"/>
    <w:rsid w:val="00C96B5F"/>
    <w:rsid w:val="00C96C38"/>
    <w:rsid w:val="00C96D83"/>
    <w:rsid w:val="00C970B6"/>
    <w:rsid w:val="00C9753C"/>
    <w:rsid w:val="00C97699"/>
    <w:rsid w:val="00C978D4"/>
    <w:rsid w:val="00C97A7E"/>
    <w:rsid w:val="00CA0007"/>
    <w:rsid w:val="00CA002F"/>
    <w:rsid w:val="00CA0179"/>
    <w:rsid w:val="00CA031B"/>
    <w:rsid w:val="00CA0513"/>
    <w:rsid w:val="00CA0919"/>
    <w:rsid w:val="00CA09CD"/>
    <w:rsid w:val="00CA0A2E"/>
    <w:rsid w:val="00CA0A88"/>
    <w:rsid w:val="00CA0C1F"/>
    <w:rsid w:val="00CA10A2"/>
    <w:rsid w:val="00CA11B2"/>
    <w:rsid w:val="00CA142C"/>
    <w:rsid w:val="00CA1516"/>
    <w:rsid w:val="00CA1733"/>
    <w:rsid w:val="00CA17B2"/>
    <w:rsid w:val="00CA18DA"/>
    <w:rsid w:val="00CA1B6B"/>
    <w:rsid w:val="00CA1C24"/>
    <w:rsid w:val="00CA1D21"/>
    <w:rsid w:val="00CA1E45"/>
    <w:rsid w:val="00CA2091"/>
    <w:rsid w:val="00CA2094"/>
    <w:rsid w:val="00CA241C"/>
    <w:rsid w:val="00CA25BC"/>
    <w:rsid w:val="00CA2606"/>
    <w:rsid w:val="00CA2609"/>
    <w:rsid w:val="00CA2631"/>
    <w:rsid w:val="00CA26AB"/>
    <w:rsid w:val="00CA2978"/>
    <w:rsid w:val="00CA29E0"/>
    <w:rsid w:val="00CA29E1"/>
    <w:rsid w:val="00CA2B91"/>
    <w:rsid w:val="00CA2C7D"/>
    <w:rsid w:val="00CA2E37"/>
    <w:rsid w:val="00CA2E57"/>
    <w:rsid w:val="00CA2E71"/>
    <w:rsid w:val="00CA30DD"/>
    <w:rsid w:val="00CA31F1"/>
    <w:rsid w:val="00CA32E6"/>
    <w:rsid w:val="00CA3547"/>
    <w:rsid w:val="00CA35CF"/>
    <w:rsid w:val="00CA3658"/>
    <w:rsid w:val="00CA384C"/>
    <w:rsid w:val="00CA3CFA"/>
    <w:rsid w:val="00CA3D53"/>
    <w:rsid w:val="00CA3E78"/>
    <w:rsid w:val="00CA3F9B"/>
    <w:rsid w:val="00CA4039"/>
    <w:rsid w:val="00CA4045"/>
    <w:rsid w:val="00CA406E"/>
    <w:rsid w:val="00CA406F"/>
    <w:rsid w:val="00CA4107"/>
    <w:rsid w:val="00CA427B"/>
    <w:rsid w:val="00CA4363"/>
    <w:rsid w:val="00CA437F"/>
    <w:rsid w:val="00CA43DC"/>
    <w:rsid w:val="00CA4432"/>
    <w:rsid w:val="00CA4659"/>
    <w:rsid w:val="00CA4911"/>
    <w:rsid w:val="00CA491B"/>
    <w:rsid w:val="00CA49E9"/>
    <w:rsid w:val="00CA5501"/>
    <w:rsid w:val="00CA56D2"/>
    <w:rsid w:val="00CA5791"/>
    <w:rsid w:val="00CA57FF"/>
    <w:rsid w:val="00CA5DFF"/>
    <w:rsid w:val="00CA5EA9"/>
    <w:rsid w:val="00CA6361"/>
    <w:rsid w:val="00CA638E"/>
    <w:rsid w:val="00CA63EF"/>
    <w:rsid w:val="00CA656E"/>
    <w:rsid w:val="00CA6592"/>
    <w:rsid w:val="00CA66FB"/>
    <w:rsid w:val="00CA6814"/>
    <w:rsid w:val="00CA688E"/>
    <w:rsid w:val="00CA68E8"/>
    <w:rsid w:val="00CA6D4C"/>
    <w:rsid w:val="00CA6ED3"/>
    <w:rsid w:val="00CA7268"/>
    <w:rsid w:val="00CA754B"/>
    <w:rsid w:val="00CA793B"/>
    <w:rsid w:val="00CA7EC4"/>
    <w:rsid w:val="00CA7F35"/>
    <w:rsid w:val="00CB0309"/>
    <w:rsid w:val="00CB05E5"/>
    <w:rsid w:val="00CB060F"/>
    <w:rsid w:val="00CB0694"/>
    <w:rsid w:val="00CB0853"/>
    <w:rsid w:val="00CB08E5"/>
    <w:rsid w:val="00CB0C48"/>
    <w:rsid w:val="00CB0EF2"/>
    <w:rsid w:val="00CB11D6"/>
    <w:rsid w:val="00CB1411"/>
    <w:rsid w:val="00CB1482"/>
    <w:rsid w:val="00CB171B"/>
    <w:rsid w:val="00CB1A77"/>
    <w:rsid w:val="00CB1AFB"/>
    <w:rsid w:val="00CB1BE7"/>
    <w:rsid w:val="00CB2125"/>
    <w:rsid w:val="00CB2131"/>
    <w:rsid w:val="00CB246D"/>
    <w:rsid w:val="00CB2515"/>
    <w:rsid w:val="00CB25AD"/>
    <w:rsid w:val="00CB286A"/>
    <w:rsid w:val="00CB29A9"/>
    <w:rsid w:val="00CB2A83"/>
    <w:rsid w:val="00CB2B02"/>
    <w:rsid w:val="00CB2B8E"/>
    <w:rsid w:val="00CB2BE0"/>
    <w:rsid w:val="00CB2FC3"/>
    <w:rsid w:val="00CB31F2"/>
    <w:rsid w:val="00CB3366"/>
    <w:rsid w:val="00CB34C3"/>
    <w:rsid w:val="00CB37A8"/>
    <w:rsid w:val="00CB37EF"/>
    <w:rsid w:val="00CB38E0"/>
    <w:rsid w:val="00CB3BEF"/>
    <w:rsid w:val="00CB3C92"/>
    <w:rsid w:val="00CB3E0E"/>
    <w:rsid w:val="00CB3F67"/>
    <w:rsid w:val="00CB3FA7"/>
    <w:rsid w:val="00CB434F"/>
    <w:rsid w:val="00CB43F4"/>
    <w:rsid w:val="00CB4599"/>
    <w:rsid w:val="00CB47CD"/>
    <w:rsid w:val="00CB4C0E"/>
    <w:rsid w:val="00CB4CBF"/>
    <w:rsid w:val="00CB4CEF"/>
    <w:rsid w:val="00CB4E04"/>
    <w:rsid w:val="00CB527D"/>
    <w:rsid w:val="00CB52B9"/>
    <w:rsid w:val="00CB55AD"/>
    <w:rsid w:val="00CB579B"/>
    <w:rsid w:val="00CB57B9"/>
    <w:rsid w:val="00CB5991"/>
    <w:rsid w:val="00CB5B99"/>
    <w:rsid w:val="00CB5D04"/>
    <w:rsid w:val="00CB5F75"/>
    <w:rsid w:val="00CB61C0"/>
    <w:rsid w:val="00CB63CB"/>
    <w:rsid w:val="00CB65F2"/>
    <w:rsid w:val="00CB66CB"/>
    <w:rsid w:val="00CB6753"/>
    <w:rsid w:val="00CB67CE"/>
    <w:rsid w:val="00CB6827"/>
    <w:rsid w:val="00CB682F"/>
    <w:rsid w:val="00CB6E37"/>
    <w:rsid w:val="00CB6F5B"/>
    <w:rsid w:val="00CB732C"/>
    <w:rsid w:val="00CB7490"/>
    <w:rsid w:val="00CB74B2"/>
    <w:rsid w:val="00CB74D6"/>
    <w:rsid w:val="00CB7722"/>
    <w:rsid w:val="00CB7A26"/>
    <w:rsid w:val="00CB7BEA"/>
    <w:rsid w:val="00CB7CCB"/>
    <w:rsid w:val="00CB7F45"/>
    <w:rsid w:val="00CC0050"/>
    <w:rsid w:val="00CC012F"/>
    <w:rsid w:val="00CC0144"/>
    <w:rsid w:val="00CC04CA"/>
    <w:rsid w:val="00CC051C"/>
    <w:rsid w:val="00CC0B37"/>
    <w:rsid w:val="00CC0D8E"/>
    <w:rsid w:val="00CC0F1A"/>
    <w:rsid w:val="00CC101D"/>
    <w:rsid w:val="00CC1399"/>
    <w:rsid w:val="00CC151C"/>
    <w:rsid w:val="00CC1EB4"/>
    <w:rsid w:val="00CC2074"/>
    <w:rsid w:val="00CC20D1"/>
    <w:rsid w:val="00CC21E1"/>
    <w:rsid w:val="00CC22BA"/>
    <w:rsid w:val="00CC243B"/>
    <w:rsid w:val="00CC2448"/>
    <w:rsid w:val="00CC245E"/>
    <w:rsid w:val="00CC2480"/>
    <w:rsid w:val="00CC2D13"/>
    <w:rsid w:val="00CC2E98"/>
    <w:rsid w:val="00CC2ECF"/>
    <w:rsid w:val="00CC2FDB"/>
    <w:rsid w:val="00CC324C"/>
    <w:rsid w:val="00CC3308"/>
    <w:rsid w:val="00CC3499"/>
    <w:rsid w:val="00CC34B8"/>
    <w:rsid w:val="00CC3518"/>
    <w:rsid w:val="00CC3560"/>
    <w:rsid w:val="00CC358A"/>
    <w:rsid w:val="00CC35BA"/>
    <w:rsid w:val="00CC36B8"/>
    <w:rsid w:val="00CC3784"/>
    <w:rsid w:val="00CC37EB"/>
    <w:rsid w:val="00CC386E"/>
    <w:rsid w:val="00CC3AAE"/>
    <w:rsid w:val="00CC3B46"/>
    <w:rsid w:val="00CC3C2F"/>
    <w:rsid w:val="00CC3E99"/>
    <w:rsid w:val="00CC4361"/>
    <w:rsid w:val="00CC45C2"/>
    <w:rsid w:val="00CC45D5"/>
    <w:rsid w:val="00CC49A1"/>
    <w:rsid w:val="00CC4A34"/>
    <w:rsid w:val="00CC5008"/>
    <w:rsid w:val="00CC5035"/>
    <w:rsid w:val="00CC529C"/>
    <w:rsid w:val="00CC5332"/>
    <w:rsid w:val="00CC539B"/>
    <w:rsid w:val="00CC555F"/>
    <w:rsid w:val="00CC56DF"/>
    <w:rsid w:val="00CC570F"/>
    <w:rsid w:val="00CC60CA"/>
    <w:rsid w:val="00CC623A"/>
    <w:rsid w:val="00CC62D1"/>
    <w:rsid w:val="00CC65FE"/>
    <w:rsid w:val="00CC6675"/>
    <w:rsid w:val="00CC66A3"/>
    <w:rsid w:val="00CC6965"/>
    <w:rsid w:val="00CC6A1F"/>
    <w:rsid w:val="00CC6AB5"/>
    <w:rsid w:val="00CC6BF0"/>
    <w:rsid w:val="00CC6C2D"/>
    <w:rsid w:val="00CC6CAE"/>
    <w:rsid w:val="00CC6F95"/>
    <w:rsid w:val="00CC70A4"/>
    <w:rsid w:val="00CC71A8"/>
    <w:rsid w:val="00CC744A"/>
    <w:rsid w:val="00CC74DC"/>
    <w:rsid w:val="00CC75AE"/>
    <w:rsid w:val="00CC76E9"/>
    <w:rsid w:val="00CC779C"/>
    <w:rsid w:val="00CC77A2"/>
    <w:rsid w:val="00CC77C0"/>
    <w:rsid w:val="00CC7E0E"/>
    <w:rsid w:val="00CC7F0C"/>
    <w:rsid w:val="00CD0004"/>
    <w:rsid w:val="00CD0200"/>
    <w:rsid w:val="00CD02E5"/>
    <w:rsid w:val="00CD03CB"/>
    <w:rsid w:val="00CD0411"/>
    <w:rsid w:val="00CD0496"/>
    <w:rsid w:val="00CD04A9"/>
    <w:rsid w:val="00CD0677"/>
    <w:rsid w:val="00CD078F"/>
    <w:rsid w:val="00CD0935"/>
    <w:rsid w:val="00CD097C"/>
    <w:rsid w:val="00CD0C5E"/>
    <w:rsid w:val="00CD0F58"/>
    <w:rsid w:val="00CD10E6"/>
    <w:rsid w:val="00CD11F9"/>
    <w:rsid w:val="00CD13B6"/>
    <w:rsid w:val="00CD142C"/>
    <w:rsid w:val="00CD1932"/>
    <w:rsid w:val="00CD1D35"/>
    <w:rsid w:val="00CD1EFD"/>
    <w:rsid w:val="00CD22BB"/>
    <w:rsid w:val="00CD232A"/>
    <w:rsid w:val="00CD234A"/>
    <w:rsid w:val="00CD2381"/>
    <w:rsid w:val="00CD2505"/>
    <w:rsid w:val="00CD28E3"/>
    <w:rsid w:val="00CD29B3"/>
    <w:rsid w:val="00CD2B2D"/>
    <w:rsid w:val="00CD2C01"/>
    <w:rsid w:val="00CD2EB3"/>
    <w:rsid w:val="00CD3164"/>
    <w:rsid w:val="00CD33C7"/>
    <w:rsid w:val="00CD38F7"/>
    <w:rsid w:val="00CD3940"/>
    <w:rsid w:val="00CD3B39"/>
    <w:rsid w:val="00CD406A"/>
    <w:rsid w:val="00CD414B"/>
    <w:rsid w:val="00CD4247"/>
    <w:rsid w:val="00CD4287"/>
    <w:rsid w:val="00CD4289"/>
    <w:rsid w:val="00CD4599"/>
    <w:rsid w:val="00CD4605"/>
    <w:rsid w:val="00CD4D56"/>
    <w:rsid w:val="00CD4DE7"/>
    <w:rsid w:val="00CD4E23"/>
    <w:rsid w:val="00CD4E99"/>
    <w:rsid w:val="00CD4FBD"/>
    <w:rsid w:val="00CD4FEA"/>
    <w:rsid w:val="00CD5132"/>
    <w:rsid w:val="00CD518E"/>
    <w:rsid w:val="00CD534B"/>
    <w:rsid w:val="00CD5502"/>
    <w:rsid w:val="00CD55E4"/>
    <w:rsid w:val="00CD5824"/>
    <w:rsid w:val="00CD58A0"/>
    <w:rsid w:val="00CD5A6D"/>
    <w:rsid w:val="00CD5A7D"/>
    <w:rsid w:val="00CD5C16"/>
    <w:rsid w:val="00CD5D35"/>
    <w:rsid w:val="00CD5E18"/>
    <w:rsid w:val="00CD6526"/>
    <w:rsid w:val="00CD665C"/>
    <w:rsid w:val="00CD68AE"/>
    <w:rsid w:val="00CD6A69"/>
    <w:rsid w:val="00CD6ABD"/>
    <w:rsid w:val="00CD6B21"/>
    <w:rsid w:val="00CD6BB5"/>
    <w:rsid w:val="00CD6DD9"/>
    <w:rsid w:val="00CD717D"/>
    <w:rsid w:val="00CD71CD"/>
    <w:rsid w:val="00CD7389"/>
    <w:rsid w:val="00CD7936"/>
    <w:rsid w:val="00CD7A1E"/>
    <w:rsid w:val="00CD7EC2"/>
    <w:rsid w:val="00CD7F16"/>
    <w:rsid w:val="00CD7F88"/>
    <w:rsid w:val="00CE0233"/>
    <w:rsid w:val="00CE0281"/>
    <w:rsid w:val="00CE031B"/>
    <w:rsid w:val="00CE05E0"/>
    <w:rsid w:val="00CE0607"/>
    <w:rsid w:val="00CE0935"/>
    <w:rsid w:val="00CE0B18"/>
    <w:rsid w:val="00CE0CA0"/>
    <w:rsid w:val="00CE0CC3"/>
    <w:rsid w:val="00CE0EE5"/>
    <w:rsid w:val="00CE1141"/>
    <w:rsid w:val="00CE12DB"/>
    <w:rsid w:val="00CE16E8"/>
    <w:rsid w:val="00CE1718"/>
    <w:rsid w:val="00CE17C2"/>
    <w:rsid w:val="00CE1A5D"/>
    <w:rsid w:val="00CE1D54"/>
    <w:rsid w:val="00CE1E90"/>
    <w:rsid w:val="00CE1F4C"/>
    <w:rsid w:val="00CE22F5"/>
    <w:rsid w:val="00CE25FB"/>
    <w:rsid w:val="00CE270F"/>
    <w:rsid w:val="00CE29F0"/>
    <w:rsid w:val="00CE2A6C"/>
    <w:rsid w:val="00CE2CDA"/>
    <w:rsid w:val="00CE2EF3"/>
    <w:rsid w:val="00CE3126"/>
    <w:rsid w:val="00CE348D"/>
    <w:rsid w:val="00CE3856"/>
    <w:rsid w:val="00CE3C4F"/>
    <w:rsid w:val="00CE3D39"/>
    <w:rsid w:val="00CE3E18"/>
    <w:rsid w:val="00CE403F"/>
    <w:rsid w:val="00CE43AB"/>
    <w:rsid w:val="00CE45E1"/>
    <w:rsid w:val="00CE4A45"/>
    <w:rsid w:val="00CE4D2B"/>
    <w:rsid w:val="00CE4DC3"/>
    <w:rsid w:val="00CE4DE5"/>
    <w:rsid w:val="00CE50CE"/>
    <w:rsid w:val="00CE5128"/>
    <w:rsid w:val="00CE5347"/>
    <w:rsid w:val="00CE53FB"/>
    <w:rsid w:val="00CE54F8"/>
    <w:rsid w:val="00CE54FE"/>
    <w:rsid w:val="00CE55D6"/>
    <w:rsid w:val="00CE55F9"/>
    <w:rsid w:val="00CE565F"/>
    <w:rsid w:val="00CE5693"/>
    <w:rsid w:val="00CE5933"/>
    <w:rsid w:val="00CE5A8C"/>
    <w:rsid w:val="00CE5BBD"/>
    <w:rsid w:val="00CE5C07"/>
    <w:rsid w:val="00CE5D29"/>
    <w:rsid w:val="00CE5F60"/>
    <w:rsid w:val="00CE6122"/>
    <w:rsid w:val="00CE612E"/>
    <w:rsid w:val="00CE6474"/>
    <w:rsid w:val="00CE66C9"/>
    <w:rsid w:val="00CE66DD"/>
    <w:rsid w:val="00CE6804"/>
    <w:rsid w:val="00CE68A9"/>
    <w:rsid w:val="00CE6ACC"/>
    <w:rsid w:val="00CE6BAE"/>
    <w:rsid w:val="00CE6DB1"/>
    <w:rsid w:val="00CE6FB4"/>
    <w:rsid w:val="00CE70C6"/>
    <w:rsid w:val="00CE7177"/>
    <w:rsid w:val="00CE7294"/>
    <w:rsid w:val="00CE7766"/>
    <w:rsid w:val="00CE7879"/>
    <w:rsid w:val="00CE7AD6"/>
    <w:rsid w:val="00CE7D25"/>
    <w:rsid w:val="00CF00E3"/>
    <w:rsid w:val="00CF028B"/>
    <w:rsid w:val="00CF02E1"/>
    <w:rsid w:val="00CF035E"/>
    <w:rsid w:val="00CF0429"/>
    <w:rsid w:val="00CF0435"/>
    <w:rsid w:val="00CF04DE"/>
    <w:rsid w:val="00CF0A5B"/>
    <w:rsid w:val="00CF0B78"/>
    <w:rsid w:val="00CF0C32"/>
    <w:rsid w:val="00CF108D"/>
    <w:rsid w:val="00CF1642"/>
    <w:rsid w:val="00CF16C4"/>
    <w:rsid w:val="00CF19B3"/>
    <w:rsid w:val="00CF1A65"/>
    <w:rsid w:val="00CF1ADD"/>
    <w:rsid w:val="00CF1CC2"/>
    <w:rsid w:val="00CF1D8B"/>
    <w:rsid w:val="00CF1F00"/>
    <w:rsid w:val="00CF1FF9"/>
    <w:rsid w:val="00CF213B"/>
    <w:rsid w:val="00CF22D9"/>
    <w:rsid w:val="00CF272A"/>
    <w:rsid w:val="00CF2B9A"/>
    <w:rsid w:val="00CF2CA8"/>
    <w:rsid w:val="00CF30BC"/>
    <w:rsid w:val="00CF336F"/>
    <w:rsid w:val="00CF3390"/>
    <w:rsid w:val="00CF3590"/>
    <w:rsid w:val="00CF3B0C"/>
    <w:rsid w:val="00CF3E65"/>
    <w:rsid w:val="00CF3FD2"/>
    <w:rsid w:val="00CF4086"/>
    <w:rsid w:val="00CF4193"/>
    <w:rsid w:val="00CF4609"/>
    <w:rsid w:val="00CF47B5"/>
    <w:rsid w:val="00CF4822"/>
    <w:rsid w:val="00CF4857"/>
    <w:rsid w:val="00CF4951"/>
    <w:rsid w:val="00CF498F"/>
    <w:rsid w:val="00CF4A31"/>
    <w:rsid w:val="00CF4AE7"/>
    <w:rsid w:val="00CF4F11"/>
    <w:rsid w:val="00CF5102"/>
    <w:rsid w:val="00CF53F8"/>
    <w:rsid w:val="00CF55A9"/>
    <w:rsid w:val="00CF592E"/>
    <w:rsid w:val="00CF59D5"/>
    <w:rsid w:val="00CF5A84"/>
    <w:rsid w:val="00CF5AE7"/>
    <w:rsid w:val="00CF5B35"/>
    <w:rsid w:val="00CF5BCA"/>
    <w:rsid w:val="00CF5C21"/>
    <w:rsid w:val="00CF5D3F"/>
    <w:rsid w:val="00CF61C0"/>
    <w:rsid w:val="00CF6236"/>
    <w:rsid w:val="00CF6684"/>
    <w:rsid w:val="00CF6A5D"/>
    <w:rsid w:val="00CF6A6B"/>
    <w:rsid w:val="00CF6D63"/>
    <w:rsid w:val="00CF6D66"/>
    <w:rsid w:val="00CF7021"/>
    <w:rsid w:val="00CF7453"/>
    <w:rsid w:val="00CF76BD"/>
    <w:rsid w:val="00CF7724"/>
    <w:rsid w:val="00CF7930"/>
    <w:rsid w:val="00CF7AFB"/>
    <w:rsid w:val="00CF7EDD"/>
    <w:rsid w:val="00D001CA"/>
    <w:rsid w:val="00D002F1"/>
    <w:rsid w:val="00D003E7"/>
    <w:rsid w:val="00D006DA"/>
    <w:rsid w:val="00D00B88"/>
    <w:rsid w:val="00D00D33"/>
    <w:rsid w:val="00D0176A"/>
    <w:rsid w:val="00D019D2"/>
    <w:rsid w:val="00D01AB7"/>
    <w:rsid w:val="00D01B48"/>
    <w:rsid w:val="00D01F2D"/>
    <w:rsid w:val="00D01FF6"/>
    <w:rsid w:val="00D0211C"/>
    <w:rsid w:val="00D0215C"/>
    <w:rsid w:val="00D02163"/>
    <w:rsid w:val="00D021D1"/>
    <w:rsid w:val="00D0221B"/>
    <w:rsid w:val="00D0231F"/>
    <w:rsid w:val="00D023D2"/>
    <w:rsid w:val="00D02402"/>
    <w:rsid w:val="00D025FA"/>
    <w:rsid w:val="00D02766"/>
    <w:rsid w:val="00D02CCC"/>
    <w:rsid w:val="00D03123"/>
    <w:rsid w:val="00D0315C"/>
    <w:rsid w:val="00D0326C"/>
    <w:rsid w:val="00D032B5"/>
    <w:rsid w:val="00D032DD"/>
    <w:rsid w:val="00D0340A"/>
    <w:rsid w:val="00D0342D"/>
    <w:rsid w:val="00D034C0"/>
    <w:rsid w:val="00D034FA"/>
    <w:rsid w:val="00D03773"/>
    <w:rsid w:val="00D0382D"/>
    <w:rsid w:val="00D03A2C"/>
    <w:rsid w:val="00D03AF9"/>
    <w:rsid w:val="00D03B83"/>
    <w:rsid w:val="00D03CAC"/>
    <w:rsid w:val="00D0425D"/>
    <w:rsid w:val="00D042C2"/>
    <w:rsid w:val="00D0438E"/>
    <w:rsid w:val="00D04737"/>
    <w:rsid w:val="00D0496A"/>
    <w:rsid w:val="00D049AA"/>
    <w:rsid w:val="00D04A8E"/>
    <w:rsid w:val="00D04C51"/>
    <w:rsid w:val="00D04F20"/>
    <w:rsid w:val="00D0508B"/>
    <w:rsid w:val="00D052A4"/>
    <w:rsid w:val="00D0568C"/>
    <w:rsid w:val="00D056F0"/>
    <w:rsid w:val="00D056F5"/>
    <w:rsid w:val="00D05833"/>
    <w:rsid w:val="00D05CEB"/>
    <w:rsid w:val="00D05D05"/>
    <w:rsid w:val="00D05D14"/>
    <w:rsid w:val="00D05DCC"/>
    <w:rsid w:val="00D05DCD"/>
    <w:rsid w:val="00D0609D"/>
    <w:rsid w:val="00D060DA"/>
    <w:rsid w:val="00D0619E"/>
    <w:rsid w:val="00D063EC"/>
    <w:rsid w:val="00D06471"/>
    <w:rsid w:val="00D065AB"/>
    <w:rsid w:val="00D065EB"/>
    <w:rsid w:val="00D06A58"/>
    <w:rsid w:val="00D0708C"/>
    <w:rsid w:val="00D071B9"/>
    <w:rsid w:val="00D0729E"/>
    <w:rsid w:val="00D073BA"/>
    <w:rsid w:val="00D07743"/>
    <w:rsid w:val="00D07759"/>
    <w:rsid w:val="00D078BA"/>
    <w:rsid w:val="00D078EE"/>
    <w:rsid w:val="00D0798A"/>
    <w:rsid w:val="00D07AEE"/>
    <w:rsid w:val="00D07CC3"/>
    <w:rsid w:val="00D07EBD"/>
    <w:rsid w:val="00D1005C"/>
    <w:rsid w:val="00D100AF"/>
    <w:rsid w:val="00D100B5"/>
    <w:rsid w:val="00D1022D"/>
    <w:rsid w:val="00D102E3"/>
    <w:rsid w:val="00D104E1"/>
    <w:rsid w:val="00D10647"/>
    <w:rsid w:val="00D10775"/>
    <w:rsid w:val="00D107D2"/>
    <w:rsid w:val="00D10894"/>
    <w:rsid w:val="00D10A6F"/>
    <w:rsid w:val="00D10B1F"/>
    <w:rsid w:val="00D10C7C"/>
    <w:rsid w:val="00D10CA4"/>
    <w:rsid w:val="00D10CD4"/>
    <w:rsid w:val="00D10EBB"/>
    <w:rsid w:val="00D10EF4"/>
    <w:rsid w:val="00D10F51"/>
    <w:rsid w:val="00D1115E"/>
    <w:rsid w:val="00D11353"/>
    <w:rsid w:val="00D1149F"/>
    <w:rsid w:val="00D115AC"/>
    <w:rsid w:val="00D11881"/>
    <w:rsid w:val="00D11A23"/>
    <w:rsid w:val="00D11AEC"/>
    <w:rsid w:val="00D11D37"/>
    <w:rsid w:val="00D11FEB"/>
    <w:rsid w:val="00D12043"/>
    <w:rsid w:val="00D12080"/>
    <w:rsid w:val="00D12124"/>
    <w:rsid w:val="00D12403"/>
    <w:rsid w:val="00D124E4"/>
    <w:rsid w:val="00D12632"/>
    <w:rsid w:val="00D12633"/>
    <w:rsid w:val="00D12A1B"/>
    <w:rsid w:val="00D12CB3"/>
    <w:rsid w:val="00D12E11"/>
    <w:rsid w:val="00D132C5"/>
    <w:rsid w:val="00D13332"/>
    <w:rsid w:val="00D13537"/>
    <w:rsid w:val="00D1359B"/>
    <w:rsid w:val="00D13602"/>
    <w:rsid w:val="00D13769"/>
    <w:rsid w:val="00D13B17"/>
    <w:rsid w:val="00D13C7A"/>
    <w:rsid w:val="00D14231"/>
    <w:rsid w:val="00D14356"/>
    <w:rsid w:val="00D14369"/>
    <w:rsid w:val="00D145E5"/>
    <w:rsid w:val="00D14A40"/>
    <w:rsid w:val="00D14A7D"/>
    <w:rsid w:val="00D14B5C"/>
    <w:rsid w:val="00D14EAA"/>
    <w:rsid w:val="00D15379"/>
    <w:rsid w:val="00D15426"/>
    <w:rsid w:val="00D15507"/>
    <w:rsid w:val="00D155B1"/>
    <w:rsid w:val="00D15653"/>
    <w:rsid w:val="00D15702"/>
    <w:rsid w:val="00D1572F"/>
    <w:rsid w:val="00D159AB"/>
    <w:rsid w:val="00D15C44"/>
    <w:rsid w:val="00D15C53"/>
    <w:rsid w:val="00D15D4B"/>
    <w:rsid w:val="00D15F1E"/>
    <w:rsid w:val="00D15FC4"/>
    <w:rsid w:val="00D16248"/>
    <w:rsid w:val="00D1641A"/>
    <w:rsid w:val="00D165EB"/>
    <w:rsid w:val="00D1684E"/>
    <w:rsid w:val="00D16B01"/>
    <w:rsid w:val="00D16B1B"/>
    <w:rsid w:val="00D16B61"/>
    <w:rsid w:val="00D16B7E"/>
    <w:rsid w:val="00D16F7D"/>
    <w:rsid w:val="00D16FC1"/>
    <w:rsid w:val="00D170FF"/>
    <w:rsid w:val="00D171EC"/>
    <w:rsid w:val="00D175E3"/>
    <w:rsid w:val="00D17695"/>
    <w:rsid w:val="00D17713"/>
    <w:rsid w:val="00D177A6"/>
    <w:rsid w:val="00D177FB"/>
    <w:rsid w:val="00D17B6C"/>
    <w:rsid w:val="00D17E00"/>
    <w:rsid w:val="00D17F35"/>
    <w:rsid w:val="00D2001C"/>
    <w:rsid w:val="00D200B2"/>
    <w:rsid w:val="00D2013C"/>
    <w:rsid w:val="00D202FD"/>
    <w:rsid w:val="00D2030B"/>
    <w:rsid w:val="00D20541"/>
    <w:rsid w:val="00D205BB"/>
    <w:rsid w:val="00D20C04"/>
    <w:rsid w:val="00D20C71"/>
    <w:rsid w:val="00D20F65"/>
    <w:rsid w:val="00D21071"/>
    <w:rsid w:val="00D210F7"/>
    <w:rsid w:val="00D2135E"/>
    <w:rsid w:val="00D21415"/>
    <w:rsid w:val="00D21428"/>
    <w:rsid w:val="00D215AB"/>
    <w:rsid w:val="00D215FB"/>
    <w:rsid w:val="00D21910"/>
    <w:rsid w:val="00D21C9A"/>
    <w:rsid w:val="00D21CD1"/>
    <w:rsid w:val="00D21D6E"/>
    <w:rsid w:val="00D21D95"/>
    <w:rsid w:val="00D21E85"/>
    <w:rsid w:val="00D2223A"/>
    <w:rsid w:val="00D223F2"/>
    <w:rsid w:val="00D2246E"/>
    <w:rsid w:val="00D2269F"/>
    <w:rsid w:val="00D22947"/>
    <w:rsid w:val="00D22984"/>
    <w:rsid w:val="00D22B2D"/>
    <w:rsid w:val="00D22E58"/>
    <w:rsid w:val="00D22F9E"/>
    <w:rsid w:val="00D23173"/>
    <w:rsid w:val="00D234A7"/>
    <w:rsid w:val="00D237AC"/>
    <w:rsid w:val="00D23B30"/>
    <w:rsid w:val="00D23BB0"/>
    <w:rsid w:val="00D23BB7"/>
    <w:rsid w:val="00D23E7E"/>
    <w:rsid w:val="00D23EC3"/>
    <w:rsid w:val="00D24019"/>
    <w:rsid w:val="00D240FA"/>
    <w:rsid w:val="00D241CC"/>
    <w:rsid w:val="00D24514"/>
    <w:rsid w:val="00D245CE"/>
    <w:rsid w:val="00D245FB"/>
    <w:rsid w:val="00D2470F"/>
    <w:rsid w:val="00D24971"/>
    <w:rsid w:val="00D24A24"/>
    <w:rsid w:val="00D24B15"/>
    <w:rsid w:val="00D24F7D"/>
    <w:rsid w:val="00D24F97"/>
    <w:rsid w:val="00D251ED"/>
    <w:rsid w:val="00D2525B"/>
    <w:rsid w:val="00D25534"/>
    <w:rsid w:val="00D2586A"/>
    <w:rsid w:val="00D25CC3"/>
    <w:rsid w:val="00D26226"/>
    <w:rsid w:val="00D265C6"/>
    <w:rsid w:val="00D2666B"/>
    <w:rsid w:val="00D266D9"/>
    <w:rsid w:val="00D267C9"/>
    <w:rsid w:val="00D26A9A"/>
    <w:rsid w:val="00D26BA8"/>
    <w:rsid w:val="00D26C3C"/>
    <w:rsid w:val="00D26D54"/>
    <w:rsid w:val="00D26FC6"/>
    <w:rsid w:val="00D271BA"/>
    <w:rsid w:val="00D2732D"/>
    <w:rsid w:val="00D27381"/>
    <w:rsid w:val="00D27694"/>
    <w:rsid w:val="00D276F8"/>
    <w:rsid w:val="00D27740"/>
    <w:rsid w:val="00D279E4"/>
    <w:rsid w:val="00D27D23"/>
    <w:rsid w:val="00D27D4E"/>
    <w:rsid w:val="00D30086"/>
    <w:rsid w:val="00D30660"/>
    <w:rsid w:val="00D30799"/>
    <w:rsid w:val="00D308E4"/>
    <w:rsid w:val="00D3099D"/>
    <w:rsid w:val="00D309C3"/>
    <w:rsid w:val="00D309FD"/>
    <w:rsid w:val="00D30A48"/>
    <w:rsid w:val="00D30ABF"/>
    <w:rsid w:val="00D30DC1"/>
    <w:rsid w:val="00D311F1"/>
    <w:rsid w:val="00D315C4"/>
    <w:rsid w:val="00D316AB"/>
    <w:rsid w:val="00D3177E"/>
    <w:rsid w:val="00D31912"/>
    <w:rsid w:val="00D31A0F"/>
    <w:rsid w:val="00D31E20"/>
    <w:rsid w:val="00D31EC5"/>
    <w:rsid w:val="00D31F19"/>
    <w:rsid w:val="00D31FCA"/>
    <w:rsid w:val="00D32320"/>
    <w:rsid w:val="00D326A8"/>
    <w:rsid w:val="00D32A4E"/>
    <w:rsid w:val="00D32BDD"/>
    <w:rsid w:val="00D32BED"/>
    <w:rsid w:val="00D32FCF"/>
    <w:rsid w:val="00D331B4"/>
    <w:rsid w:val="00D3335C"/>
    <w:rsid w:val="00D33534"/>
    <w:rsid w:val="00D3365C"/>
    <w:rsid w:val="00D339DE"/>
    <w:rsid w:val="00D33FF3"/>
    <w:rsid w:val="00D34167"/>
    <w:rsid w:val="00D341B6"/>
    <w:rsid w:val="00D3439F"/>
    <w:rsid w:val="00D343C0"/>
    <w:rsid w:val="00D345A8"/>
    <w:rsid w:val="00D347D7"/>
    <w:rsid w:val="00D3489D"/>
    <w:rsid w:val="00D348E4"/>
    <w:rsid w:val="00D34958"/>
    <w:rsid w:val="00D34B75"/>
    <w:rsid w:val="00D34BC9"/>
    <w:rsid w:val="00D34BCC"/>
    <w:rsid w:val="00D34E62"/>
    <w:rsid w:val="00D350F1"/>
    <w:rsid w:val="00D356C4"/>
    <w:rsid w:val="00D35711"/>
    <w:rsid w:val="00D35718"/>
    <w:rsid w:val="00D357DD"/>
    <w:rsid w:val="00D3590C"/>
    <w:rsid w:val="00D35AB2"/>
    <w:rsid w:val="00D35B85"/>
    <w:rsid w:val="00D35C3E"/>
    <w:rsid w:val="00D35E14"/>
    <w:rsid w:val="00D35EA6"/>
    <w:rsid w:val="00D35EDD"/>
    <w:rsid w:val="00D36676"/>
    <w:rsid w:val="00D36787"/>
    <w:rsid w:val="00D36B0A"/>
    <w:rsid w:val="00D36B25"/>
    <w:rsid w:val="00D36BC9"/>
    <w:rsid w:val="00D36C35"/>
    <w:rsid w:val="00D3778D"/>
    <w:rsid w:val="00D37D06"/>
    <w:rsid w:val="00D37F7F"/>
    <w:rsid w:val="00D40043"/>
    <w:rsid w:val="00D400A4"/>
    <w:rsid w:val="00D403E6"/>
    <w:rsid w:val="00D4045F"/>
    <w:rsid w:val="00D40496"/>
    <w:rsid w:val="00D405F6"/>
    <w:rsid w:val="00D408D4"/>
    <w:rsid w:val="00D409DD"/>
    <w:rsid w:val="00D40A44"/>
    <w:rsid w:val="00D40C33"/>
    <w:rsid w:val="00D41000"/>
    <w:rsid w:val="00D4104A"/>
    <w:rsid w:val="00D412F4"/>
    <w:rsid w:val="00D41968"/>
    <w:rsid w:val="00D41D4D"/>
    <w:rsid w:val="00D41DD0"/>
    <w:rsid w:val="00D41E53"/>
    <w:rsid w:val="00D41EB9"/>
    <w:rsid w:val="00D41FC9"/>
    <w:rsid w:val="00D42056"/>
    <w:rsid w:val="00D42070"/>
    <w:rsid w:val="00D42356"/>
    <w:rsid w:val="00D423DD"/>
    <w:rsid w:val="00D4255F"/>
    <w:rsid w:val="00D426A0"/>
    <w:rsid w:val="00D426F5"/>
    <w:rsid w:val="00D42CBF"/>
    <w:rsid w:val="00D42D44"/>
    <w:rsid w:val="00D42E3B"/>
    <w:rsid w:val="00D42F07"/>
    <w:rsid w:val="00D43072"/>
    <w:rsid w:val="00D43250"/>
    <w:rsid w:val="00D4347C"/>
    <w:rsid w:val="00D43536"/>
    <w:rsid w:val="00D43584"/>
    <w:rsid w:val="00D435DE"/>
    <w:rsid w:val="00D436EE"/>
    <w:rsid w:val="00D4376B"/>
    <w:rsid w:val="00D438B6"/>
    <w:rsid w:val="00D43915"/>
    <w:rsid w:val="00D43CC5"/>
    <w:rsid w:val="00D44095"/>
    <w:rsid w:val="00D440D2"/>
    <w:rsid w:val="00D44191"/>
    <w:rsid w:val="00D441CD"/>
    <w:rsid w:val="00D44208"/>
    <w:rsid w:val="00D4430B"/>
    <w:rsid w:val="00D44674"/>
    <w:rsid w:val="00D44779"/>
    <w:rsid w:val="00D447BC"/>
    <w:rsid w:val="00D448AB"/>
    <w:rsid w:val="00D44B60"/>
    <w:rsid w:val="00D44D85"/>
    <w:rsid w:val="00D44D9A"/>
    <w:rsid w:val="00D44E53"/>
    <w:rsid w:val="00D44E93"/>
    <w:rsid w:val="00D4528A"/>
    <w:rsid w:val="00D4539F"/>
    <w:rsid w:val="00D455A5"/>
    <w:rsid w:val="00D456C0"/>
    <w:rsid w:val="00D456E4"/>
    <w:rsid w:val="00D457EA"/>
    <w:rsid w:val="00D45925"/>
    <w:rsid w:val="00D4594E"/>
    <w:rsid w:val="00D45A3E"/>
    <w:rsid w:val="00D45A94"/>
    <w:rsid w:val="00D45BFA"/>
    <w:rsid w:val="00D45BFB"/>
    <w:rsid w:val="00D46009"/>
    <w:rsid w:val="00D46282"/>
    <w:rsid w:val="00D4632C"/>
    <w:rsid w:val="00D4643D"/>
    <w:rsid w:val="00D464C3"/>
    <w:rsid w:val="00D46546"/>
    <w:rsid w:val="00D4659B"/>
    <w:rsid w:val="00D465E7"/>
    <w:rsid w:val="00D469AE"/>
    <w:rsid w:val="00D46D1E"/>
    <w:rsid w:val="00D46F8A"/>
    <w:rsid w:val="00D47014"/>
    <w:rsid w:val="00D4710B"/>
    <w:rsid w:val="00D47295"/>
    <w:rsid w:val="00D474AE"/>
    <w:rsid w:val="00D476C4"/>
    <w:rsid w:val="00D476F0"/>
    <w:rsid w:val="00D4794D"/>
    <w:rsid w:val="00D47AFA"/>
    <w:rsid w:val="00D47CC1"/>
    <w:rsid w:val="00D47D2B"/>
    <w:rsid w:val="00D47FFC"/>
    <w:rsid w:val="00D50300"/>
    <w:rsid w:val="00D50472"/>
    <w:rsid w:val="00D50528"/>
    <w:rsid w:val="00D50A05"/>
    <w:rsid w:val="00D50A0D"/>
    <w:rsid w:val="00D50B5F"/>
    <w:rsid w:val="00D50C50"/>
    <w:rsid w:val="00D50E37"/>
    <w:rsid w:val="00D510FA"/>
    <w:rsid w:val="00D511A1"/>
    <w:rsid w:val="00D5124D"/>
    <w:rsid w:val="00D5139B"/>
    <w:rsid w:val="00D5140E"/>
    <w:rsid w:val="00D51448"/>
    <w:rsid w:val="00D51541"/>
    <w:rsid w:val="00D51574"/>
    <w:rsid w:val="00D515B2"/>
    <w:rsid w:val="00D51853"/>
    <w:rsid w:val="00D51930"/>
    <w:rsid w:val="00D51ADE"/>
    <w:rsid w:val="00D51BC8"/>
    <w:rsid w:val="00D51C6C"/>
    <w:rsid w:val="00D51E74"/>
    <w:rsid w:val="00D51FAE"/>
    <w:rsid w:val="00D51FC1"/>
    <w:rsid w:val="00D51FCF"/>
    <w:rsid w:val="00D52246"/>
    <w:rsid w:val="00D5227B"/>
    <w:rsid w:val="00D52521"/>
    <w:rsid w:val="00D52622"/>
    <w:rsid w:val="00D5264D"/>
    <w:rsid w:val="00D52941"/>
    <w:rsid w:val="00D52959"/>
    <w:rsid w:val="00D52AE9"/>
    <w:rsid w:val="00D52B46"/>
    <w:rsid w:val="00D52BBE"/>
    <w:rsid w:val="00D52DA8"/>
    <w:rsid w:val="00D52FA4"/>
    <w:rsid w:val="00D531F7"/>
    <w:rsid w:val="00D53489"/>
    <w:rsid w:val="00D5359B"/>
    <w:rsid w:val="00D53653"/>
    <w:rsid w:val="00D53944"/>
    <w:rsid w:val="00D53B15"/>
    <w:rsid w:val="00D53BD7"/>
    <w:rsid w:val="00D53E71"/>
    <w:rsid w:val="00D53EDD"/>
    <w:rsid w:val="00D53F13"/>
    <w:rsid w:val="00D53F80"/>
    <w:rsid w:val="00D5466C"/>
    <w:rsid w:val="00D5489E"/>
    <w:rsid w:val="00D54B4B"/>
    <w:rsid w:val="00D54DF4"/>
    <w:rsid w:val="00D54F4B"/>
    <w:rsid w:val="00D54FBC"/>
    <w:rsid w:val="00D55022"/>
    <w:rsid w:val="00D5516E"/>
    <w:rsid w:val="00D554AB"/>
    <w:rsid w:val="00D55526"/>
    <w:rsid w:val="00D5564B"/>
    <w:rsid w:val="00D556D7"/>
    <w:rsid w:val="00D55778"/>
    <w:rsid w:val="00D5587C"/>
    <w:rsid w:val="00D55B90"/>
    <w:rsid w:val="00D55BEA"/>
    <w:rsid w:val="00D55C42"/>
    <w:rsid w:val="00D55CB1"/>
    <w:rsid w:val="00D55D69"/>
    <w:rsid w:val="00D55D71"/>
    <w:rsid w:val="00D55E0F"/>
    <w:rsid w:val="00D55E3D"/>
    <w:rsid w:val="00D55E65"/>
    <w:rsid w:val="00D55EF1"/>
    <w:rsid w:val="00D55F56"/>
    <w:rsid w:val="00D56055"/>
    <w:rsid w:val="00D5606B"/>
    <w:rsid w:val="00D5608C"/>
    <w:rsid w:val="00D5644B"/>
    <w:rsid w:val="00D56522"/>
    <w:rsid w:val="00D56575"/>
    <w:rsid w:val="00D56837"/>
    <w:rsid w:val="00D56AFE"/>
    <w:rsid w:val="00D56D61"/>
    <w:rsid w:val="00D56E11"/>
    <w:rsid w:val="00D57330"/>
    <w:rsid w:val="00D573D6"/>
    <w:rsid w:val="00D578E4"/>
    <w:rsid w:val="00D57A75"/>
    <w:rsid w:val="00D57BB8"/>
    <w:rsid w:val="00D57C35"/>
    <w:rsid w:val="00D57D35"/>
    <w:rsid w:val="00D57D38"/>
    <w:rsid w:val="00D57DAF"/>
    <w:rsid w:val="00D60571"/>
    <w:rsid w:val="00D60671"/>
    <w:rsid w:val="00D607A5"/>
    <w:rsid w:val="00D60BB1"/>
    <w:rsid w:val="00D60FFC"/>
    <w:rsid w:val="00D6104B"/>
    <w:rsid w:val="00D6112E"/>
    <w:rsid w:val="00D6139F"/>
    <w:rsid w:val="00D6154D"/>
    <w:rsid w:val="00D61658"/>
    <w:rsid w:val="00D617BA"/>
    <w:rsid w:val="00D61CE0"/>
    <w:rsid w:val="00D61D61"/>
    <w:rsid w:val="00D61F74"/>
    <w:rsid w:val="00D620A0"/>
    <w:rsid w:val="00D620BD"/>
    <w:rsid w:val="00D621B4"/>
    <w:rsid w:val="00D624C1"/>
    <w:rsid w:val="00D624C2"/>
    <w:rsid w:val="00D624E1"/>
    <w:rsid w:val="00D626AC"/>
    <w:rsid w:val="00D626D0"/>
    <w:rsid w:val="00D626ED"/>
    <w:rsid w:val="00D627FF"/>
    <w:rsid w:val="00D6282E"/>
    <w:rsid w:val="00D62920"/>
    <w:rsid w:val="00D629A1"/>
    <w:rsid w:val="00D62D36"/>
    <w:rsid w:val="00D62EC1"/>
    <w:rsid w:val="00D62FEA"/>
    <w:rsid w:val="00D6322D"/>
    <w:rsid w:val="00D63275"/>
    <w:rsid w:val="00D633DA"/>
    <w:rsid w:val="00D633EF"/>
    <w:rsid w:val="00D6357C"/>
    <w:rsid w:val="00D63605"/>
    <w:rsid w:val="00D63673"/>
    <w:rsid w:val="00D638D1"/>
    <w:rsid w:val="00D638D4"/>
    <w:rsid w:val="00D6397A"/>
    <w:rsid w:val="00D63A07"/>
    <w:rsid w:val="00D63C74"/>
    <w:rsid w:val="00D63CC2"/>
    <w:rsid w:val="00D643BF"/>
    <w:rsid w:val="00D6460B"/>
    <w:rsid w:val="00D6478F"/>
    <w:rsid w:val="00D64884"/>
    <w:rsid w:val="00D648AD"/>
    <w:rsid w:val="00D64A75"/>
    <w:rsid w:val="00D64C00"/>
    <w:rsid w:val="00D64D01"/>
    <w:rsid w:val="00D64E34"/>
    <w:rsid w:val="00D652CE"/>
    <w:rsid w:val="00D65810"/>
    <w:rsid w:val="00D65877"/>
    <w:rsid w:val="00D6590F"/>
    <w:rsid w:val="00D65C1F"/>
    <w:rsid w:val="00D65CE6"/>
    <w:rsid w:val="00D65DC2"/>
    <w:rsid w:val="00D663C4"/>
    <w:rsid w:val="00D66650"/>
    <w:rsid w:val="00D667D2"/>
    <w:rsid w:val="00D6692D"/>
    <w:rsid w:val="00D669F6"/>
    <w:rsid w:val="00D66FD0"/>
    <w:rsid w:val="00D67090"/>
    <w:rsid w:val="00D671C2"/>
    <w:rsid w:val="00D67500"/>
    <w:rsid w:val="00D6776A"/>
    <w:rsid w:val="00D679D5"/>
    <w:rsid w:val="00D67B5C"/>
    <w:rsid w:val="00D67D26"/>
    <w:rsid w:val="00D67DB5"/>
    <w:rsid w:val="00D67EFE"/>
    <w:rsid w:val="00D70292"/>
    <w:rsid w:val="00D703EF"/>
    <w:rsid w:val="00D70551"/>
    <w:rsid w:val="00D707C1"/>
    <w:rsid w:val="00D708BB"/>
    <w:rsid w:val="00D70A3C"/>
    <w:rsid w:val="00D70A5F"/>
    <w:rsid w:val="00D70AB7"/>
    <w:rsid w:val="00D70CE8"/>
    <w:rsid w:val="00D70EE7"/>
    <w:rsid w:val="00D713B7"/>
    <w:rsid w:val="00D714F5"/>
    <w:rsid w:val="00D71511"/>
    <w:rsid w:val="00D71832"/>
    <w:rsid w:val="00D71845"/>
    <w:rsid w:val="00D71854"/>
    <w:rsid w:val="00D71ACF"/>
    <w:rsid w:val="00D71C33"/>
    <w:rsid w:val="00D71E58"/>
    <w:rsid w:val="00D71F3D"/>
    <w:rsid w:val="00D7201B"/>
    <w:rsid w:val="00D72600"/>
    <w:rsid w:val="00D727B9"/>
    <w:rsid w:val="00D728AC"/>
    <w:rsid w:val="00D72BC9"/>
    <w:rsid w:val="00D72E62"/>
    <w:rsid w:val="00D72F1E"/>
    <w:rsid w:val="00D72F9B"/>
    <w:rsid w:val="00D73232"/>
    <w:rsid w:val="00D73263"/>
    <w:rsid w:val="00D7376D"/>
    <w:rsid w:val="00D73859"/>
    <w:rsid w:val="00D738EC"/>
    <w:rsid w:val="00D73B74"/>
    <w:rsid w:val="00D73D7F"/>
    <w:rsid w:val="00D73FF6"/>
    <w:rsid w:val="00D741BE"/>
    <w:rsid w:val="00D743A5"/>
    <w:rsid w:val="00D745EE"/>
    <w:rsid w:val="00D74AC0"/>
    <w:rsid w:val="00D74B9E"/>
    <w:rsid w:val="00D74BDB"/>
    <w:rsid w:val="00D74DC0"/>
    <w:rsid w:val="00D74DCD"/>
    <w:rsid w:val="00D74DFA"/>
    <w:rsid w:val="00D75090"/>
    <w:rsid w:val="00D7517B"/>
    <w:rsid w:val="00D752E4"/>
    <w:rsid w:val="00D7565E"/>
    <w:rsid w:val="00D75796"/>
    <w:rsid w:val="00D758F1"/>
    <w:rsid w:val="00D759A5"/>
    <w:rsid w:val="00D75AFE"/>
    <w:rsid w:val="00D75BDD"/>
    <w:rsid w:val="00D75D04"/>
    <w:rsid w:val="00D75DE6"/>
    <w:rsid w:val="00D75E44"/>
    <w:rsid w:val="00D75F2A"/>
    <w:rsid w:val="00D76143"/>
    <w:rsid w:val="00D7627D"/>
    <w:rsid w:val="00D763EB"/>
    <w:rsid w:val="00D7642D"/>
    <w:rsid w:val="00D76606"/>
    <w:rsid w:val="00D767F7"/>
    <w:rsid w:val="00D76A9E"/>
    <w:rsid w:val="00D76CAE"/>
    <w:rsid w:val="00D76F40"/>
    <w:rsid w:val="00D76F7E"/>
    <w:rsid w:val="00D77467"/>
    <w:rsid w:val="00D774DA"/>
    <w:rsid w:val="00D7754B"/>
    <w:rsid w:val="00D7792D"/>
    <w:rsid w:val="00D77B7A"/>
    <w:rsid w:val="00D8007B"/>
    <w:rsid w:val="00D8007F"/>
    <w:rsid w:val="00D800D7"/>
    <w:rsid w:val="00D8158F"/>
    <w:rsid w:val="00D81648"/>
    <w:rsid w:val="00D816FA"/>
    <w:rsid w:val="00D818CF"/>
    <w:rsid w:val="00D81A2D"/>
    <w:rsid w:val="00D81AC3"/>
    <w:rsid w:val="00D81BEC"/>
    <w:rsid w:val="00D81C15"/>
    <w:rsid w:val="00D81C36"/>
    <w:rsid w:val="00D81F51"/>
    <w:rsid w:val="00D81FFA"/>
    <w:rsid w:val="00D82042"/>
    <w:rsid w:val="00D8228E"/>
    <w:rsid w:val="00D824DE"/>
    <w:rsid w:val="00D82540"/>
    <w:rsid w:val="00D82901"/>
    <w:rsid w:val="00D82914"/>
    <w:rsid w:val="00D82A2D"/>
    <w:rsid w:val="00D82A6C"/>
    <w:rsid w:val="00D82F69"/>
    <w:rsid w:val="00D82FD8"/>
    <w:rsid w:val="00D83037"/>
    <w:rsid w:val="00D8310D"/>
    <w:rsid w:val="00D83334"/>
    <w:rsid w:val="00D83614"/>
    <w:rsid w:val="00D83A14"/>
    <w:rsid w:val="00D83A4C"/>
    <w:rsid w:val="00D83C2C"/>
    <w:rsid w:val="00D83D9C"/>
    <w:rsid w:val="00D83F32"/>
    <w:rsid w:val="00D83F36"/>
    <w:rsid w:val="00D83FFE"/>
    <w:rsid w:val="00D842A8"/>
    <w:rsid w:val="00D842B9"/>
    <w:rsid w:val="00D848A6"/>
    <w:rsid w:val="00D84ABB"/>
    <w:rsid w:val="00D84B60"/>
    <w:rsid w:val="00D84BBB"/>
    <w:rsid w:val="00D85011"/>
    <w:rsid w:val="00D852C9"/>
    <w:rsid w:val="00D852E7"/>
    <w:rsid w:val="00D854C3"/>
    <w:rsid w:val="00D85655"/>
    <w:rsid w:val="00D856E8"/>
    <w:rsid w:val="00D85835"/>
    <w:rsid w:val="00D85877"/>
    <w:rsid w:val="00D85AF0"/>
    <w:rsid w:val="00D85B2B"/>
    <w:rsid w:val="00D85D59"/>
    <w:rsid w:val="00D85F7D"/>
    <w:rsid w:val="00D85F98"/>
    <w:rsid w:val="00D861E5"/>
    <w:rsid w:val="00D86200"/>
    <w:rsid w:val="00D8652A"/>
    <w:rsid w:val="00D8677A"/>
    <w:rsid w:val="00D868E7"/>
    <w:rsid w:val="00D869FD"/>
    <w:rsid w:val="00D86A4E"/>
    <w:rsid w:val="00D86A8A"/>
    <w:rsid w:val="00D86A8F"/>
    <w:rsid w:val="00D86C61"/>
    <w:rsid w:val="00D86C97"/>
    <w:rsid w:val="00D86D72"/>
    <w:rsid w:val="00D86FBE"/>
    <w:rsid w:val="00D871B7"/>
    <w:rsid w:val="00D87285"/>
    <w:rsid w:val="00D87479"/>
    <w:rsid w:val="00D87510"/>
    <w:rsid w:val="00D87ADC"/>
    <w:rsid w:val="00D87DCE"/>
    <w:rsid w:val="00D87E17"/>
    <w:rsid w:val="00D87F57"/>
    <w:rsid w:val="00D90609"/>
    <w:rsid w:val="00D9061F"/>
    <w:rsid w:val="00D906C8"/>
    <w:rsid w:val="00D90765"/>
    <w:rsid w:val="00D9077D"/>
    <w:rsid w:val="00D90B88"/>
    <w:rsid w:val="00D90B8D"/>
    <w:rsid w:val="00D90BE7"/>
    <w:rsid w:val="00D90E9A"/>
    <w:rsid w:val="00D90EDD"/>
    <w:rsid w:val="00D910D3"/>
    <w:rsid w:val="00D910D7"/>
    <w:rsid w:val="00D910FE"/>
    <w:rsid w:val="00D913E5"/>
    <w:rsid w:val="00D9141E"/>
    <w:rsid w:val="00D91659"/>
    <w:rsid w:val="00D9169B"/>
    <w:rsid w:val="00D917F6"/>
    <w:rsid w:val="00D91863"/>
    <w:rsid w:val="00D9188B"/>
    <w:rsid w:val="00D91983"/>
    <w:rsid w:val="00D91A5D"/>
    <w:rsid w:val="00D91F97"/>
    <w:rsid w:val="00D92074"/>
    <w:rsid w:val="00D923AF"/>
    <w:rsid w:val="00D923B3"/>
    <w:rsid w:val="00D9287F"/>
    <w:rsid w:val="00D93021"/>
    <w:rsid w:val="00D93211"/>
    <w:rsid w:val="00D93236"/>
    <w:rsid w:val="00D93420"/>
    <w:rsid w:val="00D935E2"/>
    <w:rsid w:val="00D93825"/>
    <w:rsid w:val="00D93828"/>
    <w:rsid w:val="00D9392A"/>
    <w:rsid w:val="00D93A72"/>
    <w:rsid w:val="00D93CDF"/>
    <w:rsid w:val="00D942C0"/>
    <w:rsid w:val="00D943DD"/>
    <w:rsid w:val="00D945F7"/>
    <w:rsid w:val="00D94AC8"/>
    <w:rsid w:val="00D94C78"/>
    <w:rsid w:val="00D94DA7"/>
    <w:rsid w:val="00D94E03"/>
    <w:rsid w:val="00D94F81"/>
    <w:rsid w:val="00D9509B"/>
    <w:rsid w:val="00D95210"/>
    <w:rsid w:val="00D954BE"/>
    <w:rsid w:val="00D9579D"/>
    <w:rsid w:val="00D9584F"/>
    <w:rsid w:val="00D9588C"/>
    <w:rsid w:val="00D959BB"/>
    <w:rsid w:val="00D95A31"/>
    <w:rsid w:val="00D95A65"/>
    <w:rsid w:val="00D962C6"/>
    <w:rsid w:val="00D96350"/>
    <w:rsid w:val="00D9674C"/>
    <w:rsid w:val="00D9693F"/>
    <w:rsid w:val="00D96CE0"/>
    <w:rsid w:val="00D96DAA"/>
    <w:rsid w:val="00D96DFD"/>
    <w:rsid w:val="00D97037"/>
    <w:rsid w:val="00D970BE"/>
    <w:rsid w:val="00D97498"/>
    <w:rsid w:val="00D975C7"/>
    <w:rsid w:val="00D9763B"/>
    <w:rsid w:val="00D9765D"/>
    <w:rsid w:val="00D9768F"/>
    <w:rsid w:val="00D97AB5"/>
    <w:rsid w:val="00D97DF7"/>
    <w:rsid w:val="00D97E1D"/>
    <w:rsid w:val="00D97E92"/>
    <w:rsid w:val="00DA010C"/>
    <w:rsid w:val="00DA013F"/>
    <w:rsid w:val="00DA015B"/>
    <w:rsid w:val="00DA0236"/>
    <w:rsid w:val="00DA03CB"/>
    <w:rsid w:val="00DA03FE"/>
    <w:rsid w:val="00DA04E8"/>
    <w:rsid w:val="00DA0509"/>
    <w:rsid w:val="00DA0528"/>
    <w:rsid w:val="00DA0756"/>
    <w:rsid w:val="00DA0791"/>
    <w:rsid w:val="00DA086E"/>
    <w:rsid w:val="00DA0E97"/>
    <w:rsid w:val="00DA1178"/>
    <w:rsid w:val="00DA1483"/>
    <w:rsid w:val="00DA1789"/>
    <w:rsid w:val="00DA1A43"/>
    <w:rsid w:val="00DA1BCC"/>
    <w:rsid w:val="00DA1BD1"/>
    <w:rsid w:val="00DA1BED"/>
    <w:rsid w:val="00DA1C0D"/>
    <w:rsid w:val="00DA1C79"/>
    <w:rsid w:val="00DA1D19"/>
    <w:rsid w:val="00DA1DD9"/>
    <w:rsid w:val="00DA200B"/>
    <w:rsid w:val="00DA2046"/>
    <w:rsid w:val="00DA25A4"/>
    <w:rsid w:val="00DA25C3"/>
    <w:rsid w:val="00DA25D8"/>
    <w:rsid w:val="00DA2649"/>
    <w:rsid w:val="00DA27BC"/>
    <w:rsid w:val="00DA2927"/>
    <w:rsid w:val="00DA2B6B"/>
    <w:rsid w:val="00DA2B96"/>
    <w:rsid w:val="00DA2BB3"/>
    <w:rsid w:val="00DA304E"/>
    <w:rsid w:val="00DA30D2"/>
    <w:rsid w:val="00DA310C"/>
    <w:rsid w:val="00DA32B1"/>
    <w:rsid w:val="00DA3325"/>
    <w:rsid w:val="00DA3686"/>
    <w:rsid w:val="00DA38D7"/>
    <w:rsid w:val="00DA3A92"/>
    <w:rsid w:val="00DA3B81"/>
    <w:rsid w:val="00DA3B9B"/>
    <w:rsid w:val="00DA42A4"/>
    <w:rsid w:val="00DA42FA"/>
    <w:rsid w:val="00DA436B"/>
    <w:rsid w:val="00DA45D1"/>
    <w:rsid w:val="00DA4601"/>
    <w:rsid w:val="00DA495D"/>
    <w:rsid w:val="00DA4C24"/>
    <w:rsid w:val="00DA4CE4"/>
    <w:rsid w:val="00DA4EAA"/>
    <w:rsid w:val="00DA4F6B"/>
    <w:rsid w:val="00DA52E2"/>
    <w:rsid w:val="00DA534F"/>
    <w:rsid w:val="00DA549E"/>
    <w:rsid w:val="00DA597C"/>
    <w:rsid w:val="00DA5D14"/>
    <w:rsid w:val="00DA5D57"/>
    <w:rsid w:val="00DA5F07"/>
    <w:rsid w:val="00DA5FF0"/>
    <w:rsid w:val="00DA60D6"/>
    <w:rsid w:val="00DA621F"/>
    <w:rsid w:val="00DA64E3"/>
    <w:rsid w:val="00DA65FD"/>
    <w:rsid w:val="00DA6876"/>
    <w:rsid w:val="00DA6C59"/>
    <w:rsid w:val="00DA6D87"/>
    <w:rsid w:val="00DA6FFB"/>
    <w:rsid w:val="00DA71E7"/>
    <w:rsid w:val="00DA74BA"/>
    <w:rsid w:val="00DA7608"/>
    <w:rsid w:val="00DA76EB"/>
    <w:rsid w:val="00DA79B7"/>
    <w:rsid w:val="00DA7ACD"/>
    <w:rsid w:val="00DA7B33"/>
    <w:rsid w:val="00DA7DCC"/>
    <w:rsid w:val="00DA7F82"/>
    <w:rsid w:val="00DB010A"/>
    <w:rsid w:val="00DB01A2"/>
    <w:rsid w:val="00DB0299"/>
    <w:rsid w:val="00DB047E"/>
    <w:rsid w:val="00DB0608"/>
    <w:rsid w:val="00DB0791"/>
    <w:rsid w:val="00DB0A3D"/>
    <w:rsid w:val="00DB0BCE"/>
    <w:rsid w:val="00DB0D88"/>
    <w:rsid w:val="00DB10BE"/>
    <w:rsid w:val="00DB120E"/>
    <w:rsid w:val="00DB1228"/>
    <w:rsid w:val="00DB1466"/>
    <w:rsid w:val="00DB1602"/>
    <w:rsid w:val="00DB165F"/>
    <w:rsid w:val="00DB1705"/>
    <w:rsid w:val="00DB1820"/>
    <w:rsid w:val="00DB193F"/>
    <w:rsid w:val="00DB198C"/>
    <w:rsid w:val="00DB1A3D"/>
    <w:rsid w:val="00DB1C3F"/>
    <w:rsid w:val="00DB1C6B"/>
    <w:rsid w:val="00DB1D2D"/>
    <w:rsid w:val="00DB1DA1"/>
    <w:rsid w:val="00DB1DD7"/>
    <w:rsid w:val="00DB1E0D"/>
    <w:rsid w:val="00DB1FCD"/>
    <w:rsid w:val="00DB20C0"/>
    <w:rsid w:val="00DB2128"/>
    <w:rsid w:val="00DB21E1"/>
    <w:rsid w:val="00DB2267"/>
    <w:rsid w:val="00DB231B"/>
    <w:rsid w:val="00DB27B4"/>
    <w:rsid w:val="00DB27D2"/>
    <w:rsid w:val="00DB2AC0"/>
    <w:rsid w:val="00DB2B58"/>
    <w:rsid w:val="00DB2B89"/>
    <w:rsid w:val="00DB2CD0"/>
    <w:rsid w:val="00DB2F3F"/>
    <w:rsid w:val="00DB3361"/>
    <w:rsid w:val="00DB3997"/>
    <w:rsid w:val="00DB3A80"/>
    <w:rsid w:val="00DB3AC9"/>
    <w:rsid w:val="00DB3B34"/>
    <w:rsid w:val="00DB3C81"/>
    <w:rsid w:val="00DB3CD0"/>
    <w:rsid w:val="00DB3CEF"/>
    <w:rsid w:val="00DB3D31"/>
    <w:rsid w:val="00DB3DBD"/>
    <w:rsid w:val="00DB3DDB"/>
    <w:rsid w:val="00DB3E35"/>
    <w:rsid w:val="00DB3E93"/>
    <w:rsid w:val="00DB3EB6"/>
    <w:rsid w:val="00DB4127"/>
    <w:rsid w:val="00DB4137"/>
    <w:rsid w:val="00DB41F7"/>
    <w:rsid w:val="00DB4356"/>
    <w:rsid w:val="00DB46DC"/>
    <w:rsid w:val="00DB48F6"/>
    <w:rsid w:val="00DB4B02"/>
    <w:rsid w:val="00DB4C28"/>
    <w:rsid w:val="00DB545F"/>
    <w:rsid w:val="00DB5474"/>
    <w:rsid w:val="00DB57EB"/>
    <w:rsid w:val="00DB5AD6"/>
    <w:rsid w:val="00DB5B89"/>
    <w:rsid w:val="00DB5BF3"/>
    <w:rsid w:val="00DB6026"/>
    <w:rsid w:val="00DB61B5"/>
    <w:rsid w:val="00DB6374"/>
    <w:rsid w:val="00DB644D"/>
    <w:rsid w:val="00DB6689"/>
    <w:rsid w:val="00DB669D"/>
    <w:rsid w:val="00DB6B1D"/>
    <w:rsid w:val="00DB6C9E"/>
    <w:rsid w:val="00DB6D2F"/>
    <w:rsid w:val="00DB6E13"/>
    <w:rsid w:val="00DB6E97"/>
    <w:rsid w:val="00DB7074"/>
    <w:rsid w:val="00DB73C6"/>
    <w:rsid w:val="00DB74AE"/>
    <w:rsid w:val="00DB7503"/>
    <w:rsid w:val="00DB7507"/>
    <w:rsid w:val="00DB7520"/>
    <w:rsid w:val="00DB7A91"/>
    <w:rsid w:val="00DB7B8C"/>
    <w:rsid w:val="00DB7D41"/>
    <w:rsid w:val="00DB7DEB"/>
    <w:rsid w:val="00DB7FB3"/>
    <w:rsid w:val="00DC025F"/>
    <w:rsid w:val="00DC04B4"/>
    <w:rsid w:val="00DC0676"/>
    <w:rsid w:val="00DC068E"/>
    <w:rsid w:val="00DC0703"/>
    <w:rsid w:val="00DC0F91"/>
    <w:rsid w:val="00DC0FF2"/>
    <w:rsid w:val="00DC1160"/>
    <w:rsid w:val="00DC1471"/>
    <w:rsid w:val="00DC14A2"/>
    <w:rsid w:val="00DC14B9"/>
    <w:rsid w:val="00DC154C"/>
    <w:rsid w:val="00DC15F2"/>
    <w:rsid w:val="00DC178E"/>
    <w:rsid w:val="00DC17E6"/>
    <w:rsid w:val="00DC184F"/>
    <w:rsid w:val="00DC1972"/>
    <w:rsid w:val="00DC1D70"/>
    <w:rsid w:val="00DC1EE2"/>
    <w:rsid w:val="00DC2539"/>
    <w:rsid w:val="00DC259B"/>
    <w:rsid w:val="00DC29E4"/>
    <w:rsid w:val="00DC2BF5"/>
    <w:rsid w:val="00DC2C45"/>
    <w:rsid w:val="00DC2E2C"/>
    <w:rsid w:val="00DC2E39"/>
    <w:rsid w:val="00DC3008"/>
    <w:rsid w:val="00DC30FE"/>
    <w:rsid w:val="00DC31FD"/>
    <w:rsid w:val="00DC3243"/>
    <w:rsid w:val="00DC3488"/>
    <w:rsid w:val="00DC36EA"/>
    <w:rsid w:val="00DC3850"/>
    <w:rsid w:val="00DC391E"/>
    <w:rsid w:val="00DC3B9A"/>
    <w:rsid w:val="00DC3B9F"/>
    <w:rsid w:val="00DC3C71"/>
    <w:rsid w:val="00DC3EB5"/>
    <w:rsid w:val="00DC40A6"/>
    <w:rsid w:val="00DC4197"/>
    <w:rsid w:val="00DC4362"/>
    <w:rsid w:val="00DC43B6"/>
    <w:rsid w:val="00DC44D1"/>
    <w:rsid w:val="00DC45D2"/>
    <w:rsid w:val="00DC45E6"/>
    <w:rsid w:val="00DC4649"/>
    <w:rsid w:val="00DC4676"/>
    <w:rsid w:val="00DC46E3"/>
    <w:rsid w:val="00DC4865"/>
    <w:rsid w:val="00DC4899"/>
    <w:rsid w:val="00DC49C8"/>
    <w:rsid w:val="00DC4E6C"/>
    <w:rsid w:val="00DC54E0"/>
    <w:rsid w:val="00DC57CC"/>
    <w:rsid w:val="00DC5BD4"/>
    <w:rsid w:val="00DC5BF9"/>
    <w:rsid w:val="00DC6137"/>
    <w:rsid w:val="00DC629A"/>
    <w:rsid w:val="00DC62EC"/>
    <w:rsid w:val="00DC637A"/>
    <w:rsid w:val="00DC6448"/>
    <w:rsid w:val="00DC6729"/>
    <w:rsid w:val="00DC6867"/>
    <w:rsid w:val="00DC68A7"/>
    <w:rsid w:val="00DC69CD"/>
    <w:rsid w:val="00DC69F9"/>
    <w:rsid w:val="00DC6AD2"/>
    <w:rsid w:val="00DC6B8E"/>
    <w:rsid w:val="00DC6B92"/>
    <w:rsid w:val="00DC747D"/>
    <w:rsid w:val="00DC748A"/>
    <w:rsid w:val="00DC7800"/>
    <w:rsid w:val="00DC786A"/>
    <w:rsid w:val="00DC78A3"/>
    <w:rsid w:val="00DC7D9D"/>
    <w:rsid w:val="00DD0074"/>
    <w:rsid w:val="00DD013E"/>
    <w:rsid w:val="00DD03A3"/>
    <w:rsid w:val="00DD0487"/>
    <w:rsid w:val="00DD07F9"/>
    <w:rsid w:val="00DD0B6A"/>
    <w:rsid w:val="00DD0E16"/>
    <w:rsid w:val="00DD10A1"/>
    <w:rsid w:val="00DD10DD"/>
    <w:rsid w:val="00DD11C5"/>
    <w:rsid w:val="00DD11C7"/>
    <w:rsid w:val="00DD124C"/>
    <w:rsid w:val="00DD1294"/>
    <w:rsid w:val="00DD12FD"/>
    <w:rsid w:val="00DD1441"/>
    <w:rsid w:val="00DD14A7"/>
    <w:rsid w:val="00DD1531"/>
    <w:rsid w:val="00DD192F"/>
    <w:rsid w:val="00DD1A73"/>
    <w:rsid w:val="00DD2062"/>
    <w:rsid w:val="00DD2237"/>
    <w:rsid w:val="00DD2438"/>
    <w:rsid w:val="00DD265B"/>
    <w:rsid w:val="00DD26E0"/>
    <w:rsid w:val="00DD27A6"/>
    <w:rsid w:val="00DD2879"/>
    <w:rsid w:val="00DD2DDC"/>
    <w:rsid w:val="00DD2EAE"/>
    <w:rsid w:val="00DD2F5D"/>
    <w:rsid w:val="00DD2FD4"/>
    <w:rsid w:val="00DD3329"/>
    <w:rsid w:val="00DD35B0"/>
    <w:rsid w:val="00DD399D"/>
    <w:rsid w:val="00DD3BF1"/>
    <w:rsid w:val="00DD3CAC"/>
    <w:rsid w:val="00DD3DEC"/>
    <w:rsid w:val="00DD3E3A"/>
    <w:rsid w:val="00DD4026"/>
    <w:rsid w:val="00DD4084"/>
    <w:rsid w:val="00DD419F"/>
    <w:rsid w:val="00DD41C4"/>
    <w:rsid w:val="00DD45AC"/>
    <w:rsid w:val="00DD45ED"/>
    <w:rsid w:val="00DD471E"/>
    <w:rsid w:val="00DD48C1"/>
    <w:rsid w:val="00DD49D8"/>
    <w:rsid w:val="00DD4AC4"/>
    <w:rsid w:val="00DD4AD5"/>
    <w:rsid w:val="00DD4BF0"/>
    <w:rsid w:val="00DD4E9D"/>
    <w:rsid w:val="00DD5265"/>
    <w:rsid w:val="00DD550D"/>
    <w:rsid w:val="00DD557F"/>
    <w:rsid w:val="00DD5892"/>
    <w:rsid w:val="00DD5B5E"/>
    <w:rsid w:val="00DD5C93"/>
    <w:rsid w:val="00DD5DE9"/>
    <w:rsid w:val="00DD60CD"/>
    <w:rsid w:val="00DD63AB"/>
    <w:rsid w:val="00DD63F3"/>
    <w:rsid w:val="00DD6587"/>
    <w:rsid w:val="00DD679D"/>
    <w:rsid w:val="00DD6A1F"/>
    <w:rsid w:val="00DD6A22"/>
    <w:rsid w:val="00DD6BA9"/>
    <w:rsid w:val="00DD6BB8"/>
    <w:rsid w:val="00DD6ED0"/>
    <w:rsid w:val="00DD6FC1"/>
    <w:rsid w:val="00DD70BA"/>
    <w:rsid w:val="00DD717C"/>
    <w:rsid w:val="00DD7286"/>
    <w:rsid w:val="00DD729F"/>
    <w:rsid w:val="00DD72D4"/>
    <w:rsid w:val="00DD7436"/>
    <w:rsid w:val="00DD7859"/>
    <w:rsid w:val="00DD79D3"/>
    <w:rsid w:val="00DD7AFD"/>
    <w:rsid w:val="00DD7C32"/>
    <w:rsid w:val="00DD7CEB"/>
    <w:rsid w:val="00DD7E4E"/>
    <w:rsid w:val="00DE014F"/>
    <w:rsid w:val="00DE01D9"/>
    <w:rsid w:val="00DE02DC"/>
    <w:rsid w:val="00DE0657"/>
    <w:rsid w:val="00DE06B5"/>
    <w:rsid w:val="00DE0A54"/>
    <w:rsid w:val="00DE0BD3"/>
    <w:rsid w:val="00DE0ED3"/>
    <w:rsid w:val="00DE117E"/>
    <w:rsid w:val="00DE1370"/>
    <w:rsid w:val="00DE1375"/>
    <w:rsid w:val="00DE15F9"/>
    <w:rsid w:val="00DE1651"/>
    <w:rsid w:val="00DE1757"/>
    <w:rsid w:val="00DE17FD"/>
    <w:rsid w:val="00DE1947"/>
    <w:rsid w:val="00DE1997"/>
    <w:rsid w:val="00DE1A5A"/>
    <w:rsid w:val="00DE1A94"/>
    <w:rsid w:val="00DE1CE1"/>
    <w:rsid w:val="00DE1E79"/>
    <w:rsid w:val="00DE1E9F"/>
    <w:rsid w:val="00DE1F43"/>
    <w:rsid w:val="00DE2125"/>
    <w:rsid w:val="00DE21FA"/>
    <w:rsid w:val="00DE2276"/>
    <w:rsid w:val="00DE2392"/>
    <w:rsid w:val="00DE23CF"/>
    <w:rsid w:val="00DE2639"/>
    <w:rsid w:val="00DE2824"/>
    <w:rsid w:val="00DE2844"/>
    <w:rsid w:val="00DE29CC"/>
    <w:rsid w:val="00DE2D74"/>
    <w:rsid w:val="00DE31FD"/>
    <w:rsid w:val="00DE3445"/>
    <w:rsid w:val="00DE3550"/>
    <w:rsid w:val="00DE365B"/>
    <w:rsid w:val="00DE37AB"/>
    <w:rsid w:val="00DE3942"/>
    <w:rsid w:val="00DE3B24"/>
    <w:rsid w:val="00DE3BDA"/>
    <w:rsid w:val="00DE3D56"/>
    <w:rsid w:val="00DE3DE6"/>
    <w:rsid w:val="00DE40B7"/>
    <w:rsid w:val="00DE41C5"/>
    <w:rsid w:val="00DE41F7"/>
    <w:rsid w:val="00DE42AF"/>
    <w:rsid w:val="00DE4405"/>
    <w:rsid w:val="00DE447A"/>
    <w:rsid w:val="00DE44E0"/>
    <w:rsid w:val="00DE45A6"/>
    <w:rsid w:val="00DE45DE"/>
    <w:rsid w:val="00DE4669"/>
    <w:rsid w:val="00DE46CF"/>
    <w:rsid w:val="00DE475C"/>
    <w:rsid w:val="00DE4D26"/>
    <w:rsid w:val="00DE4EA8"/>
    <w:rsid w:val="00DE5267"/>
    <w:rsid w:val="00DE54A0"/>
    <w:rsid w:val="00DE5537"/>
    <w:rsid w:val="00DE5820"/>
    <w:rsid w:val="00DE59C5"/>
    <w:rsid w:val="00DE5A28"/>
    <w:rsid w:val="00DE5A60"/>
    <w:rsid w:val="00DE5B37"/>
    <w:rsid w:val="00DE5D52"/>
    <w:rsid w:val="00DE5DEA"/>
    <w:rsid w:val="00DE5EDA"/>
    <w:rsid w:val="00DE626B"/>
    <w:rsid w:val="00DE6428"/>
    <w:rsid w:val="00DE69FD"/>
    <w:rsid w:val="00DE6B22"/>
    <w:rsid w:val="00DE6CEB"/>
    <w:rsid w:val="00DE6E3A"/>
    <w:rsid w:val="00DE6F2B"/>
    <w:rsid w:val="00DE708D"/>
    <w:rsid w:val="00DE70BF"/>
    <w:rsid w:val="00DE736A"/>
    <w:rsid w:val="00DE74FA"/>
    <w:rsid w:val="00DE7A53"/>
    <w:rsid w:val="00DE7B2C"/>
    <w:rsid w:val="00DE7CCB"/>
    <w:rsid w:val="00DE7D11"/>
    <w:rsid w:val="00DE7D5F"/>
    <w:rsid w:val="00DF00BD"/>
    <w:rsid w:val="00DF034F"/>
    <w:rsid w:val="00DF06DB"/>
    <w:rsid w:val="00DF0AC9"/>
    <w:rsid w:val="00DF0C71"/>
    <w:rsid w:val="00DF0C97"/>
    <w:rsid w:val="00DF0E90"/>
    <w:rsid w:val="00DF100C"/>
    <w:rsid w:val="00DF1159"/>
    <w:rsid w:val="00DF145C"/>
    <w:rsid w:val="00DF154F"/>
    <w:rsid w:val="00DF15DC"/>
    <w:rsid w:val="00DF16B0"/>
    <w:rsid w:val="00DF1738"/>
    <w:rsid w:val="00DF1804"/>
    <w:rsid w:val="00DF1B06"/>
    <w:rsid w:val="00DF1C0F"/>
    <w:rsid w:val="00DF1D2D"/>
    <w:rsid w:val="00DF1E20"/>
    <w:rsid w:val="00DF2276"/>
    <w:rsid w:val="00DF2321"/>
    <w:rsid w:val="00DF2697"/>
    <w:rsid w:val="00DF2800"/>
    <w:rsid w:val="00DF2852"/>
    <w:rsid w:val="00DF289F"/>
    <w:rsid w:val="00DF291F"/>
    <w:rsid w:val="00DF2A03"/>
    <w:rsid w:val="00DF2A25"/>
    <w:rsid w:val="00DF2A45"/>
    <w:rsid w:val="00DF2A7A"/>
    <w:rsid w:val="00DF2B1B"/>
    <w:rsid w:val="00DF2C37"/>
    <w:rsid w:val="00DF2F0B"/>
    <w:rsid w:val="00DF2FD9"/>
    <w:rsid w:val="00DF305E"/>
    <w:rsid w:val="00DF322E"/>
    <w:rsid w:val="00DF3284"/>
    <w:rsid w:val="00DF32A1"/>
    <w:rsid w:val="00DF35C1"/>
    <w:rsid w:val="00DF3737"/>
    <w:rsid w:val="00DF3779"/>
    <w:rsid w:val="00DF37A2"/>
    <w:rsid w:val="00DF380D"/>
    <w:rsid w:val="00DF39A0"/>
    <w:rsid w:val="00DF3DFF"/>
    <w:rsid w:val="00DF40F3"/>
    <w:rsid w:val="00DF420D"/>
    <w:rsid w:val="00DF4340"/>
    <w:rsid w:val="00DF4463"/>
    <w:rsid w:val="00DF4494"/>
    <w:rsid w:val="00DF4C31"/>
    <w:rsid w:val="00DF4D1F"/>
    <w:rsid w:val="00DF5051"/>
    <w:rsid w:val="00DF50A6"/>
    <w:rsid w:val="00DF511D"/>
    <w:rsid w:val="00DF5787"/>
    <w:rsid w:val="00DF57E8"/>
    <w:rsid w:val="00DF57F1"/>
    <w:rsid w:val="00DF584E"/>
    <w:rsid w:val="00DF5916"/>
    <w:rsid w:val="00DF5D4F"/>
    <w:rsid w:val="00DF61C7"/>
    <w:rsid w:val="00DF6213"/>
    <w:rsid w:val="00DF6858"/>
    <w:rsid w:val="00DF68E6"/>
    <w:rsid w:val="00DF68EE"/>
    <w:rsid w:val="00DF6B25"/>
    <w:rsid w:val="00DF6C35"/>
    <w:rsid w:val="00DF6D5D"/>
    <w:rsid w:val="00DF6E99"/>
    <w:rsid w:val="00DF6EB4"/>
    <w:rsid w:val="00DF6F37"/>
    <w:rsid w:val="00DF7065"/>
    <w:rsid w:val="00DF740C"/>
    <w:rsid w:val="00DF7430"/>
    <w:rsid w:val="00DF747B"/>
    <w:rsid w:val="00DF7728"/>
    <w:rsid w:val="00DF7A66"/>
    <w:rsid w:val="00DF7A88"/>
    <w:rsid w:val="00DF7AD0"/>
    <w:rsid w:val="00DF7C6F"/>
    <w:rsid w:val="00DF7FC9"/>
    <w:rsid w:val="00E002ED"/>
    <w:rsid w:val="00E005E2"/>
    <w:rsid w:val="00E0066C"/>
    <w:rsid w:val="00E00785"/>
    <w:rsid w:val="00E00789"/>
    <w:rsid w:val="00E0084C"/>
    <w:rsid w:val="00E00853"/>
    <w:rsid w:val="00E0091A"/>
    <w:rsid w:val="00E009F0"/>
    <w:rsid w:val="00E00A0E"/>
    <w:rsid w:val="00E00CA5"/>
    <w:rsid w:val="00E00E4C"/>
    <w:rsid w:val="00E00F3D"/>
    <w:rsid w:val="00E015A0"/>
    <w:rsid w:val="00E01737"/>
    <w:rsid w:val="00E01821"/>
    <w:rsid w:val="00E01A34"/>
    <w:rsid w:val="00E01B70"/>
    <w:rsid w:val="00E01B81"/>
    <w:rsid w:val="00E01C0C"/>
    <w:rsid w:val="00E01C4A"/>
    <w:rsid w:val="00E01CE6"/>
    <w:rsid w:val="00E01D9F"/>
    <w:rsid w:val="00E01DC1"/>
    <w:rsid w:val="00E0217D"/>
    <w:rsid w:val="00E024C7"/>
    <w:rsid w:val="00E02735"/>
    <w:rsid w:val="00E02AFC"/>
    <w:rsid w:val="00E02C7E"/>
    <w:rsid w:val="00E02CDA"/>
    <w:rsid w:val="00E02D2B"/>
    <w:rsid w:val="00E02E6E"/>
    <w:rsid w:val="00E02EBC"/>
    <w:rsid w:val="00E02F96"/>
    <w:rsid w:val="00E02FEA"/>
    <w:rsid w:val="00E02FFF"/>
    <w:rsid w:val="00E03130"/>
    <w:rsid w:val="00E03208"/>
    <w:rsid w:val="00E032C5"/>
    <w:rsid w:val="00E034E3"/>
    <w:rsid w:val="00E0354C"/>
    <w:rsid w:val="00E0364E"/>
    <w:rsid w:val="00E036A2"/>
    <w:rsid w:val="00E0379B"/>
    <w:rsid w:val="00E03AAE"/>
    <w:rsid w:val="00E03F09"/>
    <w:rsid w:val="00E03F16"/>
    <w:rsid w:val="00E03FC3"/>
    <w:rsid w:val="00E0400D"/>
    <w:rsid w:val="00E043D5"/>
    <w:rsid w:val="00E0440A"/>
    <w:rsid w:val="00E0462D"/>
    <w:rsid w:val="00E046D2"/>
    <w:rsid w:val="00E048C6"/>
    <w:rsid w:val="00E049C2"/>
    <w:rsid w:val="00E04B83"/>
    <w:rsid w:val="00E04FA5"/>
    <w:rsid w:val="00E050CA"/>
    <w:rsid w:val="00E051CB"/>
    <w:rsid w:val="00E052C4"/>
    <w:rsid w:val="00E05328"/>
    <w:rsid w:val="00E056C7"/>
    <w:rsid w:val="00E05766"/>
    <w:rsid w:val="00E057C3"/>
    <w:rsid w:val="00E0588D"/>
    <w:rsid w:val="00E058AE"/>
    <w:rsid w:val="00E05C15"/>
    <w:rsid w:val="00E05DD3"/>
    <w:rsid w:val="00E05DFA"/>
    <w:rsid w:val="00E05F01"/>
    <w:rsid w:val="00E05F75"/>
    <w:rsid w:val="00E060DF"/>
    <w:rsid w:val="00E06439"/>
    <w:rsid w:val="00E0667E"/>
    <w:rsid w:val="00E0672E"/>
    <w:rsid w:val="00E06856"/>
    <w:rsid w:val="00E06881"/>
    <w:rsid w:val="00E06A8C"/>
    <w:rsid w:val="00E06A8D"/>
    <w:rsid w:val="00E06D2E"/>
    <w:rsid w:val="00E06FBF"/>
    <w:rsid w:val="00E0707E"/>
    <w:rsid w:val="00E070C4"/>
    <w:rsid w:val="00E0744C"/>
    <w:rsid w:val="00E0752F"/>
    <w:rsid w:val="00E0762B"/>
    <w:rsid w:val="00E07684"/>
    <w:rsid w:val="00E07924"/>
    <w:rsid w:val="00E07943"/>
    <w:rsid w:val="00E07998"/>
    <w:rsid w:val="00E07BE4"/>
    <w:rsid w:val="00E07CAE"/>
    <w:rsid w:val="00E07F56"/>
    <w:rsid w:val="00E1011B"/>
    <w:rsid w:val="00E10170"/>
    <w:rsid w:val="00E10358"/>
    <w:rsid w:val="00E10391"/>
    <w:rsid w:val="00E10436"/>
    <w:rsid w:val="00E105E1"/>
    <w:rsid w:val="00E105E7"/>
    <w:rsid w:val="00E10728"/>
    <w:rsid w:val="00E107CF"/>
    <w:rsid w:val="00E10B9F"/>
    <w:rsid w:val="00E10DE2"/>
    <w:rsid w:val="00E10EE3"/>
    <w:rsid w:val="00E10F61"/>
    <w:rsid w:val="00E1129E"/>
    <w:rsid w:val="00E11433"/>
    <w:rsid w:val="00E1160F"/>
    <w:rsid w:val="00E11720"/>
    <w:rsid w:val="00E117D2"/>
    <w:rsid w:val="00E11996"/>
    <w:rsid w:val="00E11B47"/>
    <w:rsid w:val="00E11C33"/>
    <w:rsid w:val="00E11E34"/>
    <w:rsid w:val="00E11F63"/>
    <w:rsid w:val="00E1220A"/>
    <w:rsid w:val="00E122C1"/>
    <w:rsid w:val="00E12307"/>
    <w:rsid w:val="00E1258E"/>
    <w:rsid w:val="00E127E6"/>
    <w:rsid w:val="00E12875"/>
    <w:rsid w:val="00E128D8"/>
    <w:rsid w:val="00E12905"/>
    <w:rsid w:val="00E12A77"/>
    <w:rsid w:val="00E12B55"/>
    <w:rsid w:val="00E12E96"/>
    <w:rsid w:val="00E1311E"/>
    <w:rsid w:val="00E13277"/>
    <w:rsid w:val="00E133FE"/>
    <w:rsid w:val="00E13490"/>
    <w:rsid w:val="00E134B2"/>
    <w:rsid w:val="00E13522"/>
    <w:rsid w:val="00E13A75"/>
    <w:rsid w:val="00E13DD9"/>
    <w:rsid w:val="00E14149"/>
    <w:rsid w:val="00E14270"/>
    <w:rsid w:val="00E142C2"/>
    <w:rsid w:val="00E14854"/>
    <w:rsid w:val="00E149A8"/>
    <w:rsid w:val="00E14AE0"/>
    <w:rsid w:val="00E14B32"/>
    <w:rsid w:val="00E14BD6"/>
    <w:rsid w:val="00E14CA5"/>
    <w:rsid w:val="00E14D07"/>
    <w:rsid w:val="00E14E81"/>
    <w:rsid w:val="00E14ED6"/>
    <w:rsid w:val="00E14F72"/>
    <w:rsid w:val="00E14FFD"/>
    <w:rsid w:val="00E1514B"/>
    <w:rsid w:val="00E15328"/>
    <w:rsid w:val="00E15363"/>
    <w:rsid w:val="00E1538C"/>
    <w:rsid w:val="00E156AC"/>
    <w:rsid w:val="00E15A2C"/>
    <w:rsid w:val="00E15BCC"/>
    <w:rsid w:val="00E15C70"/>
    <w:rsid w:val="00E15D25"/>
    <w:rsid w:val="00E15F7A"/>
    <w:rsid w:val="00E15FC8"/>
    <w:rsid w:val="00E16167"/>
    <w:rsid w:val="00E1625B"/>
    <w:rsid w:val="00E162D2"/>
    <w:rsid w:val="00E1631D"/>
    <w:rsid w:val="00E1634D"/>
    <w:rsid w:val="00E16493"/>
    <w:rsid w:val="00E1675D"/>
    <w:rsid w:val="00E167FE"/>
    <w:rsid w:val="00E1693F"/>
    <w:rsid w:val="00E16A1B"/>
    <w:rsid w:val="00E16BF4"/>
    <w:rsid w:val="00E17083"/>
    <w:rsid w:val="00E1709B"/>
    <w:rsid w:val="00E17472"/>
    <w:rsid w:val="00E179A6"/>
    <w:rsid w:val="00E17B2C"/>
    <w:rsid w:val="00E17B52"/>
    <w:rsid w:val="00E17CC1"/>
    <w:rsid w:val="00E17CE9"/>
    <w:rsid w:val="00E17FDD"/>
    <w:rsid w:val="00E20315"/>
    <w:rsid w:val="00E2039E"/>
    <w:rsid w:val="00E203C2"/>
    <w:rsid w:val="00E207A0"/>
    <w:rsid w:val="00E2080B"/>
    <w:rsid w:val="00E20A56"/>
    <w:rsid w:val="00E20AF1"/>
    <w:rsid w:val="00E20B3B"/>
    <w:rsid w:val="00E20D06"/>
    <w:rsid w:val="00E2111B"/>
    <w:rsid w:val="00E214E7"/>
    <w:rsid w:val="00E215B5"/>
    <w:rsid w:val="00E2196E"/>
    <w:rsid w:val="00E21971"/>
    <w:rsid w:val="00E21A3A"/>
    <w:rsid w:val="00E21DB4"/>
    <w:rsid w:val="00E21DEE"/>
    <w:rsid w:val="00E21E9B"/>
    <w:rsid w:val="00E2218F"/>
    <w:rsid w:val="00E22194"/>
    <w:rsid w:val="00E221A9"/>
    <w:rsid w:val="00E22524"/>
    <w:rsid w:val="00E2252F"/>
    <w:rsid w:val="00E225A0"/>
    <w:rsid w:val="00E225E4"/>
    <w:rsid w:val="00E22676"/>
    <w:rsid w:val="00E227FE"/>
    <w:rsid w:val="00E22876"/>
    <w:rsid w:val="00E228A7"/>
    <w:rsid w:val="00E228DE"/>
    <w:rsid w:val="00E22A71"/>
    <w:rsid w:val="00E22AEF"/>
    <w:rsid w:val="00E22D1E"/>
    <w:rsid w:val="00E22D51"/>
    <w:rsid w:val="00E22FAB"/>
    <w:rsid w:val="00E23324"/>
    <w:rsid w:val="00E2360B"/>
    <w:rsid w:val="00E2373D"/>
    <w:rsid w:val="00E23811"/>
    <w:rsid w:val="00E23962"/>
    <w:rsid w:val="00E23A27"/>
    <w:rsid w:val="00E23B9C"/>
    <w:rsid w:val="00E23BB8"/>
    <w:rsid w:val="00E23BC5"/>
    <w:rsid w:val="00E23CC5"/>
    <w:rsid w:val="00E2410E"/>
    <w:rsid w:val="00E2426E"/>
    <w:rsid w:val="00E242AD"/>
    <w:rsid w:val="00E2439D"/>
    <w:rsid w:val="00E244A5"/>
    <w:rsid w:val="00E2473A"/>
    <w:rsid w:val="00E248F9"/>
    <w:rsid w:val="00E249EE"/>
    <w:rsid w:val="00E24A03"/>
    <w:rsid w:val="00E24DC3"/>
    <w:rsid w:val="00E2511A"/>
    <w:rsid w:val="00E251A8"/>
    <w:rsid w:val="00E25376"/>
    <w:rsid w:val="00E25624"/>
    <w:rsid w:val="00E25666"/>
    <w:rsid w:val="00E256B1"/>
    <w:rsid w:val="00E257C1"/>
    <w:rsid w:val="00E2592E"/>
    <w:rsid w:val="00E25B69"/>
    <w:rsid w:val="00E25B93"/>
    <w:rsid w:val="00E25D11"/>
    <w:rsid w:val="00E25EB0"/>
    <w:rsid w:val="00E25F63"/>
    <w:rsid w:val="00E26100"/>
    <w:rsid w:val="00E261F8"/>
    <w:rsid w:val="00E26221"/>
    <w:rsid w:val="00E263FA"/>
    <w:rsid w:val="00E26426"/>
    <w:rsid w:val="00E2649B"/>
    <w:rsid w:val="00E26A70"/>
    <w:rsid w:val="00E26B78"/>
    <w:rsid w:val="00E26CEE"/>
    <w:rsid w:val="00E26FA7"/>
    <w:rsid w:val="00E27131"/>
    <w:rsid w:val="00E2730C"/>
    <w:rsid w:val="00E27841"/>
    <w:rsid w:val="00E27987"/>
    <w:rsid w:val="00E27A63"/>
    <w:rsid w:val="00E27E5D"/>
    <w:rsid w:val="00E30080"/>
    <w:rsid w:val="00E302A6"/>
    <w:rsid w:val="00E302BD"/>
    <w:rsid w:val="00E3093B"/>
    <w:rsid w:val="00E309BA"/>
    <w:rsid w:val="00E30E94"/>
    <w:rsid w:val="00E3148D"/>
    <w:rsid w:val="00E314C0"/>
    <w:rsid w:val="00E31797"/>
    <w:rsid w:val="00E31AF6"/>
    <w:rsid w:val="00E31F5A"/>
    <w:rsid w:val="00E32132"/>
    <w:rsid w:val="00E321C7"/>
    <w:rsid w:val="00E321F4"/>
    <w:rsid w:val="00E323E7"/>
    <w:rsid w:val="00E32590"/>
    <w:rsid w:val="00E325E0"/>
    <w:rsid w:val="00E325FB"/>
    <w:rsid w:val="00E328BC"/>
    <w:rsid w:val="00E32B98"/>
    <w:rsid w:val="00E32DDC"/>
    <w:rsid w:val="00E32E0F"/>
    <w:rsid w:val="00E32E3F"/>
    <w:rsid w:val="00E32E46"/>
    <w:rsid w:val="00E33067"/>
    <w:rsid w:val="00E33366"/>
    <w:rsid w:val="00E33473"/>
    <w:rsid w:val="00E33BF0"/>
    <w:rsid w:val="00E33E90"/>
    <w:rsid w:val="00E33FB4"/>
    <w:rsid w:val="00E3418C"/>
    <w:rsid w:val="00E34341"/>
    <w:rsid w:val="00E34455"/>
    <w:rsid w:val="00E34750"/>
    <w:rsid w:val="00E3486A"/>
    <w:rsid w:val="00E34F56"/>
    <w:rsid w:val="00E35105"/>
    <w:rsid w:val="00E35242"/>
    <w:rsid w:val="00E353EF"/>
    <w:rsid w:val="00E3540C"/>
    <w:rsid w:val="00E3547E"/>
    <w:rsid w:val="00E354F9"/>
    <w:rsid w:val="00E358C4"/>
    <w:rsid w:val="00E35A8E"/>
    <w:rsid w:val="00E35C7D"/>
    <w:rsid w:val="00E35E32"/>
    <w:rsid w:val="00E35F3D"/>
    <w:rsid w:val="00E35FD6"/>
    <w:rsid w:val="00E36007"/>
    <w:rsid w:val="00E364CA"/>
    <w:rsid w:val="00E366C0"/>
    <w:rsid w:val="00E36732"/>
    <w:rsid w:val="00E368EA"/>
    <w:rsid w:val="00E368F0"/>
    <w:rsid w:val="00E36BF5"/>
    <w:rsid w:val="00E36C0B"/>
    <w:rsid w:val="00E36C29"/>
    <w:rsid w:val="00E36D8C"/>
    <w:rsid w:val="00E371C8"/>
    <w:rsid w:val="00E37260"/>
    <w:rsid w:val="00E372EE"/>
    <w:rsid w:val="00E3738C"/>
    <w:rsid w:val="00E3749B"/>
    <w:rsid w:val="00E37736"/>
    <w:rsid w:val="00E377F6"/>
    <w:rsid w:val="00E37B45"/>
    <w:rsid w:val="00E37C25"/>
    <w:rsid w:val="00E37EE9"/>
    <w:rsid w:val="00E37F2C"/>
    <w:rsid w:val="00E37F3E"/>
    <w:rsid w:val="00E402EF"/>
    <w:rsid w:val="00E403E5"/>
    <w:rsid w:val="00E40448"/>
    <w:rsid w:val="00E405CA"/>
    <w:rsid w:val="00E40754"/>
    <w:rsid w:val="00E40774"/>
    <w:rsid w:val="00E407CA"/>
    <w:rsid w:val="00E408AA"/>
    <w:rsid w:val="00E40AD0"/>
    <w:rsid w:val="00E40F1F"/>
    <w:rsid w:val="00E41042"/>
    <w:rsid w:val="00E4110A"/>
    <w:rsid w:val="00E41370"/>
    <w:rsid w:val="00E41619"/>
    <w:rsid w:val="00E41693"/>
    <w:rsid w:val="00E41A65"/>
    <w:rsid w:val="00E41AD7"/>
    <w:rsid w:val="00E41AEF"/>
    <w:rsid w:val="00E41C9D"/>
    <w:rsid w:val="00E41EE5"/>
    <w:rsid w:val="00E4209B"/>
    <w:rsid w:val="00E420A8"/>
    <w:rsid w:val="00E420C5"/>
    <w:rsid w:val="00E42213"/>
    <w:rsid w:val="00E42280"/>
    <w:rsid w:val="00E424F4"/>
    <w:rsid w:val="00E426E3"/>
    <w:rsid w:val="00E42756"/>
    <w:rsid w:val="00E4298E"/>
    <w:rsid w:val="00E429A0"/>
    <w:rsid w:val="00E42BB9"/>
    <w:rsid w:val="00E43472"/>
    <w:rsid w:val="00E43526"/>
    <w:rsid w:val="00E4359F"/>
    <w:rsid w:val="00E436CC"/>
    <w:rsid w:val="00E43850"/>
    <w:rsid w:val="00E43861"/>
    <w:rsid w:val="00E43874"/>
    <w:rsid w:val="00E43AAC"/>
    <w:rsid w:val="00E43ABE"/>
    <w:rsid w:val="00E43D1E"/>
    <w:rsid w:val="00E43E98"/>
    <w:rsid w:val="00E43F01"/>
    <w:rsid w:val="00E441B4"/>
    <w:rsid w:val="00E443F2"/>
    <w:rsid w:val="00E44571"/>
    <w:rsid w:val="00E445AD"/>
    <w:rsid w:val="00E445BE"/>
    <w:rsid w:val="00E44864"/>
    <w:rsid w:val="00E44941"/>
    <w:rsid w:val="00E44B34"/>
    <w:rsid w:val="00E44F57"/>
    <w:rsid w:val="00E4529E"/>
    <w:rsid w:val="00E45301"/>
    <w:rsid w:val="00E45443"/>
    <w:rsid w:val="00E45B9B"/>
    <w:rsid w:val="00E45CFF"/>
    <w:rsid w:val="00E45F57"/>
    <w:rsid w:val="00E4616D"/>
    <w:rsid w:val="00E46232"/>
    <w:rsid w:val="00E4634C"/>
    <w:rsid w:val="00E46386"/>
    <w:rsid w:val="00E465B8"/>
    <w:rsid w:val="00E4662D"/>
    <w:rsid w:val="00E4684B"/>
    <w:rsid w:val="00E4685F"/>
    <w:rsid w:val="00E468A4"/>
    <w:rsid w:val="00E46ADB"/>
    <w:rsid w:val="00E46AEA"/>
    <w:rsid w:val="00E46EEE"/>
    <w:rsid w:val="00E46F98"/>
    <w:rsid w:val="00E4702A"/>
    <w:rsid w:val="00E47064"/>
    <w:rsid w:val="00E470A4"/>
    <w:rsid w:val="00E4713C"/>
    <w:rsid w:val="00E4715A"/>
    <w:rsid w:val="00E471B0"/>
    <w:rsid w:val="00E47355"/>
    <w:rsid w:val="00E473BD"/>
    <w:rsid w:val="00E47528"/>
    <w:rsid w:val="00E4758B"/>
    <w:rsid w:val="00E476D0"/>
    <w:rsid w:val="00E4778C"/>
    <w:rsid w:val="00E4792F"/>
    <w:rsid w:val="00E47953"/>
    <w:rsid w:val="00E479D1"/>
    <w:rsid w:val="00E47BC1"/>
    <w:rsid w:val="00E47D33"/>
    <w:rsid w:val="00E47E4C"/>
    <w:rsid w:val="00E47EB5"/>
    <w:rsid w:val="00E47F75"/>
    <w:rsid w:val="00E47F8F"/>
    <w:rsid w:val="00E47F99"/>
    <w:rsid w:val="00E5014F"/>
    <w:rsid w:val="00E5040A"/>
    <w:rsid w:val="00E504BC"/>
    <w:rsid w:val="00E504D0"/>
    <w:rsid w:val="00E504DA"/>
    <w:rsid w:val="00E507C2"/>
    <w:rsid w:val="00E50890"/>
    <w:rsid w:val="00E50985"/>
    <w:rsid w:val="00E50A63"/>
    <w:rsid w:val="00E50D98"/>
    <w:rsid w:val="00E50DF4"/>
    <w:rsid w:val="00E50EBB"/>
    <w:rsid w:val="00E50FD2"/>
    <w:rsid w:val="00E51168"/>
    <w:rsid w:val="00E51346"/>
    <w:rsid w:val="00E513FB"/>
    <w:rsid w:val="00E5174C"/>
    <w:rsid w:val="00E517DB"/>
    <w:rsid w:val="00E518C8"/>
    <w:rsid w:val="00E519B1"/>
    <w:rsid w:val="00E51B34"/>
    <w:rsid w:val="00E51FEE"/>
    <w:rsid w:val="00E5217F"/>
    <w:rsid w:val="00E52215"/>
    <w:rsid w:val="00E52377"/>
    <w:rsid w:val="00E52387"/>
    <w:rsid w:val="00E5245A"/>
    <w:rsid w:val="00E525A9"/>
    <w:rsid w:val="00E526AA"/>
    <w:rsid w:val="00E529E0"/>
    <w:rsid w:val="00E52B12"/>
    <w:rsid w:val="00E52C47"/>
    <w:rsid w:val="00E52D0F"/>
    <w:rsid w:val="00E535AF"/>
    <w:rsid w:val="00E53663"/>
    <w:rsid w:val="00E5370D"/>
    <w:rsid w:val="00E537CD"/>
    <w:rsid w:val="00E539D1"/>
    <w:rsid w:val="00E53B65"/>
    <w:rsid w:val="00E53C3F"/>
    <w:rsid w:val="00E53C42"/>
    <w:rsid w:val="00E53EBF"/>
    <w:rsid w:val="00E54178"/>
    <w:rsid w:val="00E5419D"/>
    <w:rsid w:val="00E541B5"/>
    <w:rsid w:val="00E54248"/>
    <w:rsid w:val="00E54253"/>
    <w:rsid w:val="00E542ED"/>
    <w:rsid w:val="00E5436A"/>
    <w:rsid w:val="00E5440F"/>
    <w:rsid w:val="00E544BD"/>
    <w:rsid w:val="00E54570"/>
    <w:rsid w:val="00E545AE"/>
    <w:rsid w:val="00E54615"/>
    <w:rsid w:val="00E54642"/>
    <w:rsid w:val="00E54683"/>
    <w:rsid w:val="00E54927"/>
    <w:rsid w:val="00E549B8"/>
    <w:rsid w:val="00E54B8D"/>
    <w:rsid w:val="00E54BD1"/>
    <w:rsid w:val="00E54C24"/>
    <w:rsid w:val="00E54CDD"/>
    <w:rsid w:val="00E54DB1"/>
    <w:rsid w:val="00E54DEB"/>
    <w:rsid w:val="00E54EE2"/>
    <w:rsid w:val="00E54EE6"/>
    <w:rsid w:val="00E55128"/>
    <w:rsid w:val="00E553BC"/>
    <w:rsid w:val="00E5551E"/>
    <w:rsid w:val="00E555F5"/>
    <w:rsid w:val="00E55A55"/>
    <w:rsid w:val="00E55B79"/>
    <w:rsid w:val="00E55D2A"/>
    <w:rsid w:val="00E55EB4"/>
    <w:rsid w:val="00E55EDD"/>
    <w:rsid w:val="00E562C9"/>
    <w:rsid w:val="00E5655B"/>
    <w:rsid w:val="00E56974"/>
    <w:rsid w:val="00E56D8F"/>
    <w:rsid w:val="00E56F55"/>
    <w:rsid w:val="00E5704A"/>
    <w:rsid w:val="00E570BF"/>
    <w:rsid w:val="00E57261"/>
    <w:rsid w:val="00E572B9"/>
    <w:rsid w:val="00E573E2"/>
    <w:rsid w:val="00E57551"/>
    <w:rsid w:val="00E578E9"/>
    <w:rsid w:val="00E57FF3"/>
    <w:rsid w:val="00E6020B"/>
    <w:rsid w:val="00E602E8"/>
    <w:rsid w:val="00E6037B"/>
    <w:rsid w:val="00E605E9"/>
    <w:rsid w:val="00E60D17"/>
    <w:rsid w:val="00E60FC1"/>
    <w:rsid w:val="00E614A9"/>
    <w:rsid w:val="00E617FB"/>
    <w:rsid w:val="00E6180E"/>
    <w:rsid w:val="00E61821"/>
    <w:rsid w:val="00E61830"/>
    <w:rsid w:val="00E61A81"/>
    <w:rsid w:val="00E61AC8"/>
    <w:rsid w:val="00E61CE5"/>
    <w:rsid w:val="00E61E47"/>
    <w:rsid w:val="00E61EB1"/>
    <w:rsid w:val="00E61F45"/>
    <w:rsid w:val="00E62207"/>
    <w:rsid w:val="00E62297"/>
    <w:rsid w:val="00E62670"/>
    <w:rsid w:val="00E626CF"/>
    <w:rsid w:val="00E62833"/>
    <w:rsid w:val="00E62A3D"/>
    <w:rsid w:val="00E62B05"/>
    <w:rsid w:val="00E62C15"/>
    <w:rsid w:val="00E62D00"/>
    <w:rsid w:val="00E62F35"/>
    <w:rsid w:val="00E62FCD"/>
    <w:rsid w:val="00E6309D"/>
    <w:rsid w:val="00E630B3"/>
    <w:rsid w:val="00E6349B"/>
    <w:rsid w:val="00E63716"/>
    <w:rsid w:val="00E637A4"/>
    <w:rsid w:val="00E638F9"/>
    <w:rsid w:val="00E63A78"/>
    <w:rsid w:val="00E63AB1"/>
    <w:rsid w:val="00E63ABD"/>
    <w:rsid w:val="00E63B63"/>
    <w:rsid w:val="00E6403A"/>
    <w:rsid w:val="00E64059"/>
    <w:rsid w:val="00E6427A"/>
    <w:rsid w:val="00E64415"/>
    <w:rsid w:val="00E646B8"/>
    <w:rsid w:val="00E64A30"/>
    <w:rsid w:val="00E64A6D"/>
    <w:rsid w:val="00E650A5"/>
    <w:rsid w:val="00E65113"/>
    <w:rsid w:val="00E65114"/>
    <w:rsid w:val="00E65187"/>
    <w:rsid w:val="00E65262"/>
    <w:rsid w:val="00E65273"/>
    <w:rsid w:val="00E652BD"/>
    <w:rsid w:val="00E652D0"/>
    <w:rsid w:val="00E65332"/>
    <w:rsid w:val="00E65447"/>
    <w:rsid w:val="00E65607"/>
    <w:rsid w:val="00E6575F"/>
    <w:rsid w:val="00E657A4"/>
    <w:rsid w:val="00E65801"/>
    <w:rsid w:val="00E65908"/>
    <w:rsid w:val="00E659A5"/>
    <w:rsid w:val="00E65BB1"/>
    <w:rsid w:val="00E65EF6"/>
    <w:rsid w:val="00E65F7E"/>
    <w:rsid w:val="00E661AB"/>
    <w:rsid w:val="00E66365"/>
    <w:rsid w:val="00E6649F"/>
    <w:rsid w:val="00E66715"/>
    <w:rsid w:val="00E669E7"/>
    <w:rsid w:val="00E669FC"/>
    <w:rsid w:val="00E67199"/>
    <w:rsid w:val="00E67310"/>
    <w:rsid w:val="00E6756A"/>
    <w:rsid w:val="00E67594"/>
    <w:rsid w:val="00E677D4"/>
    <w:rsid w:val="00E67966"/>
    <w:rsid w:val="00E6796A"/>
    <w:rsid w:val="00E67B4F"/>
    <w:rsid w:val="00E67DD9"/>
    <w:rsid w:val="00E67ECD"/>
    <w:rsid w:val="00E67F7C"/>
    <w:rsid w:val="00E700A2"/>
    <w:rsid w:val="00E700E5"/>
    <w:rsid w:val="00E70283"/>
    <w:rsid w:val="00E702FD"/>
    <w:rsid w:val="00E70533"/>
    <w:rsid w:val="00E7070A"/>
    <w:rsid w:val="00E70773"/>
    <w:rsid w:val="00E70D43"/>
    <w:rsid w:val="00E70DAB"/>
    <w:rsid w:val="00E70F37"/>
    <w:rsid w:val="00E71042"/>
    <w:rsid w:val="00E710AC"/>
    <w:rsid w:val="00E7121C"/>
    <w:rsid w:val="00E71283"/>
    <w:rsid w:val="00E71626"/>
    <w:rsid w:val="00E71692"/>
    <w:rsid w:val="00E7176B"/>
    <w:rsid w:val="00E71A5C"/>
    <w:rsid w:val="00E71C68"/>
    <w:rsid w:val="00E71E13"/>
    <w:rsid w:val="00E71E80"/>
    <w:rsid w:val="00E720DD"/>
    <w:rsid w:val="00E722ED"/>
    <w:rsid w:val="00E72324"/>
    <w:rsid w:val="00E7248F"/>
    <w:rsid w:val="00E726ED"/>
    <w:rsid w:val="00E72A75"/>
    <w:rsid w:val="00E72AD2"/>
    <w:rsid w:val="00E72B51"/>
    <w:rsid w:val="00E72C7F"/>
    <w:rsid w:val="00E72E9E"/>
    <w:rsid w:val="00E72F6B"/>
    <w:rsid w:val="00E7305B"/>
    <w:rsid w:val="00E73272"/>
    <w:rsid w:val="00E732BB"/>
    <w:rsid w:val="00E73370"/>
    <w:rsid w:val="00E7339A"/>
    <w:rsid w:val="00E737A2"/>
    <w:rsid w:val="00E73E05"/>
    <w:rsid w:val="00E73EEA"/>
    <w:rsid w:val="00E742F6"/>
    <w:rsid w:val="00E7464F"/>
    <w:rsid w:val="00E747B2"/>
    <w:rsid w:val="00E74A1D"/>
    <w:rsid w:val="00E74C3D"/>
    <w:rsid w:val="00E75117"/>
    <w:rsid w:val="00E7526B"/>
    <w:rsid w:val="00E754F9"/>
    <w:rsid w:val="00E75721"/>
    <w:rsid w:val="00E75A73"/>
    <w:rsid w:val="00E75AF4"/>
    <w:rsid w:val="00E75D2F"/>
    <w:rsid w:val="00E75D3A"/>
    <w:rsid w:val="00E76082"/>
    <w:rsid w:val="00E7609A"/>
    <w:rsid w:val="00E76193"/>
    <w:rsid w:val="00E762C7"/>
    <w:rsid w:val="00E763AC"/>
    <w:rsid w:val="00E765EF"/>
    <w:rsid w:val="00E769FE"/>
    <w:rsid w:val="00E76E1D"/>
    <w:rsid w:val="00E76FDC"/>
    <w:rsid w:val="00E7703D"/>
    <w:rsid w:val="00E773D9"/>
    <w:rsid w:val="00E775A7"/>
    <w:rsid w:val="00E7788D"/>
    <w:rsid w:val="00E778D1"/>
    <w:rsid w:val="00E7794A"/>
    <w:rsid w:val="00E77BB1"/>
    <w:rsid w:val="00E77DBC"/>
    <w:rsid w:val="00E77ED9"/>
    <w:rsid w:val="00E77FFB"/>
    <w:rsid w:val="00E800C5"/>
    <w:rsid w:val="00E801F7"/>
    <w:rsid w:val="00E8063B"/>
    <w:rsid w:val="00E80898"/>
    <w:rsid w:val="00E808FE"/>
    <w:rsid w:val="00E80A34"/>
    <w:rsid w:val="00E80AB8"/>
    <w:rsid w:val="00E80AE1"/>
    <w:rsid w:val="00E80BA5"/>
    <w:rsid w:val="00E80BC3"/>
    <w:rsid w:val="00E80C4D"/>
    <w:rsid w:val="00E80D42"/>
    <w:rsid w:val="00E80EC0"/>
    <w:rsid w:val="00E8136A"/>
    <w:rsid w:val="00E81554"/>
    <w:rsid w:val="00E8177B"/>
    <w:rsid w:val="00E817C1"/>
    <w:rsid w:val="00E81A84"/>
    <w:rsid w:val="00E81B11"/>
    <w:rsid w:val="00E81B98"/>
    <w:rsid w:val="00E81BBF"/>
    <w:rsid w:val="00E81C38"/>
    <w:rsid w:val="00E81D5C"/>
    <w:rsid w:val="00E81FB9"/>
    <w:rsid w:val="00E8214C"/>
    <w:rsid w:val="00E8262E"/>
    <w:rsid w:val="00E828D9"/>
    <w:rsid w:val="00E829AE"/>
    <w:rsid w:val="00E82B68"/>
    <w:rsid w:val="00E82E6E"/>
    <w:rsid w:val="00E8327B"/>
    <w:rsid w:val="00E833BA"/>
    <w:rsid w:val="00E83790"/>
    <w:rsid w:val="00E837DF"/>
    <w:rsid w:val="00E83AD6"/>
    <w:rsid w:val="00E83AE1"/>
    <w:rsid w:val="00E83BF1"/>
    <w:rsid w:val="00E83D1F"/>
    <w:rsid w:val="00E83DBF"/>
    <w:rsid w:val="00E83EBD"/>
    <w:rsid w:val="00E8416E"/>
    <w:rsid w:val="00E841EA"/>
    <w:rsid w:val="00E84245"/>
    <w:rsid w:val="00E84546"/>
    <w:rsid w:val="00E846EE"/>
    <w:rsid w:val="00E84CA9"/>
    <w:rsid w:val="00E84EF0"/>
    <w:rsid w:val="00E85062"/>
    <w:rsid w:val="00E85110"/>
    <w:rsid w:val="00E85208"/>
    <w:rsid w:val="00E852C3"/>
    <w:rsid w:val="00E8541E"/>
    <w:rsid w:val="00E856C9"/>
    <w:rsid w:val="00E8584C"/>
    <w:rsid w:val="00E858DE"/>
    <w:rsid w:val="00E85C7A"/>
    <w:rsid w:val="00E85CA9"/>
    <w:rsid w:val="00E85CAA"/>
    <w:rsid w:val="00E85D40"/>
    <w:rsid w:val="00E85E9D"/>
    <w:rsid w:val="00E85F94"/>
    <w:rsid w:val="00E86031"/>
    <w:rsid w:val="00E86398"/>
    <w:rsid w:val="00E863CB"/>
    <w:rsid w:val="00E8648A"/>
    <w:rsid w:val="00E86911"/>
    <w:rsid w:val="00E86922"/>
    <w:rsid w:val="00E86993"/>
    <w:rsid w:val="00E86AC2"/>
    <w:rsid w:val="00E86B5D"/>
    <w:rsid w:val="00E86BC2"/>
    <w:rsid w:val="00E86C8B"/>
    <w:rsid w:val="00E86CE4"/>
    <w:rsid w:val="00E86DDC"/>
    <w:rsid w:val="00E86E4B"/>
    <w:rsid w:val="00E86FFE"/>
    <w:rsid w:val="00E870CF"/>
    <w:rsid w:val="00E873B9"/>
    <w:rsid w:val="00E874B0"/>
    <w:rsid w:val="00E879A5"/>
    <w:rsid w:val="00E879F2"/>
    <w:rsid w:val="00E87F4A"/>
    <w:rsid w:val="00E87FDD"/>
    <w:rsid w:val="00E90717"/>
    <w:rsid w:val="00E908A7"/>
    <w:rsid w:val="00E908A8"/>
    <w:rsid w:val="00E90AEF"/>
    <w:rsid w:val="00E90CB4"/>
    <w:rsid w:val="00E90CF2"/>
    <w:rsid w:val="00E9107E"/>
    <w:rsid w:val="00E911FA"/>
    <w:rsid w:val="00E91535"/>
    <w:rsid w:val="00E917C2"/>
    <w:rsid w:val="00E91862"/>
    <w:rsid w:val="00E918A0"/>
    <w:rsid w:val="00E918D3"/>
    <w:rsid w:val="00E91961"/>
    <w:rsid w:val="00E919C2"/>
    <w:rsid w:val="00E91C74"/>
    <w:rsid w:val="00E91E2D"/>
    <w:rsid w:val="00E91E3A"/>
    <w:rsid w:val="00E91E47"/>
    <w:rsid w:val="00E9216F"/>
    <w:rsid w:val="00E92359"/>
    <w:rsid w:val="00E923C6"/>
    <w:rsid w:val="00E92600"/>
    <w:rsid w:val="00E9277F"/>
    <w:rsid w:val="00E929B0"/>
    <w:rsid w:val="00E92A82"/>
    <w:rsid w:val="00E92B2B"/>
    <w:rsid w:val="00E92BB9"/>
    <w:rsid w:val="00E92E62"/>
    <w:rsid w:val="00E92E7F"/>
    <w:rsid w:val="00E93014"/>
    <w:rsid w:val="00E93037"/>
    <w:rsid w:val="00E9331C"/>
    <w:rsid w:val="00E9341F"/>
    <w:rsid w:val="00E934E6"/>
    <w:rsid w:val="00E93511"/>
    <w:rsid w:val="00E935B9"/>
    <w:rsid w:val="00E9360F"/>
    <w:rsid w:val="00E93753"/>
    <w:rsid w:val="00E93763"/>
    <w:rsid w:val="00E93963"/>
    <w:rsid w:val="00E93BA8"/>
    <w:rsid w:val="00E93C67"/>
    <w:rsid w:val="00E93F78"/>
    <w:rsid w:val="00E94317"/>
    <w:rsid w:val="00E9432D"/>
    <w:rsid w:val="00E9455C"/>
    <w:rsid w:val="00E94681"/>
    <w:rsid w:val="00E94D83"/>
    <w:rsid w:val="00E94DB7"/>
    <w:rsid w:val="00E94E5F"/>
    <w:rsid w:val="00E94F6C"/>
    <w:rsid w:val="00E9506A"/>
    <w:rsid w:val="00E95591"/>
    <w:rsid w:val="00E957CC"/>
    <w:rsid w:val="00E958DE"/>
    <w:rsid w:val="00E95916"/>
    <w:rsid w:val="00E95CF1"/>
    <w:rsid w:val="00E95D0B"/>
    <w:rsid w:val="00E9603E"/>
    <w:rsid w:val="00E9605F"/>
    <w:rsid w:val="00E964A7"/>
    <w:rsid w:val="00E964C3"/>
    <w:rsid w:val="00E9655E"/>
    <w:rsid w:val="00E9669F"/>
    <w:rsid w:val="00E9674C"/>
    <w:rsid w:val="00E967B9"/>
    <w:rsid w:val="00E9688F"/>
    <w:rsid w:val="00E968D0"/>
    <w:rsid w:val="00E96946"/>
    <w:rsid w:val="00E96C53"/>
    <w:rsid w:val="00E96D85"/>
    <w:rsid w:val="00E96F22"/>
    <w:rsid w:val="00E97371"/>
    <w:rsid w:val="00E97578"/>
    <w:rsid w:val="00E9761E"/>
    <w:rsid w:val="00E97770"/>
    <w:rsid w:val="00E977FC"/>
    <w:rsid w:val="00E97821"/>
    <w:rsid w:val="00E978BE"/>
    <w:rsid w:val="00E978D4"/>
    <w:rsid w:val="00E97DB3"/>
    <w:rsid w:val="00EA022C"/>
    <w:rsid w:val="00EA02D2"/>
    <w:rsid w:val="00EA048C"/>
    <w:rsid w:val="00EA04BC"/>
    <w:rsid w:val="00EA091F"/>
    <w:rsid w:val="00EA0C40"/>
    <w:rsid w:val="00EA0D0C"/>
    <w:rsid w:val="00EA0E5F"/>
    <w:rsid w:val="00EA0EBB"/>
    <w:rsid w:val="00EA0EBF"/>
    <w:rsid w:val="00EA0ECB"/>
    <w:rsid w:val="00EA129C"/>
    <w:rsid w:val="00EA14C5"/>
    <w:rsid w:val="00EA16A9"/>
    <w:rsid w:val="00EA16AE"/>
    <w:rsid w:val="00EA1840"/>
    <w:rsid w:val="00EA188B"/>
    <w:rsid w:val="00EA1967"/>
    <w:rsid w:val="00EA19C7"/>
    <w:rsid w:val="00EA1A1E"/>
    <w:rsid w:val="00EA1D85"/>
    <w:rsid w:val="00EA1F27"/>
    <w:rsid w:val="00EA1F95"/>
    <w:rsid w:val="00EA208A"/>
    <w:rsid w:val="00EA24B2"/>
    <w:rsid w:val="00EA26DA"/>
    <w:rsid w:val="00EA2905"/>
    <w:rsid w:val="00EA296B"/>
    <w:rsid w:val="00EA29C1"/>
    <w:rsid w:val="00EA2B8D"/>
    <w:rsid w:val="00EA2C91"/>
    <w:rsid w:val="00EA2CDD"/>
    <w:rsid w:val="00EA2F50"/>
    <w:rsid w:val="00EA3044"/>
    <w:rsid w:val="00EA3103"/>
    <w:rsid w:val="00EA3147"/>
    <w:rsid w:val="00EA319D"/>
    <w:rsid w:val="00EA3585"/>
    <w:rsid w:val="00EA366C"/>
    <w:rsid w:val="00EA3E9B"/>
    <w:rsid w:val="00EA4558"/>
    <w:rsid w:val="00EA4B1C"/>
    <w:rsid w:val="00EA4C8B"/>
    <w:rsid w:val="00EA508F"/>
    <w:rsid w:val="00EA50C6"/>
    <w:rsid w:val="00EA50C8"/>
    <w:rsid w:val="00EA526C"/>
    <w:rsid w:val="00EA52A0"/>
    <w:rsid w:val="00EA5332"/>
    <w:rsid w:val="00EA5400"/>
    <w:rsid w:val="00EA5686"/>
    <w:rsid w:val="00EA56D7"/>
    <w:rsid w:val="00EA56FA"/>
    <w:rsid w:val="00EA5730"/>
    <w:rsid w:val="00EA5886"/>
    <w:rsid w:val="00EA5A40"/>
    <w:rsid w:val="00EA5CAE"/>
    <w:rsid w:val="00EA5EFA"/>
    <w:rsid w:val="00EA5FD9"/>
    <w:rsid w:val="00EA60E7"/>
    <w:rsid w:val="00EA610D"/>
    <w:rsid w:val="00EA612E"/>
    <w:rsid w:val="00EA6222"/>
    <w:rsid w:val="00EA62B6"/>
    <w:rsid w:val="00EA6349"/>
    <w:rsid w:val="00EA6516"/>
    <w:rsid w:val="00EA6596"/>
    <w:rsid w:val="00EA65A8"/>
    <w:rsid w:val="00EA668C"/>
    <w:rsid w:val="00EA6B90"/>
    <w:rsid w:val="00EA6C1E"/>
    <w:rsid w:val="00EA6C9D"/>
    <w:rsid w:val="00EA7001"/>
    <w:rsid w:val="00EA75FD"/>
    <w:rsid w:val="00EA765C"/>
    <w:rsid w:val="00EA76B8"/>
    <w:rsid w:val="00EA773E"/>
    <w:rsid w:val="00EA7789"/>
    <w:rsid w:val="00EA78CC"/>
    <w:rsid w:val="00EA7A09"/>
    <w:rsid w:val="00EA7A9A"/>
    <w:rsid w:val="00EA7AB4"/>
    <w:rsid w:val="00EA7AF5"/>
    <w:rsid w:val="00EA7C16"/>
    <w:rsid w:val="00EA7C8E"/>
    <w:rsid w:val="00EA7CD9"/>
    <w:rsid w:val="00EA7D1C"/>
    <w:rsid w:val="00EA7E35"/>
    <w:rsid w:val="00EB0112"/>
    <w:rsid w:val="00EB01DC"/>
    <w:rsid w:val="00EB0202"/>
    <w:rsid w:val="00EB033B"/>
    <w:rsid w:val="00EB04BD"/>
    <w:rsid w:val="00EB06C9"/>
    <w:rsid w:val="00EB06E3"/>
    <w:rsid w:val="00EB07CA"/>
    <w:rsid w:val="00EB0B4A"/>
    <w:rsid w:val="00EB0D1D"/>
    <w:rsid w:val="00EB0DA4"/>
    <w:rsid w:val="00EB0F32"/>
    <w:rsid w:val="00EB1177"/>
    <w:rsid w:val="00EB1296"/>
    <w:rsid w:val="00EB13DB"/>
    <w:rsid w:val="00EB1450"/>
    <w:rsid w:val="00EB1588"/>
    <w:rsid w:val="00EB168A"/>
    <w:rsid w:val="00EB1C48"/>
    <w:rsid w:val="00EB1DC6"/>
    <w:rsid w:val="00EB1E5E"/>
    <w:rsid w:val="00EB1F86"/>
    <w:rsid w:val="00EB20BA"/>
    <w:rsid w:val="00EB21A1"/>
    <w:rsid w:val="00EB223C"/>
    <w:rsid w:val="00EB22CA"/>
    <w:rsid w:val="00EB233B"/>
    <w:rsid w:val="00EB2379"/>
    <w:rsid w:val="00EB24AF"/>
    <w:rsid w:val="00EB24B6"/>
    <w:rsid w:val="00EB257F"/>
    <w:rsid w:val="00EB2739"/>
    <w:rsid w:val="00EB27A5"/>
    <w:rsid w:val="00EB2E72"/>
    <w:rsid w:val="00EB3120"/>
    <w:rsid w:val="00EB3195"/>
    <w:rsid w:val="00EB33F0"/>
    <w:rsid w:val="00EB352C"/>
    <w:rsid w:val="00EB37EB"/>
    <w:rsid w:val="00EB3925"/>
    <w:rsid w:val="00EB3B2F"/>
    <w:rsid w:val="00EB3C0E"/>
    <w:rsid w:val="00EB413C"/>
    <w:rsid w:val="00EB4356"/>
    <w:rsid w:val="00EB43E9"/>
    <w:rsid w:val="00EB441F"/>
    <w:rsid w:val="00EB46B8"/>
    <w:rsid w:val="00EB4864"/>
    <w:rsid w:val="00EB4B65"/>
    <w:rsid w:val="00EB4EDB"/>
    <w:rsid w:val="00EB4F39"/>
    <w:rsid w:val="00EB4FF1"/>
    <w:rsid w:val="00EB5014"/>
    <w:rsid w:val="00EB5021"/>
    <w:rsid w:val="00EB5057"/>
    <w:rsid w:val="00EB51E3"/>
    <w:rsid w:val="00EB53DB"/>
    <w:rsid w:val="00EB54E5"/>
    <w:rsid w:val="00EB54F9"/>
    <w:rsid w:val="00EB5520"/>
    <w:rsid w:val="00EB5AFC"/>
    <w:rsid w:val="00EB5B07"/>
    <w:rsid w:val="00EB5B1B"/>
    <w:rsid w:val="00EB5B1E"/>
    <w:rsid w:val="00EB5C1A"/>
    <w:rsid w:val="00EB5E4F"/>
    <w:rsid w:val="00EB6094"/>
    <w:rsid w:val="00EB60C0"/>
    <w:rsid w:val="00EB60C5"/>
    <w:rsid w:val="00EB612F"/>
    <w:rsid w:val="00EB6216"/>
    <w:rsid w:val="00EB6243"/>
    <w:rsid w:val="00EB6301"/>
    <w:rsid w:val="00EB63F3"/>
    <w:rsid w:val="00EB6494"/>
    <w:rsid w:val="00EB64C0"/>
    <w:rsid w:val="00EB6951"/>
    <w:rsid w:val="00EB6BEA"/>
    <w:rsid w:val="00EB6DB1"/>
    <w:rsid w:val="00EB6FA2"/>
    <w:rsid w:val="00EB7390"/>
    <w:rsid w:val="00EB746F"/>
    <w:rsid w:val="00EB7476"/>
    <w:rsid w:val="00EB76D3"/>
    <w:rsid w:val="00EB7A6A"/>
    <w:rsid w:val="00EB7C96"/>
    <w:rsid w:val="00EB7D30"/>
    <w:rsid w:val="00EB7EC4"/>
    <w:rsid w:val="00EB7EF7"/>
    <w:rsid w:val="00EB7F50"/>
    <w:rsid w:val="00EC045A"/>
    <w:rsid w:val="00EC0498"/>
    <w:rsid w:val="00EC07E9"/>
    <w:rsid w:val="00EC084B"/>
    <w:rsid w:val="00EC0872"/>
    <w:rsid w:val="00EC0A1D"/>
    <w:rsid w:val="00EC1030"/>
    <w:rsid w:val="00EC113D"/>
    <w:rsid w:val="00EC127F"/>
    <w:rsid w:val="00EC13AF"/>
    <w:rsid w:val="00EC1611"/>
    <w:rsid w:val="00EC1BF1"/>
    <w:rsid w:val="00EC1C6F"/>
    <w:rsid w:val="00EC1DDD"/>
    <w:rsid w:val="00EC27DC"/>
    <w:rsid w:val="00EC2FD6"/>
    <w:rsid w:val="00EC32F0"/>
    <w:rsid w:val="00EC34F4"/>
    <w:rsid w:val="00EC3509"/>
    <w:rsid w:val="00EC3741"/>
    <w:rsid w:val="00EC3B8A"/>
    <w:rsid w:val="00EC3BFD"/>
    <w:rsid w:val="00EC3D82"/>
    <w:rsid w:val="00EC412E"/>
    <w:rsid w:val="00EC41C1"/>
    <w:rsid w:val="00EC4336"/>
    <w:rsid w:val="00EC4390"/>
    <w:rsid w:val="00EC43DF"/>
    <w:rsid w:val="00EC4498"/>
    <w:rsid w:val="00EC44F5"/>
    <w:rsid w:val="00EC4781"/>
    <w:rsid w:val="00EC4979"/>
    <w:rsid w:val="00EC4AB6"/>
    <w:rsid w:val="00EC4F24"/>
    <w:rsid w:val="00EC4F2A"/>
    <w:rsid w:val="00EC5638"/>
    <w:rsid w:val="00EC587C"/>
    <w:rsid w:val="00EC5A63"/>
    <w:rsid w:val="00EC5A9A"/>
    <w:rsid w:val="00EC5C13"/>
    <w:rsid w:val="00EC5D0D"/>
    <w:rsid w:val="00EC5EBC"/>
    <w:rsid w:val="00EC5F65"/>
    <w:rsid w:val="00EC604E"/>
    <w:rsid w:val="00EC6213"/>
    <w:rsid w:val="00EC643A"/>
    <w:rsid w:val="00EC64D4"/>
    <w:rsid w:val="00EC65CE"/>
    <w:rsid w:val="00EC65E3"/>
    <w:rsid w:val="00EC66E5"/>
    <w:rsid w:val="00EC674B"/>
    <w:rsid w:val="00EC69A4"/>
    <w:rsid w:val="00EC6C2F"/>
    <w:rsid w:val="00EC7046"/>
    <w:rsid w:val="00EC70CE"/>
    <w:rsid w:val="00EC773B"/>
    <w:rsid w:val="00EC7758"/>
    <w:rsid w:val="00EC77EE"/>
    <w:rsid w:val="00EC785E"/>
    <w:rsid w:val="00EC79C2"/>
    <w:rsid w:val="00EC79FF"/>
    <w:rsid w:val="00EC7B36"/>
    <w:rsid w:val="00EC7B6B"/>
    <w:rsid w:val="00EC7BA6"/>
    <w:rsid w:val="00EC7EE7"/>
    <w:rsid w:val="00EC7F69"/>
    <w:rsid w:val="00ED043D"/>
    <w:rsid w:val="00ED06D6"/>
    <w:rsid w:val="00ED089B"/>
    <w:rsid w:val="00ED09D4"/>
    <w:rsid w:val="00ED0B32"/>
    <w:rsid w:val="00ED0B9E"/>
    <w:rsid w:val="00ED0C8A"/>
    <w:rsid w:val="00ED0CC1"/>
    <w:rsid w:val="00ED0E23"/>
    <w:rsid w:val="00ED0E4C"/>
    <w:rsid w:val="00ED136B"/>
    <w:rsid w:val="00ED148B"/>
    <w:rsid w:val="00ED15FE"/>
    <w:rsid w:val="00ED1893"/>
    <w:rsid w:val="00ED18A1"/>
    <w:rsid w:val="00ED18B2"/>
    <w:rsid w:val="00ED18CB"/>
    <w:rsid w:val="00ED18D3"/>
    <w:rsid w:val="00ED1A02"/>
    <w:rsid w:val="00ED1C6A"/>
    <w:rsid w:val="00ED1EA9"/>
    <w:rsid w:val="00ED1F15"/>
    <w:rsid w:val="00ED207A"/>
    <w:rsid w:val="00ED2185"/>
    <w:rsid w:val="00ED2228"/>
    <w:rsid w:val="00ED227F"/>
    <w:rsid w:val="00ED2306"/>
    <w:rsid w:val="00ED23FE"/>
    <w:rsid w:val="00ED28E3"/>
    <w:rsid w:val="00ED2A1F"/>
    <w:rsid w:val="00ED2C9B"/>
    <w:rsid w:val="00ED2CF1"/>
    <w:rsid w:val="00ED2D2E"/>
    <w:rsid w:val="00ED2E80"/>
    <w:rsid w:val="00ED3315"/>
    <w:rsid w:val="00ED348D"/>
    <w:rsid w:val="00ED351E"/>
    <w:rsid w:val="00ED371B"/>
    <w:rsid w:val="00ED378B"/>
    <w:rsid w:val="00ED3BB6"/>
    <w:rsid w:val="00ED4043"/>
    <w:rsid w:val="00ED4054"/>
    <w:rsid w:val="00ED411A"/>
    <w:rsid w:val="00ED4651"/>
    <w:rsid w:val="00ED4680"/>
    <w:rsid w:val="00ED47BC"/>
    <w:rsid w:val="00ED4A54"/>
    <w:rsid w:val="00ED4DDD"/>
    <w:rsid w:val="00ED503A"/>
    <w:rsid w:val="00ED5151"/>
    <w:rsid w:val="00ED55A3"/>
    <w:rsid w:val="00ED56B1"/>
    <w:rsid w:val="00ED581B"/>
    <w:rsid w:val="00ED5DAF"/>
    <w:rsid w:val="00ED5E12"/>
    <w:rsid w:val="00ED5EC3"/>
    <w:rsid w:val="00ED5F90"/>
    <w:rsid w:val="00ED5FA0"/>
    <w:rsid w:val="00ED60A1"/>
    <w:rsid w:val="00ED624B"/>
    <w:rsid w:val="00ED6299"/>
    <w:rsid w:val="00ED645F"/>
    <w:rsid w:val="00ED658C"/>
    <w:rsid w:val="00ED6634"/>
    <w:rsid w:val="00ED6B06"/>
    <w:rsid w:val="00ED6BE1"/>
    <w:rsid w:val="00ED6CA0"/>
    <w:rsid w:val="00ED7274"/>
    <w:rsid w:val="00ED7433"/>
    <w:rsid w:val="00ED748F"/>
    <w:rsid w:val="00ED74D8"/>
    <w:rsid w:val="00ED76AA"/>
    <w:rsid w:val="00ED7801"/>
    <w:rsid w:val="00ED7AD1"/>
    <w:rsid w:val="00ED7BA4"/>
    <w:rsid w:val="00ED7BBA"/>
    <w:rsid w:val="00ED7D1F"/>
    <w:rsid w:val="00ED7F1E"/>
    <w:rsid w:val="00EE028F"/>
    <w:rsid w:val="00EE08B8"/>
    <w:rsid w:val="00EE0A57"/>
    <w:rsid w:val="00EE0AB1"/>
    <w:rsid w:val="00EE0CFE"/>
    <w:rsid w:val="00EE0DB9"/>
    <w:rsid w:val="00EE0E24"/>
    <w:rsid w:val="00EE0E9F"/>
    <w:rsid w:val="00EE1149"/>
    <w:rsid w:val="00EE11A1"/>
    <w:rsid w:val="00EE1310"/>
    <w:rsid w:val="00EE1312"/>
    <w:rsid w:val="00EE14F0"/>
    <w:rsid w:val="00EE1905"/>
    <w:rsid w:val="00EE1938"/>
    <w:rsid w:val="00EE1AE2"/>
    <w:rsid w:val="00EE1B99"/>
    <w:rsid w:val="00EE1CED"/>
    <w:rsid w:val="00EE2082"/>
    <w:rsid w:val="00EE210B"/>
    <w:rsid w:val="00EE2138"/>
    <w:rsid w:val="00EE2216"/>
    <w:rsid w:val="00EE2323"/>
    <w:rsid w:val="00EE23E7"/>
    <w:rsid w:val="00EE23F0"/>
    <w:rsid w:val="00EE28D0"/>
    <w:rsid w:val="00EE28EC"/>
    <w:rsid w:val="00EE2ACD"/>
    <w:rsid w:val="00EE2B83"/>
    <w:rsid w:val="00EE2CB3"/>
    <w:rsid w:val="00EE2D1C"/>
    <w:rsid w:val="00EE2D4E"/>
    <w:rsid w:val="00EE2EA5"/>
    <w:rsid w:val="00EE2EE8"/>
    <w:rsid w:val="00EE307A"/>
    <w:rsid w:val="00EE3147"/>
    <w:rsid w:val="00EE349B"/>
    <w:rsid w:val="00EE367F"/>
    <w:rsid w:val="00EE374D"/>
    <w:rsid w:val="00EE3779"/>
    <w:rsid w:val="00EE3790"/>
    <w:rsid w:val="00EE394E"/>
    <w:rsid w:val="00EE3B5F"/>
    <w:rsid w:val="00EE3CC6"/>
    <w:rsid w:val="00EE3E6E"/>
    <w:rsid w:val="00EE3F24"/>
    <w:rsid w:val="00EE3F76"/>
    <w:rsid w:val="00EE45DA"/>
    <w:rsid w:val="00EE490A"/>
    <w:rsid w:val="00EE4CB9"/>
    <w:rsid w:val="00EE4D41"/>
    <w:rsid w:val="00EE4DFC"/>
    <w:rsid w:val="00EE502C"/>
    <w:rsid w:val="00EE5848"/>
    <w:rsid w:val="00EE5D34"/>
    <w:rsid w:val="00EE5E89"/>
    <w:rsid w:val="00EE5F63"/>
    <w:rsid w:val="00EE5FC4"/>
    <w:rsid w:val="00EE60B3"/>
    <w:rsid w:val="00EE60BD"/>
    <w:rsid w:val="00EE61C8"/>
    <w:rsid w:val="00EE6245"/>
    <w:rsid w:val="00EE62B6"/>
    <w:rsid w:val="00EE62EE"/>
    <w:rsid w:val="00EE6679"/>
    <w:rsid w:val="00EE68A6"/>
    <w:rsid w:val="00EE6995"/>
    <w:rsid w:val="00EE69EF"/>
    <w:rsid w:val="00EE6B1B"/>
    <w:rsid w:val="00EE6B96"/>
    <w:rsid w:val="00EE7110"/>
    <w:rsid w:val="00EE74C9"/>
    <w:rsid w:val="00EE752D"/>
    <w:rsid w:val="00EE7717"/>
    <w:rsid w:val="00EE7A1B"/>
    <w:rsid w:val="00EE7B36"/>
    <w:rsid w:val="00EE7BF8"/>
    <w:rsid w:val="00EE7D26"/>
    <w:rsid w:val="00EE7D38"/>
    <w:rsid w:val="00EE7D47"/>
    <w:rsid w:val="00EE7E2C"/>
    <w:rsid w:val="00EE7E7F"/>
    <w:rsid w:val="00EE7F06"/>
    <w:rsid w:val="00EE7FC1"/>
    <w:rsid w:val="00EF00C6"/>
    <w:rsid w:val="00EF0131"/>
    <w:rsid w:val="00EF0204"/>
    <w:rsid w:val="00EF0236"/>
    <w:rsid w:val="00EF0252"/>
    <w:rsid w:val="00EF03C6"/>
    <w:rsid w:val="00EF0445"/>
    <w:rsid w:val="00EF08E9"/>
    <w:rsid w:val="00EF0916"/>
    <w:rsid w:val="00EF0AF9"/>
    <w:rsid w:val="00EF0B19"/>
    <w:rsid w:val="00EF0D2B"/>
    <w:rsid w:val="00EF0FF7"/>
    <w:rsid w:val="00EF112D"/>
    <w:rsid w:val="00EF12CC"/>
    <w:rsid w:val="00EF13C4"/>
    <w:rsid w:val="00EF169D"/>
    <w:rsid w:val="00EF16C5"/>
    <w:rsid w:val="00EF16D6"/>
    <w:rsid w:val="00EF189E"/>
    <w:rsid w:val="00EF19AC"/>
    <w:rsid w:val="00EF1EA7"/>
    <w:rsid w:val="00EF2233"/>
    <w:rsid w:val="00EF26D2"/>
    <w:rsid w:val="00EF272B"/>
    <w:rsid w:val="00EF2EAF"/>
    <w:rsid w:val="00EF2FD5"/>
    <w:rsid w:val="00EF31A9"/>
    <w:rsid w:val="00EF3303"/>
    <w:rsid w:val="00EF33A3"/>
    <w:rsid w:val="00EF33AB"/>
    <w:rsid w:val="00EF3512"/>
    <w:rsid w:val="00EF35E6"/>
    <w:rsid w:val="00EF37F5"/>
    <w:rsid w:val="00EF38BA"/>
    <w:rsid w:val="00EF3931"/>
    <w:rsid w:val="00EF39A8"/>
    <w:rsid w:val="00EF3CFE"/>
    <w:rsid w:val="00EF3E14"/>
    <w:rsid w:val="00EF42EE"/>
    <w:rsid w:val="00EF4413"/>
    <w:rsid w:val="00EF4639"/>
    <w:rsid w:val="00EF4B95"/>
    <w:rsid w:val="00EF4CEC"/>
    <w:rsid w:val="00EF4D98"/>
    <w:rsid w:val="00EF4DEB"/>
    <w:rsid w:val="00EF4EAC"/>
    <w:rsid w:val="00EF5087"/>
    <w:rsid w:val="00EF53C8"/>
    <w:rsid w:val="00EF54A4"/>
    <w:rsid w:val="00EF54BC"/>
    <w:rsid w:val="00EF5516"/>
    <w:rsid w:val="00EF554A"/>
    <w:rsid w:val="00EF59AC"/>
    <w:rsid w:val="00EF5B31"/>
    <w:rsid w:val="00EF5B6C"/>
    <w:rsid w:val="00EF5BCE"/>
    <w:rsid w:val="00EF5BF6"/>
    <w:rsid w:val="00EF5D1B"/>
    <w:rsid w:val="00EF5EBA"/>
    <w:rsid w:val="00EF5FD9"/>
    <w:rsid w:val="00EF60D1"/>
    <w:rsid w:val="00EF675A"/>
    <w:rsid w:val="00EF68B8"/>
    <w:rsid w:val="00EF6A62"/>
    <w:rsid w:val="00EF6B38"/>
    <w:rsid w:val="00EF6B66"/>
    <w:rsid w:val="00EF6D2F"/>
    <w:rsid w:val="00EF7279"/>
    <w:rsid w:val="00EF74AA"/>
    <w:rsid w:val="00EF7714"/>
    <w:rsid w:val="00EF77FA"/>
    <w:rsid w:val="00EF78FC"/>
    <w:rsid w:val="00EF7900"/>
    <w:rsid w:val="00EF791D"/>
    <w:rsid w:val="00EF7B3C"/>
    <w:rsid w:val="00EF7C80"/>
    <w:rsid w:val="00EF7E12"/>
    <w:rsid w:val="00F0012D"/>
    <w:rsid w:val="00F00155"/>
    <w:rsid w:val="00F0034D"/>
    <w:rsid w:val="00F006CF"/>
    <w:rsid w:val="00F00A5D"/>
    <w:rsid w:val="00F00A91"/>
    <w:rsid w:val="00F00BA5"/>
    <w:rsid w:val="00F00CD5"/>
    <w:rsid w:val="00F00DE9"/>
    <w:rsid w:val="00F01123"/>
    <w:rsid w:val="00F014F4"/>
    <w:rsid w:val="00F01587"/>
    <w:rsid w:val="00F0159E"/>
    <w:rsid w:val="00F01949"/>
    <w:rsid w:val="00F01A47"/>
    <w:rsid w:val="00F01D39"/>
    <w:rsid w:val="00F01F8B"/>
    <w:rsid w:val="00F01F8E"/>
    <w:rsid w:val="00F022CF"/>
    <w:rsid w:val="00F022F3"/>
    <w:rsid w:val="00F023E4"/>
    <w:rsid w:val="00F02480"/>
    <w:rsid w:val="00F02AB4"/>
    <w:rsid w:val="00F02AEC"/>
    <w:rsid w:val="00F02B32"/>
    <w:rsid w:val="00F02BE7"/>
    <w:rsid w:val="00F02C6F"/>
    <w:rsid w:val="00F02CB2"/>
    <w:rsid w:val="00F02CCD"/>
    <w:rsid w:val="00F02D38"/>
    <w:rsid w:val="00F03021"/>
    <w:rsid w:val="00F0313F"/>
    <w:rsid w:val="00F0319B"/>
    <w:rsid w:val="00F031C1"/>
    <w:rsid w:val="00F03267"/>
    <w:rsid w:val="00F033D7"/>
    <w:rsid w:val="00F03668"/>
    <w:rsid w:val="00F03741"/>
    <w:rsid w:val="00F0386D"/>
    <w:rsid w:val="00F03ACF"/>
    <w:rsid w:val="00F03C8D"/>
    <w:rsid w:val="00F03CD6"/>
    <w:rsid w:val="00F03CF9"/>
    <w:rsid w:val="00F03CFC"/>
    <w:rsid w:val="00F03E05"/>
    <w:rsid w:val="00F04432"/>
    <w:rsid w:val="00F045F5"/>
    <w:rsid w:val="00F047D5"/>
    <w:rsid w:val="00F048BB"/>
    <w:rsid w:val="00F04E84"/>
    <w:rsid w:val="00F04EFB"/>
    <w:rsid w:val="00F0501F"/>
    <w:rsid w:val="00F0506C"/>
    <w:rsid w:val="00F054B1"/>
    <w:rsid w:val="00F056C3"/>
    <w:rsid w:val="00F058EE"/>
    <w:rsid w:val="00F0594C"/>
    <w:rsid w:val="00F05DE0"/>
    <w:rsid w:val="00F05DE7"/>
    <w:rsid w:val="00F05E21"/>
    <w:rsid w:val="00F05F99"/>
    <w:rsid w:val="00F05FBC"/>
    <w:rsid w:val="00F06126"/>
    <w:rsid w:val="00F06591"/>
    <w:rsid w:val="00F06673"/>
    <w:rsid w:val="00F06678"/>
    <w:rsid w:val="00F0694F"/>
    <w:rsid w:val="00F06A1F"/>
    <w:rsid w:val="00F06AE7"/>
    <w:rsid w:val="00F06EDF"/>
    <w:rsid w:val="00F070CE"/>
    <w:rsid w:val="00F07105"/>
    <w:rsid w:val="00F072DB"/>
    <w:rsid w:val="00F072F6"/>
    <w:rsid w:val="00F0755F"/>
    <w:rsid w:val="00F0783F"/>
    <w:rsid w:val="00F07874"/>
    <w:rsid w:val="00F07876"/>
    <w:rsid w:val="00F07CCB"/>
    <w:rsid w:val="00F07D06"/>
    <w:rsid w:val="00F07E51"/>
    <w:rsid w:val="00F10026"/>
    <w:rsid w:val="00F10140"/>
    <w:rsid w:val="00F10246"/>
    <w:rsid w:val="00F10314"/>
    <w:rsid w:val="00F106C9"/>
    <w:rsid w:val="00F10F69"/>
    <w:rsid w:val="00F1114D"/>
    <w:rsid w:val="00F11798"/>
    <w:rsid w:val="00F11919"/>
    <w:rsid w:val="00F11CEB"/>
    <w:rsid w:val="00F11EA3"/>
    <w:rsid w:val="00F11FB1"/>
    <w:rsid w:val="00F12023"/>
    <w:rsid w:val="00F12097"/>
    <w:rsid w:val="00F1242C"/>
    <w:rsid w:val="00F1262C"/>
    <w:rsid w:val="00F12B35"/>
    <w:rsid w:val="00F12C40"/>
    <w:rsid w:val="00F12C66"/>
    <w:rsid w:val="00F12E73"/>
    <w:rsid w:val="00F12EC1"/>
    <w:rsid w:val="00F13078"/>
    <w:rsid w:val="00F131BC"/>
    <w:rsid w:val="00F131D3"/>
    <w:rsid w:val="00F1331B"/>
    <w:rsid w:val="00F134F9"/>
    <w:rsid w:val="00F1361C"/>
    <w:rsid w:val="00F13681"/>
    <w:rsid w:val="00F13DD3"/>
    <w:rsid w:val="00F13EB7"/>
    <w:rsid w:val="00F13F7D"/>
    <w:rsid w:val="00F13FCA"/>
    <w:rsid w:val="00F143B3"/>
    <w:rsid w:val="00F14632"/>
    <w:rsid w:val="00F14671"/>
    <w:rsid w:val="00F146ED"/>
    <w:rsid w:val="00F1473A"/>
    <w:rsid w:val="00F148AE"/>
    <w:rsid w:val="00F1490A"/>
    <w:rsid w:val="00F14957"/>
    <w:rsid w:val="00F14CC6"/>
    <w:rsid w:val="00F151DE"/>
    <w:rsid w:val="00F15290"/>
    <w:rsid w:val="00F15518"/>
    <w:rsid w:val="00F15532"/>
    <w:rsid w:val="00F1564C"/>
    <w:rsid w:val="00F1569F"/>
    <w:rsid w:val="00F1574F"/>
    <w:rsid w:val="00F15814"/>
    <w:rsid w:val="00F15B51"/>
    <w:rsid w:val="00F15BEF"/>
    <w:rsid w:val="00F15E52"/>
    <w:rsid w:val="00F16042"/>
    <w:rsid w:val="00F16581"/>
    <w:rsid w:val="00F165C2"/>
    <w:rsid w:val="00F1662A"/>
    <w:rsid w:val="00F166E6"/>
    <w:rsid w:val="00F1676C"/>
    <w:rsid w:val="00F168FA"/>
    <w:rsid w:val="00F16A35"/>
    <w:rsid w:val="00F170FC"/>
    <w:rsid w:val="00F17122"/>
    <w:rsid w:val="00F171A9"/>
    <w:rsid w:val="00F173CB"/>
    <w:rsid w:val="00F174E3"/>
    <w:rsid w:val="00F17615"/>
    <w:rsid w:val="00F176E5"/>
    <w:rsid w:val="00F1798D"/>
    <w:rsid w:val="00F179EE"/>
    <w:rsid w:val="00F17A85"/>
    <w:rsid w:val="00F17C12"/>
    <w:rsid w:val="00F17C1E"/>
    <w:rsid w:val="00F17D94"/>
    <w:rsid w:val="00F17F1F"/>
    <w:rsid w:val="00F20091"/>
    <w:rsid w:val="00F20097"/>
    <w:rsid w:val="00F20509"/>
    <w:rsid w:val="00F207E3"/>
    <w:rsid w:val="00F208DB"/>
    <w:rsid w:val="00F209AC"/>
    <w:rsid w:val="00F20C1F"/>
    <w:rsid w:val="00F20C97"/>
    <w:rsid w:val="00F20CD1"/>
    <w:rsid w:val="00F20FB8"/>
    <w:rsid w:val="00F211D4"/>
    <w:rsid w:val="00F21322"/>
    <w:rsid w:val="00F21614"/>
    <w:rsid w:val="00F21A54"/>
    <w:rsid w:val="00F21AE2"/>
    <w:rsid w:val="00F21B55"/>
    <w:rsid w:val="00F21BA2"/>
    <w:rsid w:val="00F21E3B"/>
    <w:rsid w:val="00F225E3"/>
    <w:rsid w:val="00F2267B"/>
    <w:rsid w:val="00F22E1C"/>
    <w:rsid w:val="00F230F4"/>
    <w:rsid w:val="00F233F3"/>
    <w:rsid w:val="00F234A5"/>
    <w:rsid w:val="00F234A9"/>
    <w:rsid w:val="00F23717"/>
    <w:rsid w:val="00F23797"/>
    <w:rsid w:val="00F23889"/>
    <w:rsid w:val="00F238D5"/>
    <w:rsid w:val="00F23912"/>
    <w:rsid w:val="00F239F2"/>
    <w:rsid w:val="00F23FF2"/>
    <w:rsid w:val="00F2400A"/>
    <w:rsid w:val="00F242DE"/>
    <w:rsid w:val="00F2435F"/>
    <w:rsid w:val="00F244D2"/>
    <w:rsid w:val="00F24822"/>
    <w:rsid w:val="00F248B3"/>
    <w:rsid w:val="00F248F3"/>
    <w:rsid w:val="00F2499D"/>
    <w:rsid w:val="00F249B4"/>
    <w:rsid w:val="00F24B38"/>
    <w:rsid w:val="00F24E1C"/>
    <w:rsid w:val="00F24F8A"/>
    <w:rsid w:val="00F252B6"/>
    <w:rsid w:val="00F25592"/>
    <w:rsid w:val="00F2559D"/>
    <w:rsid w:val="00F25635"/>
    <w:rsid w:val="00F256D0"/>
    <w:rsid w:val="00F2599E"/>
    <w:rsid w:val="00F25BE6"/>
    <w:rsid w:val="00F25C67"/>
    <w:rsid w:val="00F25C90"/>
    <w:rsid w:val="00F25FD3"/>
    <w:rsid w:val="00F25FE4"/>
    <w:rsid w:val="00F260A1"/>
    <w:rsid w:val="00F26379"/>
    <w:rsid w:val="00F2674D"/>
    <w:rsid w:val="00F2686C"/>
    <w:rsid w:val="00F26952"/>
    <w:rsid w:val="00F26972"/>
    <w:rsid w:val="00F26D33"/>
    <w:rsid w:val="00F2700C"/>
    <w:rsid w:val="00F2715D"/>
    <w:rsid w:val="00F2725C"/>
    <w:rsid w:val="00F2761A"/>
    <w:rsid w:val="00F27E05"/>
    <w:rsid w:val="00F27EEB"/>
    <w:rsid w:val="00F27F37"/>
    <w:rsid w:val="00F30460"/>
    <w:rsid w:val="00F307E9"/>
    <w:rsid w:val="00F3084C"/>
    <w:rsid w:val="00F30863"/>
    <w:rsid w:val="00F30959"/>
    <w:rsid w:val="00F309E6"/>
    <w:rsid w:val="00F30CDD"/>
    <w:rsid w:val="00F30E44"/>
    <w:rsid w:val="00F3114A"/>
    <w:rsid w:val="00F3145F"/>
    <w:rsid w:val="00F31574"/>
    <w:rsid w:val="00F31651"/>
    <w:rsid w:val="00F31735"/>
    <w:rsid w:val="00F319A4"/>
    <w:rsid w:val="00F31AFD"/>
    <w:rsid w:val="00F31B52"/>
    <w:rsid w:val="00F31DA5"/>
    <w:rsid w:val="00F31E90"/>
    <w:rsid w:val="00F3209B"/>
    <w:rsid w:val="00F32402"/>
    <w:rsid w:val="00F3278B"/>
    <w:rsid w:val="00F327F4"/>
    <w:rsid w:val="00F32CE7"/>
    <w:rsid w:val="00F330E0"/>
    <w:rsid w:val="00F33216"/>
    <w:rsid w:val="00F33284"/>
    <w:rsid w:val="00F33374"/>
    <w:rsid w:val="00F333B5"/>
    <w:rsid w:val="00F3355B"/>
    <w:rsid w:val="00F336A2"/>
    <w:rsid w:val="00F336AD"/>
    <w:rsid w:val="00F3377F"/>
    <w:rsid w:val="00F3379D"/>
    <w:rsid w:val="00F33A22"/>
    <w:rsid w:val="00F347D9"/>
    <w:rsid w:val="00F34A60"/>
    <w:rsid w:val="00F34B94"/>
    <w:rsid w:val="00F34FAF"/>
    <w:rsid w:val="00F351F7"/>
    <w:rsid w:val="00F35330"/>
    <w:rsid w:val="00F3555F"/>
    <w:rsid w:val="00F355AB"/>
    <w:rsid w:val="00F35681"/>
    <w:rsid w:val="00F35828"/>
    <w:rsid w:val="00F3588B"/>
    <w:rsid w:val="00F35924"/>
    <w:rsid w:val="00F359EF"/>
    <w:rsid w:val="00F35A46"/>
    <w:rsid w:val="00F35B31"/>
    <w:rsid w:val="00F35BB1"/>
    <w:rsid w:val="00F35E2E"/>
    <w:rsid w:val="00F35E58"/>
    <w:rsid w:val="00F360B7"/>
    <w:rsid w:val="00F36203"/>
    <w:rsid w:val="00F362C7"/>
    <w:rsid w:val="00F3680E"/>
    <w:rsid w:val="00F36996"/>
    <w:rsid w:val="00F36AF4"/>
    <w:rsid w:val="00F36C5D"/>
    <w:rsid w:val="00F36D3F"/>
    <w:rsid w:val="00F36D7F"/>
    <w:rsid w:val="00F3710E"/>
    <w:rsid w:val="00F3712C"/>
    <w:rsid w:val="00F37283"/>
    <w:rsid w:val="00F3758E"/>
    <w:rsid w:val="00F376A9"/>
    <w:rsid w:val="00F376EC"/>
    <w:rsid w:val="00F3787D"/>
    <w:rsid w:val="00F379FF"/>
    <w:rsid w:val="00F37AFD"/>
    <w:rsid w:val="00F37C80"/>
    <w:rsid w:val="00F37C99"/>
    <w:rsid w:val="00F37E49"/>
    <w:rsid w:val="00F37E9A"/>
    <w:rsid w:val="00F37F27"/>
    <w:rsid w:val="00F40021"/>
    <w:rsid w:val="00F4026F"/>
    <w:rsid w:val="00F4063A"/>
    <w:rsid w:val="00F4065F"/>
    <w:rsid w:val="00F4071F"/>
    <w:rsid w:val="00F40885"/>
    <w:rsid w:val="00F408D3"/>
    <w:rsid w:val="00F4090D"/>
    <w:rsid w:val="00F40F0A"/>
    <w:rsid w:val="00F40F6B"/>
    <w:rsid w:val="00F41166"/>
    <w:rsid w:val="00F41408"/>
    <w:rsid w:val="00F417F6"/>
    <w:rsid w:val="00F41A51"/>
    <w:rsid w:val="00F41A78"/>
    <w:rsid w:val="00F41C08"/>
    <w:rsid w:val="00F41E9B"/>
    <w:rsid w:val="00F42019"/>
    <w:rsid w:val="00F421D8"/>
    <w:rsid w:val="00F42306"/>
    <w:rsid w:val="00F42541"/>
    <w:rsid w:val="00F425DE"/>
    <w:rsid w:val="00F42664"/>
    <w:rsid w:val="00F42693"/>
    <w:rsid w:val="00F426FD"/>
    <w:rsid w:val="00F42781"/>
    <w:rsid w:val="00F42C83"/>
    <w:rsid w:val="00F42F18"/>
    <w:rsid w:val="00F432E6"/>
    <w:rsid w:val="00F434EA"/>
    <w:rsid w:val="00F43938"/>
    <w:rsid w:val="00F43C1D"/>
    <w:rsid w:val="00F43DF7"/>
    <w:rsid w:val="00F43E4F"/>
    <w:rsid w:val="00F43EA0"/>
    <w:rsid w:val="00F43ED2"/>
    <w:rsid w:val="00F43F21"/>
    <w:rsid w:val="00F440BD"/>
    <w:rsid w:val="00F4421E"/>
    <w:rsid w:val="00F44401"/>
    <w:rsid w:val="00F4454C"/>
    <w:rsid w:val="00F44740"/>
    <w:rsid w:val="00F44AFE"/>
    <w:rsid w:val="00F44D73"/>
    <w:rsid w:val="00F44E77"/>
    <w:rsid w:val="00F451A1"/>
    <w:rsid w:val="00F4521B"/>
    <w:rsid w:val="00F453C5"/>
    <w:rsid w:val="00F454BA"/>
    <w:rsid w:val="00F4558A"/>
    <w:rsid w:val="00F455C2"/>
    <w:rsid w:val="00F455E9"/>
    <w:rsid w:val="00F4584B"/>
    <w:rsid w:val="00F458AB"/>
    <w:rsid w:val="00F459CE"/>
    <w:rsid w:val="00F45A45"/>
    <w:rsid w:val="00F45B3A"/>
    <w:rsid w:val="00F45D09"/>
    <w:rsid w:val="00F45FBD"/>
    <w:rsid w:val="00F46105"/>
    <w:rsid w:val="00F4615B"/>
    <w:rsid w:val="00F4634F"/>
    <w:rsid w:val="00F46411"/>
    <w:rsid w:val="00F46BA4"/>
    <w:rsid w:val="00F46BC7"/>
    <w:rsid w:val="00F46E24"/>
    <w:rsid w:val="00F47336"/>
    <w:rsid w:val="00F4733A"/>
    <w:rsid w:val="00F4733C"/>
    <w:rsid w:val="00F47435"/>
    <w:rsid w:val="00F47606"/>
    <w:rsid w:val="00F47651"/>
    <w:rsid w:val="00F476E6"/>
    <w:rsid w:val="00F47789"/>
    <w:rsid w:val="00F4785B"/>
    <w:rsid w:val="00F47983"/>
    <w:rsid w:val="00F501AF"/>
    <w:rsid w:val="00F5046D"/>
    <w:rsid w:val="00F50571"/>
    <w:rsid w:val="00F5062C"/>
    <w:rsid w:val="00F5094F"/>
    <w:rsid w:val="00F50C5E"/>
    <w:rsid w:val="00F5104E"/>
    <w:rsid w:val="00F510A1"/>
    <w:rsid w:val="00F512C5"/>
    <w:rsid w:val="00F5158B"/>
    <w:rsid w:val="00F51834"/>
    <w:rsid w:val="00F518E4"/>
    <w:rsid w:val="00F519B6"/>
    <w:rsid w:val="00F51CA8"/>
    <w:rsid w:val="00F5207D"/>
    <w:rsid w:val="00F52102"/>
    <w:rsid w:val="00F52252"/>
    <w:rsid w:val="00F522D8"/>
    <w:rsid w:val="00F5268D"/>
    <w:rsid w:val="00F5270E"/>
    <w:rsid w:val="00F52C87"/>
    <w:rsid w:val="00F52CFB"/>
    <w:rsid w:val="00F52EB6"/>
    <w:rsid w:val="00F52ED1"/>
    <w:rsid w:val="00F52FCF"/>
    <w:rsid w:val="00F530B7"/>
    <w:rsid w:val="00F53194"/>
    <w:rsid w:val="00F5336F"/>
    <w:rsid w:val="00F53425"/>
    <w:rsid w:val="00F53A3E"/>
    <w:rsid w:val="00F53BF7"/>
    <w:rsid w:val="00F53CA3"/>
    <w:rsid w:val="00F54059"/>
    <w:rsid w:val="00F54332"/>
    <w:rsid w:val="00F54334"/>
    <w:rsid w:val="00F543C7"/>
    <w:rsid w:val="00F54453"/>
    <w:rsid w:val="00F544FD"/>
    <w:rsid w:val="00F5456E"/>
    <w:rsid w:val="00F5472D"/>
    <w:rsid w:val="00F5487A"/>
    <w:rsid w:val="00F54B5D"/>
    <w:rsid w:val="00F54E11"/>
    <w:rsid w:val="00F5510D"/>
    <w:rsid w:val="00F553DD"/>
    <w:rsid w:val="00F55554"/>
    <w:rsid w:val="00F55998"/>
    <w:rsid w:val="00F559F9"/>
    <w:rsid w:val="00F55B22"/>
    <w:rsid w:val="00F55F32"/>
    <w:rsid w:val="00F55FA1"/>
    <w:rsid w:val="00F55FBF"/>
    <w:rsid w:val="00F5603C"/>
    <w:rsid w:val="00F56165"/>
    <w:rsid w:val="00F5628F"/>
    <w:rsid w:val="00F563CC"/>
    <w:rsid w:val="00F5643A"/>
    <w:rsid w:val="00F564A0"/>
    <w:rsid w:val="00F56955"/>
    <w:rsid w:val="00F56A6E"/>
    <w:rsid w:val="00F56CC5"/>
    <w:rsid w:val="00F56E1E"/>
    <w:rsid w:val="00F56EA0"/>
    <w:rsid w:val="00F56F92"/>
    <w:rsid w:val="00F57110"/>
    <w:rsid w:val="00F5716D"/>
    <w:rsid w:val="00F57469"/>
    <w:rsid w:val="00F57473"/>
    <w:rsid w:val="00F574E8"/>
    <w:rsid w:val="00F57645"/>
    <w:rsid w:val="00F57A86"/>
    <w:rsid w:val="00F57ABC"/>
    <w:rsid w:val="00F57B4E"/>
    <w:rsid w:val="00F57BC6"/>
    <w:rsid w:val="00F57C24"/>
    <w:rsid w:val="00F57E40"/>
    <w:rsid w:val="00F57E7D"/>
    <w:rsid w:val="00F6002B"/>
    <w:rsid w:val="00F6015E"/>
    <w:rsid w:val="00F6058F"/>
    <w:rsid w:val="00F60A40"/>
    <w:rsid w:val="00F60E4F"/>
    <w:rsid w:val="00F613EB"/>
    <w:rsid w:val="00F6161D"/>
    <w:rsid w:val="00F617C8"/>
    <w:rsid w:val="00F61854"/>
    <w:rsid w:val="00F618A1"/>
    <w:rsid w:val="00F61967"/>
    <w:rsid w:val="00F61AC4"/>
    <w:rsid w:val="00F61AD0"/>
    <w:rsid w:val="00F61B12"/>
    <w:rsid w:val="00F61DF3"/>
    <w:rsid w:val="00F61EFE"/>
    <w:rsid w:val="00F61EFF"/>
    <w:rsid w:val="00F6208E"/>
    <w:rsid w:val="00F620BE"/>
    <w:rsid w:val="00F62136"/>
    <w:rsid w:val="00F6223C"/>
    <w:rsid w:val="00F62421"/>
    <w:rsid w:val="00F62426"/>
    <w:rsid w:val="00F624FB"/>
    <w:rsid w:val="00F62581"/>
    <w:rsid w:val="00F626DD"/>
    <w:rsid w:val="00F62A64"/>
    <w:rsid w:val="00F62D93"/>
    <w:rsid w:val="00F62EB2"/>
    <w:rsid w:val="00F630DB"/>
    <w:rsid w:val="00F6312A"/>
    <w:rsid w:val="00F63200"/>
    <w:rsid w:val="00F6321F"/>
    <w:rsid w:val="00F63832"/>
    <w:rsid w:val="00F6386E"/>
    <w:rsid w:val="00F63B33"/>
    <w:rsid w:val="00F63B37"/>
    <w:rsid w:val="00F63B63"/>
    <w:rsid w:val="00F63C9E"/>
    <w:rsid w:val="00F642BA"/>
    <w:rsid w:val="00F64310"/>
    <w:rsid w:val="00F644BD"/>
    <w:rsid w:val="00F6453B"/>
    <w:rsid w:val="00F645A5"/>
    <w:rsid w:val="00F6473D"/>
    <w:rsid w:val="00F64895"/>
    <w:rsid w:val="00F64A63"/>
    <w:rsid w:val="00F64AB1"/>
    <w:rsid w:val="00F64B33"/>
    <w:rsid w:val="00F64CAC"/>
    <w:rsid w:val="00F64D2B"/>
    <w:rsid w:val="00F6500A"/>
    <w:rsid w:val="00F6565A"/>
    <w:rsid w:val="00F65694"/>
    <w:rsid w:val="00F659C9"/>
    <w:rsid w:val="00F65AC8"/>
    <w:rsid w:val="00F65E6C"/>
    <w:rsid w:val="00F65EAA"/>
    <w:rsid w:val="00F65F91"/>
    <w:rsid w:val="00F661FE"/>
    <w:rsid w:val="00F6625D"/>
    <w:rsid w:val="00F662B3"/>
    <w:rsid w:val="00F6653B"/>
    <w:rsid w:val="00F665C5"/>
    <w:rsid w:val="00F666A1"/>
    <w:rsid w:val="00F66738"/>
    <w:rsid w:val="00F66746"/>
    <w:rsid w:val="00F66A49"/>
    <w:rsid w:val="00F66F17"/>
    <w:rsid w:val="00F670F5"/>
    <w:rsid w:val="00F6723D"/>
    <w:rsid w:val="00F672F6"/>
    <w:rsid w:val="00F6732F"/>
    <w:rsid w:val="00F6770C"/>
    <w:rsid w:val="00F67798"/>
    <w:rsid w:val="00F67823"/>
    <w:rsid w:val="00F67C68"/>
    <w:rsid w:val="00F67F12"/>
    <w:rsid w:val="00F7021F"/>
    <w:rsid w:val="00F70557"/>
    <w:rsid w:val="00F70A8E"/>
    <w:rsid w:val="00F70AE5"/>
    <w:rsid w:val="00F70B13"/>
    <w:rsid w:val="00F70B3F"/>
    <w:rsid w:val="00F70C00"/>
    <w:rsid w:val="00F70E34"/>
    <w:rsid w:val="00F70FA2"/>
    <w:rsid w:val="00F710BD"/>
    <w:rsid w:val="00F712C4"/>
    <w:rsid w:val="00F712D9"/>
    <w:rsid w:val="00F714B8"/>
    <w:rsid w:val="00F714F4"/>
    <w:rsid w:val="00F718F9"/>
    <w:rsid w:val="00F71AC7"/>
    <w:rsid w:val="00F71CDA"/>
    <w:rsid w:val="00F71E9C"/>
    <w:rsid w:val="00F721BE"/>
    <w:rsid w:val="00F72C1D"/>
    <w:rsid w:val="00F72D3C"/>
    <w:rsid w:val="00F72D93"/>
    <w:rsid w:val="00F72F77"/>
    <w:rsid w:val="00F72FE5"/>
    <w:rsid w:val="00F7301F"/>
    <w:rsid w:val="00F7303D"/>
    <w:rsid w:val="00F7343E"/>
    <w:rsid w:val="00F734F6"/>
    <w:rsid w:val="00F7357C"/>
    <w:rsid w:val="00F73624"/>
    <w:rsid w:val="00F7380F"/>
    <w:rsid w:val="00F73828"/>
    <w:rsid w:val="00F7383E"/>
    <w:rsid w:val="00F738B8"/>
    <w:rsid w:val="00F73924"/>
    <w:rsid w:val="00F739CD"/>
    <w:rsid w:val="00F73BF0"/>
    <w:rsid w:val="00F73F4F"/>
    <w:rsid w:val="00F74332"/>
    <w:rsid w:val="00F74433"/>
    <w:rsid w:val="00F74469"/>
    <w:rsid w:val="00F74709"/>
    <w:rsid w:val="00F748B6"/>
    <w:rsid w:val="00F7492A"/>
    <w:rsid w:val="00F74A75"/>
    <w:rsid w:val="00F74AC5"/>
    <w:rsid w:val="00F74B6A"/>
    <w:rsid w:val="00F74BCF"/>
    <w:rsid w:val="00F74C42"/>
    <w:rsid w:val="00F7521C"/>
    <w:rsid w:val="00F7538E"/>
    <w:rsid w:val="00F7558F"/>
    <w:rsid w:val="00F75612"/>
    <w:rsid w:val="00F75626"/>
    <w:rsid w:val="00F75754"/>
    <w:rsid w:val="00F758F8"/>
    <w:rsid w:val="00F75977"/>
    <w:rsid w:val="00F759DB"/>
    <w:rsid w:val="00F75C6E"/>
    <w:rsid w:val="00F75CDB"/>
    <w:rsid w:val="00F75D12"/>
    <w:rsid w:val="00F762D4"/>
    <w:rsid w:val="00F76A5E"/>
    <w:rsid w:val="00F76A83"/>
    <w:rsid w:val="00F76B4E"/>
    <w:rsid w:val="00F76E8B"/>
    <w:rsid w:val="00F771D6"/>
    <w:rsid w:val="00F7726C"/>
    <w:rsid w:val="00F7730F"/>
    <w:rsid w:val="00F774B1"/>
    <w:rsid w:val="00F77563"/>
    <w:rsid w:val="00F7757F"/>
    <w:rsid w:val="00F7781B"/>
    <w:rsid w:val="00F77879"/>
    <w:rsid w:val="00F778D3"/>
    <w:rsid w:val="00F778E8"/>
    <w:rsid w:val="00F77947"/>
    <w:rsid w:val="00F77B25"/>
    <w:rsid w:val="00F77CCD"/>
    <w:rsid w:val="00F77D40"/>
    <w:rsid w:val="00F77D58"/>
    <w:rsid w:val="00F77E12"/>
    <w:rsid w:val="00F77E25"/>
    <w:rsid w:val="00F800EB"/>
    <w:rsid w:val="00F8033A"/>
    <w:rsid w:val="00F80429"/>
    <w:rsid w:val="00F80644"/>
    <w:rsid w:val="00F808FD"/>
    <w:rsid w:val="00F80A4A"/>
    <w:rsid w:val="00F80C16"/>
    <w:rsid w:val="00F80D09"/>
    <w:rsid w:val="00F80E81"/>
    <w:rsid w:val="00F80EA4"/>
    <w:rsid w:val="00F81040"/>
    <w:rsid w:val="00F81060"/>
    <w:rsid w:val="00F812D4"/>
    <w:rsid w:val="00F8133A"/>
    <w:rsid w:val="00F8147B"/>
    <w:rsid w:val="00F81532"/>
    <w:rsid w:val="00F815E8"/>
    <w:rsid w:val="00F8166C"/>
    <w:rsid w:val="00F81C21"/>
    <w:rsid w:val="00F81EA3"/>
    <w:rsid w:val="00F82022"/>
    <w:rsid w:val="00F822DA"/>
    <w:rsid w:val="00F8233E"/>
    <w:rsid w:val="00F82451"/>
    <w:rsid w:val="00F8245A"/>
    <w:rsid w:val="00F82924"/>
    <w:rsid w:val="00F82A45"/>
    <w:rsid w:val="00F82CB9"/>
    <w:rsid w:val="00F82FDE"/>
    <w:rsid w:val="00F831E7"/>
    <w:rsid w:val="00F8338E"/>
    <w:rsid w:val="00F833FF"/>
    <w:rsid w:val="00F8343A"/>
    <w:rsid w:val="00F8345E"/>
    <w:rsid w:val="00F835B1"/>
    <w:rsid w:val="00F8361C"/>
    <w:rsid w:val="00F8391E"/>
    <w:rsid w:val="00F8391F"/>
    <w:rsid w:val="00F83A9D"/>
    <w:rsid w:val="00F83ABD"/>
    <w:rsid w:val="00F83CA6"/>
    <w:rsid w:val="00F83D79"/>
    <w:rsid w:val="00F83DE9"/>
    <w:rsid w:val="00F83E1D"/>
    <w:rsid w:val="00F840B8"/>
    <w:rsid w:val="00F847D7"/>
    <w:rsid w:val="00F848DD"/>
    <w:rsid w:val="00F84A7B"/>
    <w:rsid w:val="00F84C03"/>
    <w:rsid w:val="00F84D24"/>
    <w:rsid w:val="00F84DCF"/>
    <w:rsid w:val="00F84F45"/>
    <w:rsid w:val="00F84F8D"/>
    <w:rsid w:val="00F8503E"/>
    <w:rsid w:val="00F85171"/>
    <w:rsid w:val="00F8524A"/>
    <w:rsid w:val="00F8543E"/>
    <w:rsid w:val="00F854EC"/>
    <w:rsid w:val="00F85627"/>
    <w:rsid w:val="00F856AB"/>
    <w:rsid w:val="00F8586B"/>
    <w:rsid w:val="00F85ADF"/>
    <w:rsid w:val="00F85C68"/>
    <w:rsid w:val="00F85D00"/>
    <w:rsid w:val="00F85DB0"/>
    <w:rsid w:val="00F85FA7"/>
    <w:rsid w:val="00F8604A"/>
    <w:rsid w:val="00F862AD"/>
    <w:rsid w:val="00F864C8"/>
    <w:rsid w:val="00F86650"/>
    <w:rsid w:val="00F86691"/>
    <w:rsid w:val="00F866A4"/>
    <w:rsid w:val="00F868B5"/>
    <w:rsid w:val="00F869DD"/>
    <w:rsid w:val="00F86A9C"/>
    <w:rsid w:val="00F86BD6"/>
    <w:rsid w:val="00F86CC6"/>
    <w:rsid w:val="00F86F6E"/>
    <w:rsid w:val="00F86F86"/>
    <w:rsid w:val="00F87199"/>
    <w:rsid w:val="00F87481"/>
    <w:rsid w:val="00F8756F"/>
    <w:rsid w:val="00F8766A"/>
    <w:rsid w:val="00F876A8"/>
    <w:rsid w:val="00F878AD"/>
    <w:rsid w:val="00F87EA2"/>
    <w:rsid w:val="00F90274"/>
    <w:rsid w:val="00F902DB"/>
    <w:rsid w:val="00F90476"/>
    <w:rsid w:val="00F90822"/>
    <w:rsid w:val="00F90951"/>
    <w:rsid w:val="00F90A35"/>
    <w:rsid w:val="00F90C8C"/>
    <w:rsid w:val="00F90C9C"/>
    <w:rsid w:val="00F90EBF"/>
    <w:rsid w:val="00F90F3A"/>
    <w:rsid w:val="00F912DB"/>
    <w:rsid w:val="00F9161E"/>
    <w:rsid w:val="00F9175E"/>
    <w:rsid w:val="00F91A10"/>
    <w:rsid w:val="00F91ABD"/>
    <w:rsid w:val="00F921CC"/>
    <w:rsid w:val="00F921EB"/>
    <w:rsid w:val="00F924D2"/>
    <w:rsid w:val="00F92504"/>
    <w:rsid w:val="00F92523"/>
    <w:rsid w:val="00F9294D"/>
    <w:rsid w:val="00F9297C"/>
    <w:rsid w:val="00F92F3B"/>
    <w:rsid w:val="00F92FFF"/>
    <w:rsid w:val="00F931EC"/>
    <w:rsid w:val="00F94080"/>
    <w:rsid w:val="00F94089"/>
    <w:rsid w:val="00F940A7"/>
    <w:rsid w:val="00F942A4"/>
    <w:rsid w:val="00F94542"/>
    <w:rsid w:val="00F9456E"/>
    <w:rsid w:val="00F94A15"/>
    <w:rsid w:val="00F94BF8"/>
    <w:rsid w:val="00F94D15"/>
    <w:rsid w:val="00F94FB0"/>
    <w:rsid w:val="00F95054"/>
    <w:rsid w:val="00F951D4"/>
    <w:rsid w:val="00F954B5"/>
    <w:rsid w:val="00F954E2"/>
    <w:rsid w:val="00F9563A"/>
    <w:rsid w:val="00F9574D"/>
    <w:rsid w:val="00F958AB"/>
    <w:rsid w:val="00F95AF8"/>
    <w:rsid w:val="00F95B8E"/>
    <w:rsid w:val="00F95C31"/>
    <w:rsid w:val="00F95E25"/>
    <w:rsid w:val="00F960C2"/>
    <w:rsid w:val="00F961D4"/>
    <w:rsid w:val="00F96283"/>
    <w:rsid w:val="00F962F6"/>
    <w:rsid w:val="00F963BD"/>
    <w:rsid w:val="00F963E6"/>
    <w:rsid w:val="00F967B4"/>
    <w:rsid w:val="00F967ED"/>
    <w:rsid w:val="00F96855"/>
    <w:rsid w:val="00F968F1"/>
    <w:rsid w:val="00F96966"/>
    <w:rsid w:val="00F96BB7"/>
    <w:rsid w:val="00F96C8E"/>
    <w:rsid w:val="00F96CD9"/>
    <w:rsid w:val="00F96DCA"/>
    <w:rsid w:val="00F96F84"/>
    <w:rsid w:val="00F97014"/>
    <w:rsid w:val="00F97047"/>
    <w:rsid w:val="00F970DC"/>
    <w:rsid w:val="00F971FD"/>
    <w:rsid w:val="00F9724B"/>
    <w:rsid w:val="00F974EB"/>
    <w:rsid w:val="00F97672"/>
    <w:rsid w:val="00F97A82"/>
    <w:rsid w:val="00F97F74"/>
    <w:rsid w:val="00FA0297"/>
    <w:rsid w:val="00FA059C"/>
    <w:rsid w:val="00FA0639"/>
    <w:rsid w:val="00FA0A3F"/>
    <w:rsid w:val="00FA0A51"/>
    <w:rsid w:val="00FA0A5B"/>
    <w:rsid w:val="00FA0BD8"/>
    <w:rsid w:val="00FA0CEB"/>
    <w:rsid w:val="00FA0EC4"/>
    <w:rsid w:val="00FA111F"/>
    <w:rsid w:val="00FA1388"/>
    <w:rsid w:val="00FA13A7"/>
    <w:rsid w:val="00FA1717"/>
    <w:rsid w:val="00FA1749"/>
    <w:rsid w:val="00FA1A0D"/>
    <w:rsid w:val="00FA1C7C"/>
    <w:rsid w:val="00FA1F29"/>
    <w:rsid w:val="00FA1F2F"/>
    <w:rsid w:val="00FA1FF4"/>
    <w:rsid w:val="00FA20F2"/>
    <w:rsid w:val="00FA21A1"/>
    <w:rsid w:val="00FA25F9"/>
    <w:rsid w:val="00FA275B"/>
    <w:rsid w:val="00FA2944"/>
    <w:rsid w:val="00FA2989"/>
    <w:rsid w:val="00FA2995"/>
    <w:rsid w:val="00FA2B1E"/>
    <w:rsid w:val="00FA2BD7"/>
    <w:rsid w:val="00FA2BF1"/>
    <w:rsid w:val="00FA2C27"/>
    <w:rsid w:val="00FA2D59"/>
    <w:rsid w:val="00FA2EF2"/>
    <w:rsid w:val="00FA327E"/>
    <w:rsid w:val="00FA3313"/>
    <w:rsid w:val="00FA34D8"/>
    <w:rsid w:val="00FA37AA"/>
    <w:rsid w:val="00FA3B9D"/>
    <w:rsid w:val="00FA3BFF"/>
    <w:rsid w:val="00FA3C26"/>
    <w:rsid w:val="00FA409A"/>
    <w:rsid w:val="00FA4151"/>
    <w:rsid w:val="00FA42D7"/>
    <w:rsid w:val="00FA432B"/>
    <w:rsid w:val="00FA4336"/>
    <w:rsid w:val="00FA4392"/>
    <w:rsid w:val="00FA46F0"/>
    <w:rsid w:val="00FA4A50"/>
    <w:rsid w:val="00FA4CDE"/>
    <w:rsid w:val="00FA4EFB"/>
    <w:rsid w:val="00FA4F7C"/>
    <w:rsid w:val="00FA52E8"/>
    <w:rsid w:val="00FA55C1"/>
    <w:rsid w:val="00FA55EC"/>
    <w:rsid w:val="00FA56F1"/>
    <w:rsid w:val="00FA5735"/>
    <w:rsid w:val="00FA588E"/>
    <w:rsid w:val="00FA5927"/>
    <w:rsid w:val="00FA595D"/>
    <w:rsid w:val="00FA5CAD"/>
    <w:rsid w:val="00FA5CC6"/>
    <w:rsid w:val="00FA5D5F"/>
    <w:rsid w:val="00FA641E"/>
    <w:rsid w:val="00FA6444"/>
    <w:rsid w:val="00FA675A"/>
    <w:rsid w:val="00FA6847"/>
    <w:rsid w:val="00FA68FF"/>
    <w:rsid w:val="00FA690B"/>
    <w:rsid w:val="00FA6A6F"/>
    <w:rsid w:val="00FA6BCF"/>
    <w:rsid w:val="00FA6C3C"/>
    <w:rsid w:val="00FA7046"/>
    <w:rsid w:val="00FA71DA"/>
    <w:rsid w:val="00FA7459"/>
    <w:rsid w:val="00FA7669"/>
    <w:rsid w:val="00FA76B8"/>
    <w:rsid w:val="00FA76EB"/>
    <w:rsid w:val="00FA76FE"/>
    <w:rsid w:val="00FA7A84"/>
    <w:rsid w:val="00FA7BC0"/>
    <w:rsid w:val="00FA7E7A"/>
    <w:rsid w:val="00FA7E8D"/>
    <w:rsid w:val="00FB00F7"/>
    <w:rsid w:val="00FB012F"/>
    <w:rsid w:val="00FB0258"/>
    <w:rsid w:val="00FB02D9"/>
    <w:rsid w:val="00FB0C39"/>
    <w:rsid w:val="00FB0D05"/>
    <w:rsid w:val="00FB0E8A"/>
    <w:rsid w:val="00FB0FA3"/>
    <w:rsid w:val="00FB1060"/>
    <w:rsid w:val="00FB107A"/>
    <w:rsid w:val="00FB10B1"/>
    <w:rsid w:val="00FB11C4"/>
    <w:rsid w:val="00FB11FE"/>
    <w:rsid w:val="00FB127B"/>
    <w:rsid w:val="00FB1404"/>
    <w:rsid w:val="00FB14D5"/>
    <w:rsid w:val="00FB190D"/>
    <w:rsid w:val="00FB1DCF"/>
    <w:rsid w:val="00FB1F70"/>
    <w:rsid w:val="00FB2019"/>
    <w:rsid w:val="00FB209A"/>
    <w:rsid w:val="00FB2453"/>
    <w:rsid w:val="00FB2515"/>
    <w:rsid w:val="00FB25D0"/>
    <w:rsid w:val="00FB268C"/>
    <w:rsid w:val="00FB26A5"/>
    <w:rsid w:val="00FB2727"/>
    <w:rsid w:val="00FB2751"/>
    <w:rsid w:val="00FB2853"/>
    <w:rsid w:val="00FB28B8"/>
    <w:rsid w:val="00FB2A1A"/>
    <w:rsid w:val="00FB2D0E"/>
    <w:rsid w:val="00FB2D8C"/>
    <w:rsid w:val="00FB30A9"/>
    <w:rsid w:val="00FB31B2"/>
    <w:rsid w:val="00FB3203"/>
    <w:rsid w:val="00FB346D"/>
    <w:rsid w:val="00FB39B0"/>
    <w:rsid w:val="00FB3AE1"/>
    <w:rsid w:val="00FB3AF3"/>
    <w:rsid w:val="00FB3BBC"/>
    <w:rsid w:val="00FB3BDC"/>
    <w:rsid w:val="00FB3C45"/>
    <w:rsid w:val="00FB3E52"/>
    <w:rsid w:val="00FB422B"/>
    <w:rsid w:val="00FB438C"/>
    <w:rsid w:val="00FB440E"/>
    <w:rsid w:val="00FB446A"/>
    <w:rsid w:val="00FB451E"/>
    <w:rsid w:val="00FB454B"/>
    <w:rsid w:val="00FB4575"/>
    <w:rsid w:val="00FB4668"/>
    <w:rsid w:val="00FB46ED"/>
    <w:rsid w:val="00FB49D6"/>
    <w:rsid w:val="00FB4B11"/>
    <w:rsid w:val="00FB4B38"/>
    <w:rsid w:val="00FB4BC4"/>
    <w:rsid w:val="00FB4C18"/>
    <w:rsid w:val="00FB4D1F"/>
    <w:rsid w:val="00FB4E04"/>
    <w:rsid w:val="00FB4F2F"/>
    <w:rsid w:val="00FB4FDC"/>
    <w:rsid w:val="00FB51B6"/>
    <w:rsid w:val="00FB5458"/>
    <w:rsid w:val="00FB55B6"/>
    <w:rsid w:val="00FB56D2"/>
    <w:rsid w:val="00FB586A"/>
    <w:rsid w:val="00FB5B64"/>
    <w:rsid w:val="00FB5EA0"/>
    <w:rsid w:val="00FB5EFC"/>
    <w:rsid w:val="00FB6008"/>
    <w:rsid w:val="00FB6385"/>
    <w:rsid w:val="00FB63DB"/>
    <w:rsid w:val="00FB65E0"/>
    <w:rsid w:val="00FB6845"/>
    <w:rsid w:val="00FB6974"/>
    <w:rsid w:val="00FB6EF3"/>
    <w:rsid w:val="00FB7063"/>
    <w:rsid w:val="00FB71C4"/>
    <w:rsid w:val="00FB7274"/>
    <w:rsid w:val="00FB788E"/>
    <w:rsid w:val="00FB7A37"/>
    <w:rsid w:val="00FB7CA7"/>
    <w:rsid w:val="00FC0078"/>
    <w:rsid w:val="00FC01C9"/>
    <w:rsid w:val="00FC032B"/>
    <w:rsid w:val="00FC03CE"/>
    <w:rsid w:val="00FC03D0"/>
    <w:rsid w:val="00FC0625"/>
    <w:rsid w:val="00FC08F4"/>
    <w:rsid w:val="00FC0B64"/>
    <w:rsid w:val="00FC0BAA"/>
    <w:rsid w:val="00FC0C5A"/>
    <w:rsid w:val="00FC0C6B"/>
    <w:rsid w:val="00FC0CB2"/>
    <w:rsid w:val="00FC0F99"/>
    <w:rsid w:val="00FC132E"/>
    <w:rsid w:val="00FC1343"/>
    <w:rsid w:val="00FC1413"/>
    <w:rsid w:val="00FC195C"/>
    <w:rsid w:val="00FC1CAF"/>
    <w:rsid w:val="00FC1E9B"/>
    <w:rsid w:val="00FC222C"/>
    <w:rsid w:val="00FC2581"/>
    <w:rsid w:val="00FC25B7"/>
    <w:rsid w:val="00FC28AA"/>
    <w:rsid w:val="00FC28C6"/>
    <w:rsid w:val="00FC290B"/>
    <w:rsid w:val="00FC2A67"/>
    <w:rsid w:val="00FC2B9E"/>
    <w:rsid w:val="00FC2CBC"/>
    <w:rsid w:val="00FC31F4"/>
    <w:rsid w:val="00FC374F"/>
    <w:rsid w:val="00FC3790"/>
    <w:rsid w:val="00FC3AF0"/>
    <w:rsid w:val="00FC3C71"/>
    <w:rsid w:val="00FC3DDE"/>
    <w:rsid w:val="00FC3E6C"/>
    <w:rsid w:val="00FC42E7"/>
    <w:rsid w:val="00FC432F"/>
    <w:rsid w:val="00FC4426"/>
    <w:rsid w:val="00FC44BD"/>
    <w:rsid w:val="00FC4690"/>
    <w:rsid w:val="00FC46DB"/>
    <w:rsid w:val="00FC4A89"/>
    <w:rsid w:val="00FC4AE3"/>
    <w:rsid w:val="00FC4BC4"/>
    <w:rsid w:val="00FC4C1A"/>
    <w:rsid w:val="00FC4FB3"/>
    <w:rsid w:val="00FC5197"/>
    <w:rsid w:val="00FC5199"/>
    <w:rsid w:val="00FC5228"/>
    <w:rsid w:val="00FC5301"/>
    <w:rsid w:val="00FC5B8B"/>
    <w:rsid w:val="00FC5CCA"/>
    <w:rsid w:val="00FC5EFB"/>
    <w:rsid w:val="00FC5F4E"/>
    <w:rsid w:val="00FC64EF"/>
    <w:rsid w:val="00FC663D"/>
    <w:rsid w:val="00FC6695"/>
    <w:rsid w:val="00FC672E"/>
    <w:rsid w:val="00FC6758"/>
    <w:rsid w:val="00FC6769"/>
    <w:rsid w:val="00FC6813"/>
    <w:rsid w:val="00FC69C1"/>
    <w:rsid w:val="00FC6F03"/>
    <w:rsid w:val="00FC73CE"/>
    <w:rsid w:val="00FC74B2"/>
    <w:rsid w:val="00FC77C0"/>
    <w:rsid w:val="00FC7877"/>
    <w:rsid w:val="00FC7AA8"/>
    <w:rsid w:val="00FC7ED6"/>
    <w:rsid w:val="00FD001C"/>
    <w:rsid w:val="00FD036A"/>
    <w:rsid w:val="00FD043A"/>
    <w:rsid w:val="00FD0459"/>
    <w:rsid w:val="00FD04E0"/>
    <w:rsid w:val="00FD05B1"/>
    <w:rsid w:val="00FD062C"/>
    <w:rsid w:val="00FD0AE3"/>
    <w:rsid w:val="00FD0B3A"/>
    <w:rsid w:val="00FD1043"/>
    <w:rsid w:val="00FD1552"/>
    <w:rsid w:val="00FD161A"/>
    <w:rsid w:val="00FD1AA3"/>
    <w:rsid w:val="00FD1FA1"/>
    <w:rsid w:val="00FD1FA2"/>
    <w:rsid w:val="00FD216C"/>
    <w:rsid w:val="00FD24D7"/>
    <w:rsid w:val="00FD24E8"/>
    <w:rsid w:val="00FD24F2"/>
    <w:rsid w:val="00FD2661"/>
    <w:rsid w:val="00FD2A24"/>
    <w:rsid w:val="00FD2AD7"/>
    <w:rsid w:val="00FD2D02"/>
    <w:rsid w:val="00FD30C0"/>
    <w:rsid w:val="00FD33CE"/>
    <w:rsid w:val="00FD3409"/>
    <w:rsid w:val="00FD3AAE"/>
    <w:rsid w:val="00FD3C69"/>
    <w:rsid w:val="00FD3C97"/>
    <w:rsid w:val="00FD3D7A"/>
    <w:rsid w:val="00FD3E9B"/>
    <w:rsid w:val="00FD4000"/>
    <w:rsid w:val="00FD40C9"/>
    <w:rsid w:val="00FD41A2"/>
    <w:rsid w:val="00FD41C7"/>
    <w:rsid w:val="00FD4258"/>
    <w:rsid w:val="00FD451C"/>
    <w:rsid w:val="00FD4880"/>
    <w:rsid w:val="00FD4A1B"/>
    <w:rsid w:val="00FD4AA9"/>
    <w:rsid w:val="00FD4AEB"/>
    <w:rsid w:val="00FD4B08"/>
    <w:rsid w:val="00FD4D42"/>
    <w:rsid w:val="00FD4E1B"/>
    <w:rsid w:val="00FD5068"/>
    <w:rsid w:val="00FD5319"/>
    <w:rsid w:val="00FD5430"/>
    <w:rsid w:val="00FD5554"/>
    <w:rsid w:val="00FD5601"/>
    <w:rsid w:val="00FD5611"/>
    <w:rsid w:val="00FD584C"/>
    <w:rsid w:val="00FD5A80"/>
    <w:rsid w:val="00FD5B6B"/>
    <w:rsid w:val="00FD5C19"/>
    <w:rsid w:val="00FD627B"/>
    <w:rsid w:val="00FD6861"/>
    <w:rsid w:val="00FD6EB1"/>
    <w:rsid w:val="00FD6EE1"/>
    <w:rsid w:val="00FD6F5C"/>
    <w:rsid w:val="00FD707E"/>
    <w:rsid w:val="00FD7173"/>
    <w:rsid w:val="00FD727B"/>
    <w:rsid w:val="00FD7544"/>
    <w:rsid w:val="00FD772D"/>
    <w:rsid w:val="00FD7B7C"/>
    <w:rsid w:val="00FD7C0A"/>
    <w:rsid w:val="00FD7CBB"/>
    <w:rsid w:val="00FD7FBA"/>
    <w:rsid w:val="00FE0116"/>
    <w:rsid w:val="00FE023A"/>
    <w:rsid w:val="00FE0263"/>
    <w:rsid w:val="00FE02D0"/>
    <w:rsid w:val="00FE0371"/>
    <w:rsid w:val="00FE0989"/>
    <w:rsid w:val="00FE09F5"/>
    <w:rsid w:val="00FE0AB2"/>
    <w:rsid w:val="00FE0E51"/>
    <w:rsid w:val="00FE0E72"/>
    <w:rsid w:val="00FE103E"/>
    <w:rsid w:val="00FE175F"/>
    <w:rsid w:val="00FE17CD"/>
    <w:rsid w:val="00FE17CF"/>
    <w:rsid w:val="00FE18CF"/>
    <w:rsid w:val="00FE1900"/>
    <w:rsid w:val="00FE19F1"/>
    <w:rsid w:val="00FE1A0F"/>
    <w:rsid w:val="00FE1A2E"/>
    <w:rsid w:val="00FE1B19"/>
    <w:rsid w:val="00FE1C22"/>
    <w:rsid w:val="00FE20A7"/>
    <w:rsid w:val="00FE21ED"/>
    <w:rsid w:val="00FE23BC"/>
    <w:rsid w:val="00FE2623"/>
    <w:rsid w:val="00FE2646"/>
    <w:rsid w:val="00FE280C"/>
    <w:rsid w:val="00FE2837"/>
    <w:rsid w:val="00FE29BE"/>
    <w:rsid w:val="00FE2A51"/>
    <w:rsid w:val="00FE2C8D"/>
    <w:rsid w:val="00FE2CE5"/>
    <w:rsid w:val="00FE2F3E"/>
    <w:rsid w:val="00FE2FA0"/>
    <w:rsid w:val="00FE313B"/>
    <w:rsid w:val="00FE333A"/>
    <w:rsid w:val="00FE33C7"/>
    <w:rsid w:val="00FE33FE"/>
    <w:rsid w:val="00FE349C"/>
    <w:rsid w:val="00FE3695"/>
    <w:rsid w:val="00FE36D0"/>
    <w:rsid w:val="00FE37B0"/>
    <w:rsid w:val="00FE37BE"/>
    <w:rsid w:val="00FE38AE"/>
    <w:rsid w:val="00FE394F"/>
    <w:rsid w:val="00FE3C5C"/>
    <w:rsid w:val="00FE4046"/>
    <w:rsid w:val="00FE4159"/>
    <w:rsid w:val="00FE41D5"/>
    <w:rsid w:val="00FE4820"/>
    <w:rsid w:val="00FE48C2"/>
    <w:rsid w:val="00FE4938"/>
    <w:rsid w:val="00FE4A1F"/>
    <w:rsid w:val="00FE4F1F"/>
    <w:rsid w:val="00FE5068"/>
    <w:rsid w:val="00FE5368"/>
    <w:rsid w:val="00FE5471"/>
    <w:rsid w:val="00FE5522"/>
    <w:rsid w:val="00FE558C"/>
    <w:rsid w:val="00FE5716"/>
    <w:rsid w:val="00FE5A43"/>
    <w:rsid w:val="00FE5AD5"/>
    <w:rsid w:val="00FE5B43"/>
    <w:rsid w:val="00FE5E43"/>
    <w:rsid w:val="00FE5FFB"/>
    <w:rsid w:val="00FE6088"/>
    <w:rsid w:val="00FE6353"/>
    <w:rsid w:val="00FE6593"/>
    <w:rsid w:val="00FE65D9"/>
    <w:rsid w:val="00FE661E"/>
    <w:rsid w:val="00FE668B"/>
    <w:rsid w:val="00FE692C"/>
    <w:rsid w:val="00FE6A36"/>
    <w:rsid w:val="00FE6D74"/>
    <w:rsid w:val="00FE6EFC"/>
    <w:rsid w:val="00FE7021"/>
    <w:rsid w:val="00FE706F"/>
    <w:rsid w:val="00FE70AF"/>
    <w:rsid w:val="00FE70F8"/>
    <w:rsid w:val="00FE76F7"/>
    <w:rsid w:val="00FE775B"/>
    <w:rsid w:val="00FE7879"/>
    <w:rsid w:val="00FE7944"/>
    <w:rsid w:val="00FE7A65"/>
    <w:rsid w:val="00FE7AFB"/>
    <w:rsid w:val="00FE7BBA"/>
    <w:rsid w:val="00FE7BDF"/>
    <w:rsid w:val="00FE7CC9"/>
    <w:rsid w:val="00FE7D3A"/>
    <w:rsid w:val="00FE7E6D"/>
    <w:rsid w:val="00FF006E"/>
    <w:rsid w:val="00FF0571"/>
    <w:rsid w:val="00FF0658"/>
    <w:rsid w:val="00FF06A6"/>
    <w:rsid w:val="00FF085F"/>
    <w:rsid w:val="00FF0CCF"/>
    <w:rsid w:val="00FF0D46"/>
    <w:rsid w:val="00FF0E76"/>
    <w:rsid w:val="00FF0EC0"/>
    <w:rsid w:val="00FF11F0"/>
    <w:rsid w:val="00FF1525"/>
    <w:rsid w:val="00FF1528"/>
    <w:rsid w:val="00FF158C"/>
    <w:rsid w:val="00FF1725"/>
    <w:rsid w:val="00FF1A46"/>
    <w:rsid w:val="00FF1A4E"/>
    <w:rsid w:val="00FF1AA4"/>
    <w:rsid w:val="00FF1F71"/>
    <w:rsid w:val="00FF2036"/>
    <w:rsid w:val="00FF2091"/>
    <w:rsid w:val="00FF219E"/>
    <w:rsid w:val="00FF23DC"/>
    <w:rsid w:val="00FF248D"/>
    <w:rsid w:val="00FF24A5"/>
    <w:rsid w:val="00FF25D8"/>
    <w:rsid w:val="00FF2D59"/>
    <w:rsid w:val="00FF2E1A"/>
    <w:rsid w:val="00FF316C"/>
    <w:rsid w:val="00FF31E9"/>
    <w:rsid w:val="00FF345F"/>
    <w:rsid w:val="00FF3503"/>
    <w:rsid w:val="00FF3725"/>
    <w:rsid w:val="00FF3777"/>
    <w:rsid w:val="00FF3A06"/>
    <w:rsid w:val="00FF3BBF"/>
    <w:rsid w:val="00FF3C8C"/>
    <w:rsid w:val="00FF3D41"/>
    <w:rsid w:val="00FF4085"/>
    <w:rsid w:val="00FF4108"/>
    <w:rsid w:val="00FF4670"/>
    <w:rsid w:val="00FF491C"/>
    <w:rsid w:val="00FF495A"/>
    <w:rsid w:val="00FF4B2B"/>
    <w:rsid w:val="00FF4C43"/>
    <w:rsid w:val="00FF4C72"/>
    <w:rsid w:val="00FF4D72"/>
    <w:rsid w:val="00FF4DF4"/>
    <w:rsid w:val="00FF50D4"/>
    <w:rsid w:val="00FF51DC"/>
    <w:rsid w:val="00FF5346"/>
    <w:rsid w:val="00FF54C1"/>
    <w:rsid w:val="00FF556C"/>
    <w:rsid w:val="00FF55D4"/>
    <w:rsid w:val="00FF5632"/>
    <w:rsid w:val="00FF584E"/>
    <w:rsid w:val="00FF58A5"/>
    <w:rsid w:val="00FF5A42"/>
    <w:rsid w:val="00FF5AD4"/>
    <w:rsid w:val="00FF5B16"/>
    <w:rsid w:val="00FF5C81"/>
    <w:rsid w:val="00FF5F96"/>
    <w:rsid w:val="00FF604D"/>
    <w:rsid w:val="00FF6255"/>
    <w:rsid w:val="00FF6437"/>
    <w:rsid w:val="00FF65EE"/>
    <w:rsid w:val="00FF65F5"/>
    <w:rsid w:val="00FF6873"/>
    <w:rsid w:val="00FF6A56"/>
    <w:rsid w:val="00FF6DC8"/>
    <w:rsid w:val="00FF6FB1"/>
    <w:rsid w:val="00FF75B4"/>
    <w:rsid w:val="00FF76A1"/>
    <w:rsid w:val="00FF76C3"/>
    <w:rsid w:val="00FF76E2"/>
    <w:rsid w:val="00FF781D"/>
    <w:rsid w:val="00FF7D2D"/>
    <w:rsid w:val="00FF7F0C"/>
    <w:rsid w:val="00FF7F3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54DAE"/>
  <w15:chartTrackingRefBased/>
  <w15:docId w15:val="{CFA4B812-EA65-4E27-BB43-06A1015C0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zh-CN"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uiPriority="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qFormat="1"/>
    <w:lsdException w:name="List Bullet 3" w:uiPriority="2"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4"/>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4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44" w:qFormat="1"/>
    <w:lsdException w:name="Intense Emphasis" w:semiHidden="1" w:uiPriority="44" w:qFormat="1"/>
    <w:lsdException w:name="Subtle Reference" w:semiHidden="1" w:uiPriority="44" w:qFormat="1"/>
    <w:lsdException w:name="Intense Reference" w:semiHidden="1" w:uiPriority="44" w:qFormat="1"/>
    <w:lsdException w:name="Book Title" w:semiHidden="1" w:uiPriority="44"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9"/>
    <w:qFormat/>
    <w:rsid w:val="00A7721B"/>
  </w:style>
  <w:style w:type="paragraph" w:styleId="Heading1">
    <w:name w:val="heading 1"/>
    <w:basedOn w:val="Normal"/>
    <w:next w:val="Normal"/>
    <w:link w:val="Heading1Char"/>
    <w:uiPriority w:val="1"/>
    <w:qFormat/>
    <w:rsid w:val="00393C7E"/>
    <w:pPr>
      <w:keepNext/>
      <w:keepLines/>
      <w:pageBreakBefore/>
      <w:numPr>
        <w:numId w:val="2"/>
      </w:numPr>
      <w:spacing w:after="360" w:line="240" w:lineRule="auto"/>
      <w:outlineLvl w:val="0"/>
    </w:pPr>
    <w:rPr>
      <w:rFonts w:asciiTheme="majorHAnsi" w:eastAsiaTheme="majorEastAsia" w:hAnsiTheme="majorHAnsi" w:cstheme="majorBidi"/>
      <w:b/>
      <w:color w:val="009EDB" w:themeColor="accent1"/>
      <w:sz w:val="32"/>
      <w:szCs w:val="32"/>
    </w:rPr>
  </w:style>
  <w:style w:type="paragraph" w:styleId="Heading2">
    <w:name w:val="heading 2"/>
    <w:basedOn w:val="Normal"/>
    <w:next w:val="Normal"/>
    <w:link w:val="Heading2Char"/>
    <w:uiPriority w:val="1"/>
    <w:qFormat/>
    <w:rsid w:val="00C45F94"/>
    <w:pPr>
      <w:keepNext/>
      <w:keepLines/>
      <w:numPr>
        <w:ilvl w:val="1"/>
        <w:numId w:val="2"/>
      </w:numPr>
      <w:spacing w:before="360" w:after="240" w:line="240" w:lineRule="auto"/>
      <w:outlineLvl w:val="1"/>
    </w:pPr>
    <w:rPr>
      <w:rFonts w:asciiTheme="majorHAnsi" w:eastAsiaTheme="majorEastAsia" w:hAnsiTheme="majorHAnsi" w:cstheme="majorBidi"/>
      <w:b/>
      <w:color w:val="0075A4" w:themeColor="accent1" w:themeShade="BF"/>
      <w:sz w:val="22"/>
      <w:szCs w:val="26"/>
      <w:lang w:eastAsia="en-US"/>
    </w:rPr>
  </w:style>
  <w:style w:type="paragraph" w:styleId="Heading3">
    <w:name w:val="heading 3"/>
    <w:basedOn w:val="Normal"/>
    <w:next w:val="Normal"/>
    <w:link w:val="Heading3Char"/>
    <w:uiPriority w:val="1"/>
    <w:qFormat/>
    <w:rsid w:val="00E70DAB"/>
    <w:pPr>
      <w:keepNext/>
      <w:keepLines/>
      <w:numPr>
        <w:ilvl w:val="2"/>
        <w:numId w:val="2"/>
      </w:numPr>
      <w:spacing w:before="240" w:after="120" w:line="240" w:lineRule="auto"/>
      <w:outlineLvl w:val="2"/>
    </w:pPr>
    <w:rPr>
      <w:rFonts w:asciiTheme="majorHAnsi" w:eastAsiaTheme="majorEastAsia" w:hAnsiTheme="majorHAnsi" w:cstheme="majorBidi"/>
      <w:b/>
      <w:color w:val="595959" w:themeColor="text1" w:themeTint="A6"/>
      <w:sz w:val="21"/>
    </w:rPr>
  </w:style>
  <w:style w:type="paragraph" w:styleId="Heading4">
    <w:name w:val="heading 4"/>
    <w:basedOn w:val="Heading3"/>
    <w:next w:val="Normal"/>
    <w:link w:val="Heading4Char"/>
    <w:uiPriority w:val="1"/>
    <w:qFormat/>
    <w:rsid w:val="00E70DAB"/>
    <w:pPr>
      <w:keepLines w:val="0"/>
      <w:numPr>
        <w:ilvl w:val="3"/>
      </w:numPr>
      <w:ind w:left="709" w:hanging="709"/>
      <w:jc w:val="both"/>
      <w:outlineLvl w:val="3"/>
    </w:pPr>
    <w:rPr>
      <w:rFonts w:eastAsia="Times New Roman" w:cs="Times New Roman"/>
      <w:b w:val="0"/>
      <w:color w:val="1F497D" w:themeColor="text2"/>
      <w:lang w:val="en-CA" w:eastAsia="en-US"/>
    </w:rPr>
  </w:style>
  <w:style w:type="paragraph" w:styleId="Heading5">
    <w:name w:val="heading 5"/>
    <w:basedOn w:val="Normal"/>
    <w:next w:val="Normal"/>
    <w:link w:val="Heading5Char"/>
    <w:uiPriority w:val="44"/>
    <w:semiHidden/>
    <w:qFormat/>
    <w:rsid w:val="001D6108"/>
    <w:pPr>
      <w:keepNext/>
      <w:pBdr>
        <w:bottom w:val="single" w:sz="12" w:space="1" w:color="auto"/>
      </w:pBdr>
      <w:tabs>
        <w:tab w:val="num" w:pos="151"/>
        <w:tab w:val="left" w:pos="504"/>
        <w:tab w:val="right" w:leader="underscore" w:pos="9360"/>
      </w:tabs>
      <w:spacing w:before="240" w:after="120"/>
      <w:ind w:left="-209"/>
      <w:jc w:val="both"/>
      <w:outlineLvl w:val="4"/>
    </w:pPr>
    <w:rPr>
      <w:rFonts w:ascii="Arial Rounded MT Bold" w:eastAsiaTheme="minorHAnsi" w:hAnsi="Arial Rounded MT Bold"/>
      <w:b/>
      <w:i/>
      <w:kern w:val="2"/>
      <w:sz w:val="28"/>
      <w:szCs w:val="22"/>
      <w:lang w:val="en-CA" w:eastAsia="en-US"/>
      <w14:ligatures w14:val="standardContextual"/>
    </w:rPr>
  </w:style>
  <w:style w:type="paragraph" w:styleId="Heading6">
    <w:name w:val="heading 6"/>
    <w:basedOn w:val="Heading5"/>
    <w:next w:val="Normal"/>
    <w:link w:val="Heading6Char"/>
    <w:uiPriority w:val="44"/>
    <w:semiHidden/>
    <w:qFormat/>
    <w:rsid w:val="001D6108"/>
    <w:pPr>
      <w:keepNext w:val="0"/>
      <w:pBdr>
        <w:bottom w:val="none" w:sz="0" w:space="0" w:color="auto"/>
      </w:pBdr>
      <w:tabs>
        <w:tab w:val="clear" w:pos="151"/>
        <w:tab w:val="clear" w:pos="504"/>
        <w:tab w:val="num" w:pos="511"/>
      </w:tabs>
      <w:spacing w:before="120"/>
      <w:outlineLvl w:val="5"/>
    </w:pPr>
    <w:rPr>
      <w:rFonts w:ascii="Times New Roman" w:hAnsi="Times New Roman"/>
      <w:b w:val="0"/>
      <w:i w:val="0"/>
      <w:sz w:val="22"/>
    </w:rPr>
  </w:style>
  <w:style w:type="paragraph" w:styleId="Heading7">
    <w:name w:val="heading 7"/>
    <w:basedOn w:val="Normal"/>
    <w:next w:val="Normal"/>
    <w:link w:val="Heading7Char"/>
    <w:uiPriority w:val="44"/>
    <w:semiHidden/>
    <w:qFormat/>
    <w:rsid w:val="001D6108"/>
    <w:pPr>
      <w:tabs>
        <w:tab w:val="num" w:pos="1807"/>
        <w:tab w:val="left" w:pos="2160"/>
      </w:tabs>
      <w:spacing w:before="240" w:after="120"/>
      <w:ind w:left="-209"/>
      <w:jc w:val="both"/>
      <w:outlineLvl w:val="6"/>
    </w:pPr>
    <w:rPr>
      <w:rFonts w:eastAsiaTheme="minorHAnsi"/>
      <w:b/>
      <w:kern w:val="2"/>
      <w:szCs w:val="22"/>
      <w:lang w:val="en-CA" w:eastAsia="en-US"/>
      <w14:ligatures w14:val="standardContextual"/>
    </w:rPr>
  </w:style>
  <w:style w:type="paragraph" w:styleId="Heading8">
    <w:name w:val="heading 8"/>
    <w:basedOn w:val="Normal"/>
    <w:next w:val="Normal"/>
    <w:link w:val="Heading8Char"/>
    <w:uiPriority w:val="44"/>
    <w:semiHidden/>
    <w:qFormat/>
    <w:rsid w:val="0078408C"/>
    <w:pPr>
      <w:keepNext/>
      <w:tabs>
        <w:tab w:val="num" w:pos="5760"/>
      </w:tabs>
      <w:spacing w:before="240" w:line="240" w:lineRule="auto"/>
      <w:ind w:left="1080" w:hanging="1080"/>
      <w:jc w:val="both"/>
      <w:outlineLvl w:val="7"/>
    </w:pPr>
    <w:rPr>
      <w:rFonts w:eastAsia="Times New Roman" w:cs="Times New Roman"/>
      <w:b/>
      <w:lang w:val="en-US" w:eastAsia="en-US"/>
    </w:rPr>
  </w:style>
  <w:style w:type="paragraph" w:styleId="Heading9">
    <w:name w:val="heading 9"/>
    <w:basedOn w:val="Normal"/>
    <w:next w:val="Normal"/>
    <w:link w:val="Heading9Char"/>
    <w:uiPriority w:val="1"/>
    <w:qFormat/>
    <w:rsid w:val="005A1C19"/>
    <w:pPr>
      <w:keepNext/>
      <w:keepLines/>
      <w:pageBreakBefore/>
      <w:spacing w:after="360"/>
      <w:outlineLvl w:val="8"/>
    </w:pPr>
    <w:rPr>
      <w:rFonts w:asciiTheme="majorHAnsi" w:hAnsiTheme="majorHAnsi"/>
      <w:b/>
      <w:bCs/>
      <w:color w:val="009EDB" w:themeColor="accent1"/>
      <w:sz w:val="32"/>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rsid w:val="009554C9"/>
    <w:pPr>
      <w:ind w:left="720"/>
      <w:contextualSpacing/>
    </w:pPr>
  </w:style>
  <w:style w:type="paragraph" w:styleId="Header">
    <w:name w:val="header"/>
    <w:basedOn w:val="Normal"/>
    <w:link w:val="HeaderChar"/>
    <w:uiPriority w:val="28"/>
    <w:rsid w:val="009554C9"/>
    <w:pPr>
      <w:tabs>
        <w:tab w:val="center" w:pos="4153"/>
        <w:tab w:val="right" w:pos="8306"/>
      </w:tabs>
    </w:pPr>
  </w:style>
  <w:style w:type="character" w:customStyle="1" w:styleId="HeaderChar">
    <w:name w:val="Header Char"/>
    <w:basedOn w:val="DefaultParagraphFont"/>
    <w:link w:val="Header"/>
    <w:uiPriority w:val="28"/>
    <w:rsid w:val="00B63B85"/>
  </w:style>
  <w:style w:type="character" w:styleId="CommentReference">
    <w:name w:val="annotation reference"/>
    <w:basedOn w:val="DefaultParagraphFont"/>
    <w:uiPriority w:val="44"/>
    <w:semiHidden/>
    <w:rsid w:val="009554C9"/>
    <w:rPr>
      <w:sz w:val="16"/>
      <w:szCs w:val="16"/>
    </w:rPr>
  </w:style>
  <w:style w:type="paragraph" w:styleId="CommentText">
    <w:name w:val="annotation text"/>
    <w:basedOn w:val="Normal"/>
    <w:link w:val="CommentTextChar"/>
    <w:uiPriority w:val="99"/>
    <w:unhideWhenUsed/>
    <w:rsid w:val="009554C9"/>
  </w:style>
  <w:style w:type="character" w:customStyle="1" w:styleId="CommentTextChar">
    <w:name w:val="Comment Text Char"/>
    <w:basedOn w:val="DefaultParagraphFont"/>
    <w:link w:val="CommentText"/>
    <w:uiPriority w:val="99"/>
    <w:rsid w:val="009554C9"/>
    <w:rPr>
      <w:rFonts w:ascii="Times New Roman" w:eastAsia="Times New Roman" w:hAnsi="Times New Roman" w:cs="Times New Roman"/>
      <w:sz w:val="20"/>
      <w:szCs w:val="20"/>
      <w:lang w:eastAsia="en-GB"/>
    </w:rPr>
  </w:style>
  <w:style w:type="paragraph" w:styleId="FootnoteText">
    <w:name w:val="footnote text"/>
    <w:aliases w:val="Texto nota pie Car Car Car,FOOTNOTES,fn,single space,Footnote Text Char Char Char,Footnote Text1 Char,Footnote Text2,Footnote Text Char Char Char1 Char,Footnote Text Char Char Char1,ft,ADB,f,Footnote Text Char2 Char,tex,06_BIJSCHRIFT,F"/>
    <w:basedOn w:val="Normal"/>
    <w:link w:val="FootnoteTextChar"/>
    <w:uiPriority w:val="99"/>
    <w:qFormat/>
    <w:rsid w:val="00DF5787"/>
    <w:rPr>
      <w:sz w:val="18"/>
      <w:lang w:eastAsia="en-US"/>
    </w:rPr>
  </w:style>
  <w:style w:type="character" w:customStyle="1" w:styleId="FootnoteTextChar">
    <w:name w:val="Footnote Text Char"/>
    <w:aliases w:val="Texto nota pie Car Car Car Char,FOOTNOTES Char,fn Char,single space Char,Footnote Text Char Char Char Char,Footnote Text1 Char Char,Footnote Text2 Char,Footnote Text Char Char Char1 Char Char,Footnote Text Char Char Char1 Char1,f Char"/>
    <w:basedOn w:val="DefaultParagraphFont"/>
    <w:link w:val="FootnoteText"/>
    <w:uiPriority w:val="99"/>
    <w:rsid w:val="00663FFD"/>
    <w:rPr>
      <w:sz w:val="18"/>
      <w:lang w:eastAsia="en-US"/>
    </w:rPr>
  </w:style>
  <w:style w:type="paragraph" w:styleId="Footer">
    <w:name w:val="footer"/>
    <w:basedOn w:val="Normal"/>
    <w:link w:val="FooterChar"/>
    <w:uiPriority w:val="29"/>
    <w:rsid w:val="00E70DAB"/>
    <w:pPr>
      <w:tabs>
        <w:tab w:val="right" w:pos="9639"/>
      </w:tabs>
      <w:spacing w:line="240" w:lineRule="auto"/>
      <w:ind w:right="3549"/>
    </w:pPr>
    <w:rPr>
      <w:sz w:val="18"/>
    </w:rPr>
  </w:style>
  <w:style w:type="character" w:customStyle="1" w:styleId="FooterChar">
    <w:name w:val="Footer Char"/>
    <w:basedOn w:val="DefaultParagraphFont"/>
    <w:link w:val="Footer"/>
    <w:uiPriority w:val="29"/>
    <w:rsid w:val="00A7721B"/>
    <w:rPr>
      <w:sz w:val="18"/>
    </w:rPr>
  </w:style>
  <w:style w:type="character" w:styleId="Hyperlink">
    <w:name w:val="Hyperlink"/>
    <w:basedOn w:val="DefaultParagraphFont"/>
    <w:uiPriority w:val="99"/>
    <w:unhideWhenUsed/>
    <w:rsid w:val="00C45F94"/>
    <w:rPr>
      <w:color w:val="1F497D" w:themeColor="text2"/>
      <w:u w:val="single"/>
    </w:rPr>
  </w:style>
  <w:style w:type="character" w:styleId="Mention">
    <w:name w:val="Mention"/>
    <w:basedOn w:val="DefaultParagraphFont"/>
    <w:uiPriority w:val="99"/>
    <w:semiHidden/>
    <w:unhideWhenUsed/>
    <w:rsid w:val="008C7A20"/>
    <w:rPr>
      <w:color w:val="2B579A"/>
      <w:shd w:val="clear" w:color="auto" w:fill="E6E6E6"/>
    </w:rPr>
  </w:style>
  <w:style w:type="table" w:styleId="TableGrid">
    <w:name w:val="Table Grid"/>
    <w:basedOn w:val="TableNormal"/>
    <w:uiPriority w:val="59"/>
    <w:rsid w:val="00EF2EA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44"/>
    <w:semiHidden/>
    <w:rsid w:val="00855821"/>
    <w:rPr>
      <w:b/>
      <w:bCs/>
    </w:rPr>
  </w:style>
  <w:style w:type="character" w:customStyle="1" w:styleId="CommentSubjectChar">
    <w:name w:val="Comment Subject Char"/>
    <w:basedOn w:val="CommentTextChar"/>
    <w:link w:val="CommentSubject"/>
    <w:uiPriority w:val="44"/>
    <w:semiHidden/>
    <w:rsid w:val="00037A28"/>
    <w:rPr>
      <w:rFonts w:ascii="Times New Roman" w:eastAsia="Times New Roman" w:hAnsi="Times New Roman" w:cs="Times New Roman"/>
      <w:b/>
      <w:bCs/>
      <w:sz w:val="20"/>
      <w:szCs w:val="20"/>
      <w:lang w:eastAsia="en-GB"/>
    </w:rPr>
  </w:style>
  <w:style w:type="paragraph" w:styleId="Revision">
    <w:name w:val="Revision"/>
    <w:hidden/>
    <w:uiPriority w:val="99"/>
    <w:semiHidden/>
    <w:rsid w:val="000D45E1"/>
    <w:pPr>
      <w:spacing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44"/>
    <w:semiHidden/>
    <w:rsid w:val="00CD0200"/>
    <w:rPr>
      <w:color w:val="800080" w:themeColor="followedHyperlink"/>
      <w:u w:val="single"/>
    </w:rPr>
  </w:style>
  <w:style w:type="character" w:customStyle="1" w:styleId="Heading2Char">
    <w:name w:val="Heading 2 Char"/>
    <w:basedOn w:val="DefaultParagraphFont"/>
    <w:link w:val="Heading2"/>
    <w:uiPriority w:val="1"/>
    <w:rsid w:val="00B63B85"/>
    <w:rPr>
      <w:rFonts w:asciiTheme="majorHAnsi" w:eastAsiaTheme="majorEastAsia" w:hAnsiTheme="majorHAnsi" w:cstheme="majorBidi"/>
      <w:b/>
      <w:color w:val="0075A4" w:themeColor="accent1" w:themeShade="BF"/>
      <w:sz w:val="22"/>
      <w:szCs w:val="26"/>
      <w:lang w:eastAsia="en-US"/>
    </w:rPr>
  </w:style>
  <w:style w:type="table" w:styleId="GridTable1Light">
    <w:name w:val="Grid Table 1 Light"/>
    <w:basedOn w:val="TableNormal"/>
    <w:uiPriority w:val="46"/>
    <w:rsid w:val="006D5D5F"/>
    <w:pPr>
      <w:spacing w:line="240" w:lineRule="auto"/>
    </w:pPr>
    <w:rPr>
      <w:rFonts w:eastAsiaTheme="minorHAnsi"/>
      <w:sz w:val="24"/>
      <w:szCs w:val="24"/>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1"/>
    <w:rsid w:val="00B63B85"/>
    <w:rPr>
      <w:rFonts w:asciiTheme="majorHAnsi" w:eastAsiaTheme="majorEastAsia" w:hAnsiTheme="majorHAnsi" w:cstheme="majorBidi"/>
      <w:b/>
      <w:color w:val="009EDB" w:themeColor="accent1"/>
      <w:sz w:val="32"/>
      <w:szCs w:val="32"/>
    </w:rPr>
  </w:style>
  <w:style w:type="character" w:customStyle="1" w:styleId="Heading3Char">
    <w:name w:val="Heading 3 Char"/>
    <w:basedOn w:val="DefaultParagraphFont"/>
    <w:link w:val="Heading3"/>
    <w:uiPriority w:val="1"/>
    <w:rsid w:val="00E70DAB"/>
    <w:rPr>
      <w:rFonts w:asciiTheme="majorHAnsi" w:eastAsiaTheme="majorEastAsia" w:hAnsiTheme="majorHAnsi" w:cstheme="majorBidi"/>
      <w:b/>
      <w:color w:val="595959" w:themeColor="text1" w:themeTint="A6"/>
      <w:sz w:val="21"/>
    </w:rPr>
  </w:style>
  <w:style w:type="paragraph" w:styleId="TOCHeading">
    <w:name w:val="TOC Heading"/>
    <w:basedOn w:val="Normal"/>
    <w:next w:val="Normal"/>
    <w:uiPriority w:val="39"/>
    <w:unhideWhenUsed/>
    <w:qFormat/>
    <w:rsid w:val="00100BF9"/>
    <w:pPr>
      <w:keepNext/>
      <w:spacing w:before="240" w:after="360" w:line="240" w:lineRule="auto"/>
    </w:pPr>
    <w:rPr>
      <w:b/>
      <w:bCs/>
      <w:color w:val="009EDB" w:themeColor="accent1"/>
      <w:sz w:val="32"/>
      <w:szCs w:val="36"/>
      <w:lang w:val="en-US" w:eastAsia="en-US"/>
    </w:rPr>
  </w:style>
  <w:style w:type="paragraph" w:styleId="TOC1">
    <w:name w:val="toc 1"/>
    <w:basedOn w:val="Normal"/>
    <w:next w:val="Normal"/>
    <w:uiPriority w:val="39"/>
    <w:unhideWhenUsed/>
    <w:rsid w:val="000F4002"/>
    <w:pPr>
      <w:tabs>
        <w:tab w:val="right" w:leader="dot" w:pos="9639"/>
      </w:tabs>
      <w:spacing w:after="100"/>
    </w:pPr>
    <w:rPr>
      <w:b/>
      <w:sz w:val="21"/>
      <w:szCs w:val="22"/>
      <w:lang w:val="en-US"/>
    </w:rPr>
  </w:style>
  <w:style w:type="paragraph" w:styleId="TOC2">
    <w:name w:val="toc 2"/>
    <w:basedOn w:val="Normal"/>
    <w:next w:val="Normal"/>
    <w:uiPriority w:val="39"/>
    <w:unhideWhenUsed/>
    <w:rsid w:val="000F4002"/>
    <w:pPr>
      <w:tabs>
        <w:tab w:val="left" w:pos="907"/>
        <w:tab w:val="right" w:leader="dot" w:pos="9639"/>
      </w:tabs>
      <w:spacing w:after="100"/>
      <w:ind w:left="448"/>
    </w:pPr>
    <w:rPr>
      <w:noProof/>
      <w:kern w:val="2"/>
      <w:szCs w:val="24"/>
      <w:lang w:val="en-CA" w:eastAsia="ja-JP"/>
      <w14:ligatures w14:val="standardContextual"/>
    </w:rPr>
  </w:style>
  <w:style w:type="paragraph" w:styleId="TOC3">
    <w:name w:val="toc 3"/>
    <w:basedOn w:val="Normal"/>
    <w:next w:val="Normal"/>
    <w:autoRedefine/>
    <w:uiPriority w:val="39"/>
    <w:unhideWhenUsed/>
    <w:rsid w:val="00875969"/>
    <w:pPr>
      <w:spacing w:after="100"/>
      <w:ind w:left="440"/>
    </w:pPr>
    <w:rPr>
      <w:szCs w:val="22"/>
      <w:lang w:val="en-US"/>
    </w:rPr>
  </w:style>
  <w:style w:type="character" w:styleId="UnresolvedMention">
    <w:name w:val="Unresolved Mention"/>
    <w:basedOn w:val="DefaultParagraphFont"/>
    <w:uiPriority w:val="99"/>
    <w:semiHidden/>
    <w:unhideWhenUsed/>
    <w:rsid w:val="00F06AE7"/>
    <w:rPr>
      <w:color w:val="605E5C"/>
      <w:shd w:val="clear" w:color="auto" w:fill="E1DFDD"/>
    </w:rPr>
  </w:style>
  <w:style w:type="paragraph" w:customStyle="1" w:styleId="Default">
    <w:name w:val="Default"/>
    <w:rsid w:val="006B49DE"/>
    <w:pPr>
      <w:autoSpaceDE w:val="0"/>
      <w:autoSpaceDN w:val="0"/>
      <w:adjustRightInd w:val="0"/>
      <w:spacing w:line="240" w:lineRule="auto"/>
    </w:pPr>
    <w:rPr>
      <w:rFonts w:ascii="Calibri" w:hAnsi="Calibri" w:cs="Calibri"/>
      <w:color w:val="000000"/>
      <w:sz w:val="24"/>
      <w:szCs w:val="24"/>
      <w:lang w:val="en-US"/>
    </w:rPr>
  </w:style>
  <w:style w:type="character" w:customStyle="1" w:styleId="Heading4Char">
    <w:name w:val="Heading 4 Char"/>
    <w:basedOn w:val="DefaultParagraphFont"/>
    <w:link w:val="Heading4"/>
    <w:uiPriority w:val="1"/>
    <w:rsid w:val="00E70DAB"/>
    <w:rPr>
      <w:rFonts w:asciiTheme="majorHAnsi" w:eastAsia="Times New Roman" w:hAnsiTheme="majorHAnsi" w:cs="Times New Roman"/>
      <w:color w:val="1F497D" w:themeColor="text2"/>
      <w:sz w:val="21"/>
      <w:lang w:val="en-CA" w:eastAsia="en-US"/>
    </w:rPr>
  </w:style>
  <w:style w:type="character" w:customStyle="1" w:styleId="Heading5Char">
    <w:name w:val="Heading 5 Char"/>
    <w:basedOn w:val="DefaultParagraphFont"/>
    <w:link w:val="Heading5"/>
    <w:uiPriority w:val="44"/>
    <w:semiHidden/>
    <w:rsid w:val="00F7781B"/>
    <w:rPr>
      <w:rFonts w:ascii="Arial Rounded MT Bold" w:eastAsiaTheme="minorHAnsi" w:hAnsi="Arial Rounded MT Bold"/>
      <w:b/>
      <w:i/>
      <w:kern w:val="2"/>
      <w:sz w:val="28"/>
      <w:lang w:val="en-CA" w:eastAsia="en-US"/>
      <w14:ligatures w14:val="standardContextual"/>
    </w:rPr>
  </w:style>
  <w:style w:type="character" w:customStyle="1" w:styleId="Heading6Char">
    <w:name w:val="Heading 6 Char"/>
    <w:basedOn w:val="DefaultParagraphFont"/>
    <w:link w:val="Heading6"/>
    <w:uiPriority w:val="44"/>
    <w:semiHidden/>
    <w:rsid w:val="00F7781B"/>
    <w:rPr>
      <w:rFonts w:ascii="Times New Roman" w:eastAsiaTheme="minorHAnsi" w:hAnsi="Times New Roman"/>
      <w:kern w:val="2"/>
      <w:lang w:val="en-CA" w:eastAsia="en-US"/>
      <w14:ligatures w14:val="standardContextual"/>
    </w:rPr>
  </w:style>
  <w:style w:type="character" w:customStyle="1" w:styleId="Heading7Char">
    <w:name w:val="Heading 7 Char"/>
    <w:basedOn w:val="DefaultParagraphFont"/>
    <w:link w:val="Heading7"/>
    <w:uiPriority w:val="44"/>
    <w:semiHidden/>
    <w:rsid w:val="00F7781B"/>
    <w:rPr>
      <w:rFonts w:eastAsiaTheme="minorHAnsi"/>
      <w:b/>
      <w:kern w:val="2"/>
      <w:lang w:val="en-CA" w:eastAsia="en-US"/>
      <w14:ligatures w14:val="standardContextual"/>
    </w:rPr>
  </w:style>
  <w:style w:type="character" w:customStyle="1" w:styleId="Heading8Char">
    <w:name w:val="Heading 8 Char"/>
    <w:basedOn w:val="DefaultParagraphFont"/>
    <w:link w:val="Heading8"/>
    <w:uiPriority w:val="44"/>
    <w:semiHidden/>
    <w:rsid w:val="00B63B85"/>
    <w:rPr>
      <w:rFonts w:eastAsia="Times New Roman" w:cs="Times New Roman"/>
      <w:b/>
      <w:lang w:val="en-US" w:eastAsia="en-US"/>
    </w:rPr>
  </w:style>
  <w:style w:type="character" w:customStyle="1" w:styleId="Heading9Char">
    <w:name w:val="Heading 9 Char"/>
    <w:basedOn w:val="DefaultParagraphFont"/>
    <w:link w:val="Heading9"/>
    <w:uiPriority w:val="1"/>
    <w:rsid w:val="00B63B85"/>
    <w:rPr>
      <w:rFonts w:asciiTheme="majorHAnsi" w:hAnsiTheme="majorHAnsi"/>
      <w:b/>
      <w:bCs/>
      <w:color w:val="009EDB" w:themeColor="accent1"/>
      <w:sz w:val="32"/>
      <w:szCs w:val="36"/>
    </w:rPr>
  </w:style>
  <w:style w:type="paragraph" w:customStyle="1" w:styleId="TextboxText">
    <w:name w:val="Textbox Text"/>
    <w:basedOn w:val="Normal"/>
    <w:uiPriority w:val="13"/>
    <w:qFormat/>
    <w:rsid w:val="0016039E"/>
    <w:pPr>
      <w:spacing w:before="120" w:after="120" w:line="240" w:lineRule="auto"/>
      <w:jc w:val="both"/>
    </w:pPr>
    <w:rPr>
      <w:rFonts w:asciiTheme="majorHAnsi" w:hAnsiTheme="majorHAnsi"/>
      <w:noProof/>
      <w:color w:val="404040" w:themeColor="text1" w:themeTint="BF"/>
      <w:szCs w:val="22"/>
      <w:lang w:val="en-CA" w:eastAsia="en-US"/>
    </w:rPr>
  </w:style>
  <w:style w:type="paragraph" w:styleId="TOC4">
    <w:name w:val="toc 4"/>
    <w:basedOn w:val="Normal"/>
    <w:next w:val="Normal"/>
    <w:uiPriority w:val="44"/>
    <w:semiHidden/>
    <w:rsid w:val="001D6108"/>
    <w:pPr>
      <w:tabs>
        <w:tab w:val="right" w:pos="9360"/>
      </w:tabs>
      <w:spacing w:after="120"/>
      <w:ind w:left="600"/>
      <w:jc w:val="both"/>
    </w:pPr>
    <w:rPr>
      <w:rFonts w:eastAsiaTheme="minorHAnsi"/>
      <w:kern w:val="2"/>
      <w:szCs w:val="22"/>
      <w:lang w:val="en-CA" w:eastAsia="en-US"/>
      <w14:ligatures w14:val="standardContextual"/>
    </w:rPr>
  </w:style>
  <w:style w:type="paragraph" w:styleId="TOC5">
    <w:name w:val="toc 5"/>
    <w:basedOn w:val="Normal"/>
    <w:next w:val="Normal"/>
    <w:uiPriority w:val="44"/>
    <w:semiHidden/>
    <w:rsid w:val="001D6108"/>
    <w:pPr>
      <w:tabs>
        <w:tab w:val="right" w:pos="9360"/>
      </w:tabs>
      <w:spacing w:after="120"/>
      <w:ind w:left="800"/>
      <w:jc w:val="both"/>
    </w:pPr>
    <w:rPr>
      <w:rFonts w:eastAsiaTheme="minorHAnsi"/>
      <w:kern w:val="2"/>
      <w:szCs w:val="22"/>
      <w:lang w:val="en-CA" w:eastAsia="en-US"/>
      <w14:ligatures w14:val="standardContextual"/>
    </w:rPr>
  </w:style>
  <w:style w:type="paragraph" w:styleId="TOC6">
    <w:name w:val="toc 6"/>
    <w:basedOn w:val="Normal"/>
    <w:next w:val="Normal"/>
    <w:uiPriority w:val="44"/>
    <w:semiHidden/>
    <w:rsid w:val="001D6108"/>
    <w:pPr>
      <w:tabs>
        <w:tab w:val="right" w:pos="9360"/>
      </w:tabs>
      <w:spacing w:after="120"/>
      <w:ind w:left="1000"/>
      <w:jc w:val="both"/>
    </w:pPr>
    <w:rPr>
      <w:rFonts w:eastAsiaTheme="minorHAnsi"/>
      <w:kern w:val="2"/>
      <w:szCs w:val="22"/>
      <w:lang w:val="en-CA" w:eastAsia="en-US"/>
      <w14:ligatures w14:val="standardContextual"/>
    </w:rPr>
  </w:style>
  <w:style w:type="paragraph" w:styleId="TOC7">
    <w:name w:val="toc 7"/>
    <w:basedOn w:val="Normal"/>
    <w:next w:val="Normal"/>
    <w:uiPriority w:val="44"/>
    <w:semiHidden/>
    <w:rsid w:val="001D6108"/>
    <w:pPr>
      <w:tabs>
        <w:tab w:val="right" w:pos="9360"/>
      </w:tabs>
      <w:spacing w:after="120"/>
      <w:ind w:left="2016" w:hanging="2016"/>
      <w:jc w:val="both"/>
    </w:pPr>
    <w:rPr>
      <w:rFonts w:eastAsiaTheme="minorHAnsi"/>
      <w:kern w:val="2"/>
      <w:szCs w:val="22"/>
      <w:lang w:val="en-CA" w:eastAsia="en-US"/>
      <w14:ligatures w14:val="standardContextual"/>
    </w:rPr>
  </w:style>
  <w:style w:type="paragraph" w:styleId="TOC8">
    <w:name w:val="toc 8"/>
    <w:basedOn w:val="Normal"/>
    <w:next w:val="Normal"/>
    <w:uiPriority w:val="44"/>
    <w:semiHidden/>
    <w:rsid w:val="001D6108"/>
    <w:pPr>
      <w:tabs>
        <w:tab w:val="right" w:pos="9360"/>
      </w:tabs>
      <w:spacing w:before="240" w:after="120"/>
      <w:ind w:left="1152" w:hanging="1152"/>
      <w:jc w:val="both"/>
    </w:pPr>
    <w:rPr>
      <w:rFonts w:eastAsiaTheme="minorHAnsi"/>
      <w:kern w:val="2"/>
      <w:szCs w:val="22"/>
      <w:lang w:val="en-CA" w:eastAsia="en-US"/>
      <w14:ligatures w14:val="standardContextual"/>
    </w:rPr>
  </w:style>
  <w:style w:type="paragraph" w:styleId="TOC9">
    <w:name w:val="toc 9"/>
    <w:basedOn w:val="TOC2"/>
    <w:next w:val="Normal"/>
    <w:uiPriority w:val="39"/>
    <w:rsid w:val="006D5834"/>
    <w:pPr>
      <w:tabs>
        <w:tab w:val="clear" w:pos="907"/>
      </w:tabs>
      <w:spacing w:before="60" w:after="0" w:line="276" w:lineRule="auto"/>
      <w:ind w:left="1440" w:hanging="1440"/>
      <w:jc w:val="both"/>
    </w:pPr>
    <w:rPr>
      <w:rFonts w:eastAsia="Times New Roman" w:cs="Times New Roman"/>
      <w:szCs w:val="20"/>
      <w:lang w:eastAsia="en-US"/>
    </w:rPr>
  </w:style>
  <w:style w:type="paragraph" w:styleId="Caption">
    <w:name w:val="caption"/>
    <w:basedOn w:val="Normal"/>
    <w:next w:val="Normal"/>
    <w:qFormat/>
    <w:rsid w:val="00A10791"/>
    <w:pPr>
      <w:keepNext/>
      <w:tabs>
        <w:tab w:val="left" w:pos="994"/>
      </w:tabs>
      <w:spacing w:before="360" w:after="60"/>
    </w:pPr>
    <w:rPr>
      <w:rFonts w:asciiTheme="majorHAnsi" w:eastAsia="Times New Roman" w:hAnsiTheme="majorHAnsi" w:cs="Times New Roman"/>
      <w:b/>
      <w:color w:val="404040" w:themeColor="text1" w:themeTint="BF"/>
      <w:lang w:val="en-US" w:eastAsia="en-US"/>
    </w:rPr>
  </w:style>
  <w:style w:type="paragraph" w:customStyle="1" w:styleId="TableBullets">
    <w:name w:val="Table Bullets"/>
    <w:basedOn w:val="Normal"/>
    <w:link w:val="TableBulletsChar"/>
    <w:uiPriority w:val="7"/>
    <w:qFormat/>
    <w:rsid w:val="000B2485"/>
    <w:pPr>
      <w:numPr>
        <w:numId w:val="6"/>
      </w:numPr>
      <w:spacing w:before="20" w:after="20" w:line="240" w:lineRule="auto"/>
    </w:pPr>
    <w:rPr>
      <w:sz w:val="18"/>
    </w:rPr>
  </w:style>
  <w:style w:type="character" w:styleId="PageNumber">
    <w:name w:val="page number"/>
    <w:basedOn w:val="DefaultParagraphFont"/>
    <w:uiPriority w:val="39"/>
    <w:semiHidden/>
    <w:rsid w:val="001D6108"/>
    <w:rPr>
      <w:sz w:val="18"/>
    </w:rPr>
  </w:style>
  <w:style w:type="paragraph" w:styleId="TableofFigures">
    <w:name w:val="table of figures"/>
    <w:basedOn w:val="Normal"/>
    <w:next w:val="Normal"/>
    <w:uiPriority w:val="99"/>
    <w:rsid w:val="00616305"/>
    <w:pPr>
      <w:tabs>
        <w:tab w:val="right" w:leader="dot" w:pos="9639"/>
      </w:tabs>
      <w:spacing w:before="60" w:line="276" w:lineRule="auto"/>
      <w:ind w:left="1440" w:hanging="1440"/>
      <w:jc w:val="both"/>
    </w:pPr>
    <w:rPr>
      <w:rFonts w:eastAsiaTheme="minorHAnsi"/>
      <w:noProof/>
      <w:kern w:val="2"/>
      <w:szCs w:val="22"/>
      <w:lang w:val="en-CA" w:eastAsia="en-US"/>
      <w14:ligatures w14:val="standardContextual"/>
    </w:rPr>
  </w:style>
  <w:style w:type="paragraph" w:customStyle="1" w:styleId="TableDashes">
    <w:name w:val="Table Dashes"/>
    <w:basedOn w:val="Normal"/>
    <w:uiPriority w:val="7"/>
    <w:qFormat/>
    <w:rsid w:val="000B2485"/>
    <w:pPr>
      <w:numPr>
        <w:numId w:val="7"/>
      </w:numPr>
      <w:spacing w:before="20" w:after="20" w:line="240" w:lineRule="auto"/>
    </w:pPr>
    <w:rPr>
      <w:sz w:val="18"/>
    </w:rPr>
  </w:style>
  <w:style w:type="paragraph" w:styleId="BodyTextIndent">
    <w:name w:val="Body Text Indent"/>
    <w:basedOn w:val="Normal"/>
    <w:link w:val="BodyTextIndentChar"/>
    <w:uiPriority w:val="44"/>
    <w:semiHidden/>
    <w:rsid w:val="001D6108"/>
    <w:pPr>
      <w:spacing w:after="120"/>
      <w:ind w:left="360"/>
      <w:jc w:val="both"/>
    </w:pPr>
    <w:rPr>
      <w:rFonts w:eastAsiaTheme="minorHAnsi"/>
      <w:kern w:val="2"/>
      <w:szCs w:val="22"/>
      <w:lang w:val="en-CA" w:eastAsia="en-US"/>
      <w14:ligatures w14:val="standardContextual"/>
    </w:rPr>
  </w:style>
  <w:style w:type="character" w:customStyle="1" w:styleId="BodyTextIndentChar">
    <w:name w:val="Body Text Indent Char"/>
    <w:basedOn w:val="DefaultParagraphFont"/>
    <w:link w:val="BodyTextIndent"/>
    <w:uiPriority w:val="44"/>
    <w:semiHidden/>
    <w:rsid w:val="00366FF6"/>
    <w:rPr>
      <w:rFonts w:eastAsiaTheme="minorHAnsi"/>
      <w:kern w:val="2"/>
      <w:szCs w:val="22"/>
      <w:lang w:val="en-CA" w:eastAsia="en-US"/>
      <w14:ligatures w14:val="standardContextual"/>
    </w:rPr>
  </w:style>
  <w:style w:type="paragraph" w:styleId="BodyTextFirstIndent2">
    <w:name w:val="Body Text First Indent 2"/>
    <w:basedOn w:val="BodyTextIndent"/>
    <w:link w:val="BodyTextFirstIndent2Char"/>
    <w:uiPriority w:val="44"/>
    <w:semiHidden/>
    <w:rsid w:val="001D6108"/>
    <w:pPr>
      <w:ind w:firstLine="210"/>
    </w:pPr>
  </w:style>
  <w:style w:type="character" w:customStyle="1" w:styleId="BodyTextFirstIndent2Char">
    <w:name w:val="Body Text First Indent 2 Char"/>
    <w:basedOn w:val="BodyTextIndentChar"/>
    <w:link w:val="BodyTextFirstIndent2"/>
    <w:uiPriority w:val="44"/>
    <w:semiHidden/>
    <w:rsid w:val="00366FF6"/>
    <w:rPr>
      <w:rFonts w:eastAsiaTheme="minorHAnsi"/>
      <w:kern w:val="2"/>
      <w:szCs w:val="22"/>
      <w:lang w:val="en-CA" w:eastAsia="en-US"/>
      <w14:ligatures w14:val="standardContextual"/>
    </w:rPr>
  </w:style>
  <w:style w:type="paragraph" w:customStyle="1" w:styleId="TextboxHeading">
    <w:name w:val="Textbox Heading"/>
    <w:basedOn w:val="TextboxText"/>
    <w:uiPriority w:val="13"/>
    <w:qFormat/>
    <w:rsid w:val="0016039E"/>
    <w:pPr>
      <w:spacing w:before="0"/>
      <w:jc w:val="center"/>
    </w:pPr>
    <w:rPr>
      <w:rFonts w:asciiTheme="minorHAnsi" w:hAnsiTheme="minorHAnsi"/>
      <w:b/>
      <w:bCs/>
      <w:sz w:val="22"/>
      <w:szCs w:val="32"/>
    </w:rPr>
  </w:style>
  <w:style w:type="paragraph" w:customStyle="1" w:styleId="DocumentSource">
    <w:name w:val="Document Source"/>
    <w:basedOn w:val="Normal"/>
    <w:uiPriority w:val="13"/>
    <w:qFormat/>
    <w:rsid w:val="00E70DAB"/>
    <w:pPr>
      <w:spacing w:before="120" w:after="240" w:line="240" w:lineRule="auto"/>
      <w:jc w:val="right"/>
    </w:pPr>
    <w:rPr>
      <w:rFonts w:asciiTheme="majorHAnsi" w:eastAsia="Times New Roman" w:hAnsiTheme="majorHAnsi" w:cs="Times New Roman"/>
      <w:i/>
      <w:lang w:val="en-US" w:eastAsia="en-US"/>
    </w:rPr>
  </w:style>
  <w:style w:type="paragraph" w:customStyle="1" w:styleId="FrontMatterH4">
    <w:name w:val="Front Matter H4"/>
    <w:basedOn w:val="Normal"/>
    <w:uiPriority w:val="11"/>
    <w:qFormat/>
    <w:rsid w:val="00C45F94"/>
    <w:pPr>
      <w:keepNext/>
      <w:spacing w:before="240" w:after="120" w:line="240" w:lineRule="auto"/>
    </w:pPr>
    <w:rPr>
      <w:rFonts w:asciiTheme="majorHAnsi" w:hAnsiTheme="majorHAnsi"/>
      <w:color w:val="1F497D" w:themeColor="text2"/>
    </w:rPr>
  </w:style>
  <w:style w:type="table" w:styleId="GridTable5Dark-Accent1">
    <w:name w:val="Grid Table 5 Dark Accent 1"/>
    <w:basedOn w:val="TableNormal"/>
    <w:uiPriority w:val="50"/>
    <w:rsid w:val="00B2522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EE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ED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ED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ED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EDB" w:themeFill="accent1"/>
      </w:tcPr>
    </w:tblStylePr>
    <w:tblStylePr w:type="band1Vert">
      <w:tblPr/>
      <w:tcPr>
        <w:shd w:val="clear" w:color="auto" w:fill="8ADEFF" w:themeFill="accent1" w:themeFillTint="66"/>
      </w:tcPr>
    </w:tblStylePr>
    <w:tblStylePr w:type="band1Horz">
      <w:tblPr/>
      <w:tcPr>
        <w:shd w:val="clear" w:color="auto" w:fill="8ADEFF" w:themeFill="accent1" w:themeFillTint="66"/>
      </w:tcPr>
    </w:tblStylePr>
  </w:style>
  <w:style w:type="paragraph" w:customStyle="1" w:styleId="TextboxBulletLvl1">
    <w:name w:val="Textbox Bullet Lvl 1"/>
    <w:basedOn w:val="Normal"/>
    <w:uiPriority w:val="13"/>
    <w:qFormat/>
    <w:rsid w:val="0016039E"/>
    <w:pPr>
      <w:keepNext/>
      <w:numPr>
        <w:numId w:val="5"/>
      </w:numPr>
      <w:spacing w:before="60" w:after="40" w:line="240" w:lineRule="auto"/>
    </w:pPr>
    <w:rPr>
      <w:sz w:val="18"/>
      <w:lang w:val="en-CA" w:eastAsia="en-CA"/>
    </w:rPr>
  </w:style>
  <w:style w:type="paragraph" w:styleId="Quote">
    <w:name w:val="Quote"/>
    <w:basedOn w:val="Normal"/>
    <w:next w:val="Normal"/>
    <w:link w:val="QuoteChar"/>
    <w:uiPriority w:val="39"/>
    <w:semiHidden/>
    <w:qFormat/>
    <w:rsid w:val="0078408C"/>
    <w:pPr>
      <w:spacing w:before="120"/>
      <w:ind w:left="432" w:right="432"/>
      <w:jc w:val="both"/>
    </w:pPr>
    <w:rPr>
      <w:rFonts w:ascii="Calibri" w:eastAsia="Times New Roman" w:hAnsi="Calibri" w:cs="Times New Roman"/>
      <w:i/>
      <w:lang w:val="en-US" w:eastAsia="en-US"/>
    </w:rPr>
  </w:style>
  <w:style w:type="character" w:customStyle="1" w:styleId="QuoteChar">
    <w:name w:val="Quote Char"/>
    <w:basedOn w:val="DefaultParagraphFont"/>
    <w:link w:val="Quote"/>
    <w:uiPriority w:val="39"/>
    <w:semiHidden/>
    <w:rsid w:val="00B63B85"/>
    <w:rPr>
      <w:rFonts w:ascii="Calibri" w:eastAsia="Times New Roman" w:hAnsi="Calibri" w:cs="Times New Roman"/>
      <w:i/>
      <w:lang w:val="en-US" w:eastAsia="en-US"/>
    </w:rPr>
  </w:style>
  <w:style w:type="paragraph" w:styleId="NoSpacing">
    <w:name w:val="No Spacing"/>
    <w:link w:val="NoSpacingChar"/>
    <w:uiPriority w:val="44"/>
    <w:semiHidden/>
    <w:qFormat/>
    <w:rsid w:val="001D6108"/>
    <w:pPr>
      <w:spacing w:line="240" w:lineRule="auto"/>
    </w:pPr>
    <w:rPr>
      <w:lang w:val="en-US" w:eastAsia="en-US"/>
    </w:rPr>
  </w:style>
  <w:style w:type="character" w:customStyle="1" w:styleId="NoSpacingChar">
    <w:name w:val="No Spacing Char"/>
    <w:basedOn w:val="DefaultParagraphFont"/>
    <w:link w:val="NoSpacing"/>
    <w:uiPriority w:val="44"/>
    <w:semiHidden/>
    <w:rsid w:val="00037A28"/>
    <w:rPr>
      <w:lang w:val="en-US" w:eastAsia="en-US"/>
    </w:rPr>
  </w:style>
  <w:style w:type="paragraph" w:customStyle="1" w:styleId="TableText">
    <w:name w:val="Table Text"/>
    <w:basedOn w:val="Normal"/>
    <w:uiPriority w:val="12"/>
    <w:qFormat/>
    <w:rsid w:val="00DB2F3F"/>
    <w:pPr>
      <w:spacing w:before="40" w:after="40" w:line="240" w:lineRule="auto"/>
    </w:pPr>
    <w:rPr>
      <w:sz w:val="18"/>
      <w:szCs w:val="22"/>
      <w:lang w:val="en-CA" w:eastAsia="ja-JP"/>
    </w:rPr>
  </w:style>
  <w:style w:type="numbering" w:customStyle="1" w:styleId="TextboxBullets">
    <w:name w:val="Textbox Bullets"/>
    <w:uiPriority w:val="99"/>
    <w:rsid w:val="0016039E"/>
    <w:pPr>
      <w:numPr>
        <w:numId w:val="4"/>
      </w:numPr>
    </w:pPr>
  </w:style>
  <w:style w:type="paragraph" w:styleId="ListBullet2">
    <w:name w:val="List Bullet 2"/>
    <w:basedOn w:val="Normal"/>
    <w:uiPriority w:val="2"/>
    <w:qFormat/>
    <w:rsid w:val="00F8503E"/>
    <w:pPr>
      <w:numPr>
        <w:ilvl w:val="1"/>
        <w:numId w:val="12"/>
      </w:numPr>
      <w:spacing w:before="120" w:after="120" w:line="240" w:lineRule="auto"/>
    </w:pPr>
    <w:rPr>
      <w:szCs w:val="22"/>
      <w:lang w:val="en-CA" w:eastAsia="ja-JP"/>
    </w:rPr>
  </w:style>
  <w:style w:type="paragraph" w:styleId="ListBullet3">
    <w:name w:val="List Bullet 3"/>
    <w:basedOn w:val="Normal"/>
    <w:uiPriority w:val="2"/>
    <w:qFormat/>
    <w:rsid w:val="00F8503E"/>
    <w:pPr>
      <w:numPr>
        <w:ilvl w:val="2"/>
        <w:numId w:val="12"/>
      </w:numPr>
      <w:spacing w:before="120" w:after="120"/>
      <w:contextualSpacing/>
    </w:pPr>
  </w:style>
  <w:style w:type="character" w:styleId="Emphasis">
    <w:name w:val="Emphasis"/>
    <w:basedOn w:val="DefaultParagraphFont"/>
    <w:uiPriority w:val="15"/>
    <w:qFormat/>
    <w:rsid w:val="001D6108"/>
    <w:rPr>
      <w:i/>
      <w:iCs/>
    </w:rPr>
  </w:style>
  <w:style w:type="paragraph" w:styleId="NormalWeb">
    <w:name w:val="Normal (Web)"/>
    <w:basedOn w:val="Normal"/>
    <w:unhideWhenUsed/>
    <w:rsid w:val="001D6108"/>
    <w:pPr>
      <w:spacing w:before="100" w:beforeAutospacing="1" w:after="100" w:afterAutospacing="1"/>
      <w:jc w:val="both"/>
    </w:pPr>
    <w:rPr>
      <w:rFonts w:eastAsiaTheme="minorHAnsi"/>
      <w:kern w:val="2"/>
      <w:lang w:val="en-CA" w:eastAsia="en-US"/>
      <w14:ligatures w14:val="standardContextual"/>
    </w:rPr>
  </w:style>
  <w:style w:type="paragraph" w:customStyle="1" w:styleId="TextboxBulletsLvl2">
    <w:name w:val="Textbox Bullets Lvl 2"/>
    <w:basedOn w:val="Normal"/>
    <w:uiPriority w:val="13"/>
    <w:qFormat/>
    <w:rsid w:val="0016039E"/>
    <w:pPr>
      <w:numPr>
        <w:ilvl w:val="1"/>
        <w:numId w:val="5"/>
      </w:numPr>
      <w:spacing w:before="40" w:after="40" w:line="240" w:lineRule="auto"/>
    </w:pPr>
    <w:rPr>
      <w:rFonts w:ascii="Aptos Narrow" w:hAnsi="Aptos Narrow"/>
      <w:sz w:val="18"/>
      <w:lang w:val="en-CA" w:eastAsia="en-CA"/>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link w:val="ListParagraph"/>
    <w:uiPriority w:val="34"/>
    <w:qFormat/>
    <w:rsid w:val="00A7721B"/>
  </w:style>
  <w:style w:type="paragraph" w:styleId="BodyText">
    <w:name w:val="Body Text"/>
    <w:basedOn w:val="Normal"/>
    <w:link w:val="BodyTextChar"/>
    <w:qFormat/>
    <w:rsid w:val="00580F0F"/>
    <w:pPr>
      <w:spacing w:before="120" w:after="120"/>
      <w:jc w:val="both"/>
    </w:pPr>
    <w:rPr>
      <w:rFonts w:eastAsiaTheme="minorHAnsi"/>
      <w:kern w:val="2"/>
      <w:szCs w:val="22"/>
      <w:lang w:val="en-CA" w:eastAsia="en-US"/>
      <w14:ligatures w14:val="standardContextual"/>
    </w:rPr>
  </w:style>
  <w:style w:type="character" w:customStyle="1" w:styleId="BodyTextChar">
    <w:name w:val="Body Text Char"/>
    <w:basedOn w:val="DefaultParagraphFont"/>
    <w:link w:val="BodyText"/>
    <w:rsid w:val="00580F0F"/>
    <w:rPr>
      <w:rFonts w:eastAsiaTheme="minorHAnsi"/>
      <w:kern w:val="2"/>
      <w:lang w:val="en-CA" w:eastAsia="en-US"/>
      <w14:ligatures w14:val="standardContextual"/>
    </w:rPr>
  </w:style>
  <w:style w:type="paragraph" w:styleId="List">
    <w:name w:val="List"/>
    <w:basedOn w:val="Normal"/>
    <w:semiHidden/>
    <w:unhideWhenUsed/>
    <w:rsid w:val="001D6108"/>
    <w:pPr>
      <w:spacing w:after="120"/>
      <w:ind w:left="283" w:hanging="283"/>
      <w:contextualSpacing/>
      <w:jc w:val="both"/>
    </w:pPr>
    <w:rPr>
      <w:rFonts w:eastAsiaTheme="minorHAnsi"/>
      <w:kern w:val="2"/>
      <w:szCs w:val="22"/>
      <w:lang w:val="en-CA" w:eastAsia="en-US"/>
      <w14:ligatures w14:val="standardContextual"/>
    </w:rPr>
  </w:style>
  <w:style w:type="paragraph" w:styleId="ListBullet">
    <w:name w:val="List Bullet"/>
    <w:basedOn w:val="Normal"/>
    <w:uiPriority w:val="2"/>
    <w:qFormat/>
    <w:rsid w:val="00280394"/>
    <w:pPr>
      <w:numPr>
        <w:numId w:val="12"/>
      </w:numPr>
      <w:tabs>
        <w:tab w:val="num" w:pos="720"/>
      </w:tabs>
      <w:spacing w:before="120" w:after="120"/>
      <w:jc w:val="both"/>
    </w:pPr>
    <w:rPr>
      <w:rFonts w:eastAsiaTheme="minorHAnsi"/>
      <w:kern w:val="2"/>
      <w:szCs w:val="22"/>
      <w:lang w:val="en-CA" w:eastAsia="en-US"/>
      <w14:ligatures w14:val="standardContextual"/>
    </w:rPr>
  </w:style>
  <w:style w:type="paragraph" w:styleId="Title">
    <w:name w:val="Title"/>
    <w:basedOn w:val="Normal"/>
    <w:next w:val="Normal"/>
    <w:link w:val="TitleChar"/>
    <w:uiPriority w:val="23"/>
    <w:qFormat/>
    <w:rsid w:val="00632EB3"/>
    <w:pPr>
      <w:spacing w:before="3600" w:after="1680"/>
      <w:jc w:val="center"/>
    </w:pPr>
    <w:rPr>
      <w:b/>
      <w:bCs/>
      <w:color w:val="009EDB" w:themeColor="accent1"/>
      <w:sz w:val="56"/>
      <w:szCs w:val="56"/>
    </w:rPr>
  </w:style>
  <w:style w:type="character" w:customStyle="1" w:styleId="TitleChar">
    <w:name w:val="Title Char"/>
    <w:basedOn w:val="DefaultParagraphFont"/>
    <w:link w:val="Title"/>
    <w:uiPriority w:val="23"/>
    <w:qFormat/>
    <w:rsid w:val="00037A28"/>
    <w:rPr>
      <w:b/>
      <w:bCs/>
      <w:color w:val="009EDB" w:themeColor="accent1"/>
      <w:sz w:val="56"/>
      <w:szCs w:val="56"/>
    </w:rPr>
  </w:style>
  <w:style w:type="numbering" w:customStyle="1" w:styleId="BodyBullets">
    <w:name w:val="Body Bullets"/>
    <w:uiPriority w:val="99"/>
    <w:rsid w:val="00F8503E"/>
    <w:pPr>
      <w:numPr>
        <w:numId w:val="9"/>
      </w:numPr>
    </w:pPr>
  </w:style>
  <w:style w:type="table" w:customStyle="1" w:styleId="TableGrid1">
    <w:name w:val="Table Grid1"/>
    <w:basedOn w:val="TableNormal"/>
    <w:next w:val="TableGrid"/>
    <w:uiPriority w:val="59"/>
    <w:rsid w:val="001D6108"/>
    <w:pPr>
      <w:spacing w:line="240" w:lineRule="auto"/>
    </w:pPr>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xQuote">
    <w:name w:val="Textbox Quote"/>
    <w:basedOn w:val="Normal"/>
    <w:uiPriority w:val="13"/>
    <w:qFormat/>
    <w:rsid w:val="002F6C53"/>
    <w:pPr>
      <w:spacing w:before="120" w:after="240"/>
      <w:ind w:left="113" w:right="113"/>
    </w:pPr>
    <w:rPr>
      <w:rFonts w:asciiTheme="majorHAnsi" w:hAnsiTheme="majorHAnsi"/>
      <w:b/>
      <w:color w:val="0075A4" w:themeColor="accent1" w:themeShade="BF"/>
      <w:szCs w:val="21"/>
      <w:lang w:val="en-CA" w:eastAsia="en-CA"/>
    </w:rPr>
  </w:style>
  <w:style w:type="table" w:customStyle="1" w:styleId="TableGrid0">
    <w:name w:val="TableGrid"/>
    <w:rsid w:val="001D6108"/>
    <w:pPr>
      <w:spacing w:line="240" w:lineRule="auto"/>
    </w:pPr>
    <w:rPr>
      <w:kern w:val="2"/>
      <w:lang w:val="en-CA" w:eastAsia="en-CA"/>
      <w14:ligatures w14:val="standardContextual"/>
    </w:rPr>
    <w:tblPr>
      <w:tblCellMar>
        <w:top w:w="0" w:type="dxa"/>
        <w:left w:w="0" w:type="dxa"/>
        <w:bottom w:w="0" w:type="dxa"/>
        <w:right w:w="0" w:type="dxa"/>
      </w:tblCellMar>
    </w:tblPr>
  </w:style>
  <w:style w:type="numbering" w:customStyle="1" w:styleId="Headings">
    <w:name w:val="Headings"/>
    <w:uiPriority w:val="99"/>
    <w:rsid w:val="00393C7E"/>
    <w:pPr>
      <w:numPr>
        <w:numId w:val="2"/>
      </w:numPr>
    </w:pPr>
  </w:style>
  <w:style w:type="paragraph" w:customStyle="1" w:styleId="TextboxSource">
    <w:name w:val="Textbox Source"/>
    <w:basedOn w:val="Normal"/>
    <w:uiPriority w:val="13"/>
    <w:qFormat/>
    <w:rsid w:val="0016039E"/>
    <w:pPr>
      <w:spacing w:before="60" w:line="240" w:lineRule="auto"/>
      <w:ind w:left="340"/>
      <w:jc w:val="right"/>
    </w:pPr>
    <w:rPr>
      <w:rFonts w:ascii="Aptos Narrow" w:hAnsi="Aptos Narrow"/>
      <w:i/>
      <w:iCs/>
      <w:sz w:val="18"/>
      <w:szCs w:val="18"/>
      <w:lang w:val="en-CA" w:eastAsia="en-CA"/>
    </w:rPr>
  </w:style>
  <w:style w:type="character" w:styleId="Strong">
    <w:name w:val="Strong"/>
    <w:basedOn w:val="DefaultParagraphFont"/>
    <w:uiPriority w:val="15"/>
    <w:qFormat/>
    <w:rsid w:val="001D6108"/>
    <w:rPr>
      <w:b/>
      <w:bCs/>
      <w:color w:val="009EDB" w:themeColor="accent1"/>
    </w:rPr>
  </w:style>
  <w:style w:type="paragraph" w:styleId="Subtitle">
    <w:name w:val="Subtitle"/>
    <w:basedOn w:val="Normal"/>
    <w:next w:val="Normal"/>
    <w:link w:val="SubtitleChar"/>
    <w:uiPriority w:val="24"/>
    <w:qFormat/>
    <w:rsid w:val="00632EB3"/>
    <w:pPr>
      <w:spacing w:after="3840"/>
      <w:jc w:val="center"/>
    </w:pPr>
    <w:rPr>
      <w:b/>
      <w:bCs/>
      <w:color w:val="009EDB" w:themeColor="accent1"/>
      <w:sz w:val="28"/>
      <w:szCs w:val="28"/>
    </w:rPr>
  </w:style>
  <w:style w:type="character" w:customStyle="1" w:styleId="SubtitleChar">
    <w:name w:val="Subtitle Char"/>
    <w:basedOn w:val="DefaultParagraphFont"/>
    <w:link w:val="Subtitle"/>
    <w:uiPriority w:val="24"/>
    <w:rsid w:val="00037A28"/>
    <w:rPr>
      <w:b/>
      <w:bCs/>
      <w:color w:val="009EDB" w:themeColor="accent1"/>
      <w:sz w:val="28"/>
      <w:szCs w:val="28"/>
    </w:rPr>
  </w:style>
  <w:style w:type="paragraph" w:customStyle="1" w:styleId="CoverAuthor">
    <w:name w:val="Cover Author"/>
    <w:basedOn w:val="Normal"/>
    <w:uiPriority w:val="25"/>
    <w:qFormat/>
    <w:rsid w:val="00632EB3"/>
    <w:pPr>
      <w:contextualSpacing/>
    </w:pPr>
    <w:rPr>
      <w:rFonts w:cstheme="minorHAnsi"/>
      <w:i/>
      <w:iCs/>
      <w:color w:val="009EDB"/>
      <w:sz w:val="28"/>
      <w:szCs w:val="28"/>
    </w:rPr>
  </w:style>
  <w:style w:type="character" w:styleId="PlaceholderText">
    <w:name w:val="Placeholder Text"/>
    <w:basedOn w:val="DefaultParagraphFont"/>
    <w:uiPriority w:val="99"/>
    <w:semiHidden/>
    <w:rsid w:val="00941F93"/>
    <w:rPr>
      <w:color w:val="666666"/>
    </w:rPr>
  </w:style>
  <w:style w:type="paragraph" w:customStyle="1" w:styleId="FooterFrontMatter">
    <w:name w:val="Footer Front Matter"/>
    <w:basedOn w:val="Footer"/>
    <w:uiPriority w:val="29"/>
    <w:qFormat/>
    <w:rsid w:val="0003749E"/>
    <w:pPr>
      <w:ind w:right="0"/>
      <w:jc w:val="right"/>
    </w:pPr>
  </w:style>
  <w:style w:type="table" w:customStyle="1" w:styleId="BlueTable">
    <w:name w:val="Blue Table"/>
    <w:basedOn w:val="TableNormal"/>
    <w:uiPriority w:val="99"/>
    <w:rsid w:val="00B9213A"/>
    <w:pPr>
      <w:spacing w:before="20" w:after="20" w:line="240" w:lineRule="auto"/>
    </w:pPr>
    <w:tblPr>
      <w:tblBorders>
        <w:top w:val="single" w:sz="4" w:space="0" w:color="C4EEFF" w:themeColor="accent1" w:themeTint="33"/>
        <w:left w:val="single" w:sz="4" w:space="0" w:color="C4EEFF" w:themeColor="accent1" w:themeTint="33"/>
        <w:bottom w:val="single" w:sz="4" w:space="0" w:color="C4EEFF" w:themeColor="accent1" w:themeTint="33"/>
        <w:right w:val="single" w:sz="4" w:space="0" w:color="C4EEFF" w:themeColor="accent1" w:themeTint="33"/>
        <w:insideH w:val="single" w:sz="8" w:space="0" w:color="C4EEFF" w:themeColor="accent1" w:themeTint="33"/>
        <w:insideV w:val="single" w:sz="8" w:space="0" w:color="C4EEFF" w:themeColor="accent1" w:themeTint="33"/>
      </w:tblBorders>
    </w:tblPr>
    <w:tblStylePr w:type="firstRow">
      <w:pPr>
        <w:keepNext/>
        <w:wordWrap/>
      </w:pPr>
      <w:rPr>
        <w:b/>
        <w:color w:val="FFFFFF" w:themeColor="background1"/>
      </w:rPr>
      <w:tblPr/>
      <w:tcPr>
        <w:tcBorders>
          <w:top w:val="single" w:sz="6" w:space="0" w:color="548DD4" w:themeColor="text2" w:themeTint="99"/>
          <w:left w:val="single" w:sz="6" w:space="0" w:color="548DD4" w:themeColor="text2" w:themeTint="99"/>
          <w:bottom w:val="single" w:sz="6" w:space="0" w:color="548DD4" w:themeColor="text2" w:themeTint="99"/>
          <w:right w:val="single" w:sz="6" w:space="0" w:color="548DD4" w:themeColor="text2" w:themeTint="99"/>
          <w:insideH w:val="single" w:sz="6" w:space="0" w:color="548DD4" w:themeColor="text2" w:themeTint="99"/>
          <w:insideV w:val="single" w:sz="6" w:space="0" w:color="548DD4" w:themeColor="text2" w:themeTint="99"/>
        </w:tcBorders>
        <w:shd w:val="clear" w:color="auto" w:fill="009EDB" w:themeFill="accent1"/>
      </w:tcPr>
    </w:tblStylePr>
    <w:tblStylePr w:type="lastRow">
      <w:tblPr/>
      <w:tcPr>
        <w:tcBorders>
          <w:top w:val="single" w:sz="18" w:space="0" w:color="009EDB" w:themeColor="accent1"/>
          <w:bottom w:val="single" w:sz="4" w:space="0" w:color="009EDB" w:themeColor="accent1"/>
        </w:tcBorders>
        <w:shd w:val="clear" w:color="auto" w:fill="DAEEF3" w:themeFill="accent5" w:themeFillTint="33"/>
      </w:tcPr>
    </w:tblStylePr>
    <w:tblStylePr w:type="firstCol">
      <w:rPr>
        <w:b/>
        <w:color w:val="auto"/>
      </w:rPr>
      <w:tblPr/>
      <w:tcPr>
        <w:tcBorders>
          <w:right w:val="single" w:sz="8" w:space="0" w:color="A6A6A6" w:themeColor="background1" w:themeShade="A6"/>
        </w:tcBorders>
      </w:tcPr>
    </w:tblStylePr>
  </w:style>
  <w:style w:type="table" w:styleId="GridTable5Dark-Accent3">
    <w:name w:val="Grid Table 5 Dark Accent 3"/>
    <w:basedOn w:val="TableNormal"/>
    <w:uiPriority w:val="50"/>
    <w:rsid w:val="00B2522D"/>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FrontMatterH2">
    <w:name w:val="Front Matter H2"/>
    <w:basedOn w:val="Normal"/>
    <w:uiPriority w:val="11"/>
    <w:qFormat/>
    <w:rsid w:val="00C45F94"/>
    <w:pPr>
      <w:keepNext/>
      <w:keepLines/>
      <w:spacing w:before="360" w:after="240" w:line="240" w:lineRule="auto"/>
    </w:pPr>
    <w:rPr>
      <w:b/>
      <w:color w:val="0075A4" w:themeColor="accent1" w:themeShade="BF"/>
      <w:sz w:val="22"/>
    </w:rPr>
  </w:style>
  <w:style w:type="paragraph" w:customStyle="1" w:styleId="FrontMatterH3">
    <w:name w:val="Front Matter H3"/>
    <w:basedOn w:val="Normal"/>
    <w:uiPriority w:val="11"/>
    <w:qFormat/>
    <w:rsid w:val="00E70DAB"/>
    <w:pPr>
      <w:keepNext/>
      <w:keepLines/>
      <w:spacing w:before="240" w:after="120" w:line="240" w:lineRule="auto"/>
    </w:pPr>
    <w:rPr>
      <w:b/>
      <w:color w:val="595959" w:themeColor="text1" w:themeTint="A6"/>
      <w:sz w:val="21"/>
      <w:szCs w:val="21"/>
    </w:rPr>
  </w:style>
  <w:style w:type="paragraph" w:styleId="ListNumber">
    <w:name w:val="List Number"/>
    <w:basedOn w:val="Normal"/>
    <w:uiPriority w:val="2"/>
    <w:rsid w:val="000F0763"/>
    <w:pPr>
      <w:numPr>
        <w:numId w:val="1"/>
      </w:numPr>
      <w:tabs>
        <w:tab w:val="num" w:pos="567"/>
      </w:tabs>
      <w:spacing w:before="120" w:after="120"/>
      <w:ind w:left="567"/>
      <w:jc w:val="both"/>
    </w:pPr>
  </w:style>
  <w:style w:type="paragraph" w:customStyle="1" w:styleId="FrontMatterH1">
    <w:name w:val="Front Matter H1"/>
    <w:basedOn w:val="Normal"/>
    <w:uiPriority w:val="11"/>
    <w:qFormat/>
    <w:rsid w:val="00663BAE"/>
    <w:pPr>
      <w:keepNext/>
      <w:keepLines/>
      <w:pageBreakBefore/>
      <w:spacing w:after="360" w:line="240" w:lineRule="auto"/>
    </w:pPr>
    <w:rPr>
      <w:b/>
      <w:color w:val="009EDB" w:themeColor="accent1"/>
      <w:sz w:val="32"/>
    </w:rPr>
  </w:style>
  <w:style w:type="paragraph" w:customStyle="1" w:styleId="Normal-sizedTableBullets">
    <w:name w:val="Normal-sized Table Bullets"/>
    <w:basedOn w:val="Normal"/>
    <w:uiPriority w:val="12"/>
    <w:qFormat/>
    <w:rsid w:val="00937650"/>
    <w:pPr>
      <w:numPr>
        <w:numId w:val="10"/>
      </w:numPr>
      <w:spacing w:before="20" w:after="20" w:line="240" w:lineRule="auto"/>
    </w:pPr>
  </w:style>
  <w:style w:type="paragraph" w:customStyle="1" w:styleId="Normal-sizedTableDashes">
    <w:name w:val="Normal-sized Table Dashes"/>
    <w:basedOn w:val="Normal"/>
    <w:uiPriority w:val="12"/>
    <w:qFormat/>
    <w:rsid w:val="00937650"/>
    <w:pPr>
      <w:numPr>
        <w:numId w:val="11"/>
      </w:numPr>
      <w:spacing w:before="20" w:after="20" w:line="240" w:lineRule="auto"/>
    </w:pPr>
  </w:style>
  <w:style w:type="paragraph" w:customStyle="1" w:styleId="FooterBorder">
    <w:name w:val="Footer Border"/>
    <w:uiPriority w:val="29"/>
    <w:rsid w:val="00E70DAB"/>
    <w:pPr>
      <w:keepNext/>
      <w:pBdr>
        <w:top w:val="single" w:sz="4" w:space="8" w:color="009EDB" w:themeColor="accent1"/>
      </w:pBdr>
      <w:spacing w:line="240" w:lineRule="auto"/>
    </w:pPr>
    <w:rPr>
      <w:sz w:val="2"/>
    </w:rPr>
  </w:style>
  <w:style w:type="paragraph" w:customStyle="1" w:styleId="FooterLandscapes">
    <w:name w:val="Footer Landscapes"/>
    <w:basedOn w:val="Footer"/>
    <w:uiPriority w:val="29"/>
    <w:qFormat/>
    <w:rsid w:val="009D7AFB"/>
    <w:pPr>
      <w:tabs>
        <w:tab w:val="clear" w:pos="9639"/>
        <w:tab w:val="right" w:pos="13268"/>
      </w:tabs>
    </w:pPr>
    <w:rPr>
      <w:noProof/>
    </w:rPr>
  </w:style>
  <w:style w:type="character" w:styleId="FootnoteReference">
    <w:name w:val="footnote reference"/>
    <w:aliases w:val="stylish,ftref,ftref1,ftref2,ftref11,16 Point,Superscript 6 Point,(NECG) Footnote Reference,Normal + Font:9 Point,Superscript 3 Point Times,SUPERS,Appel note de bas de page,Car Car Char Car Char Car Car Char Car Char Char,BVI f,R"/>
    <w:basedOn w:val="DefaultParagraphFont"/>
    <w:link w:val="BVIfnrCarCar1CharCarCharCarCarCarCharCarCarCharCharCharCharCar"/>
    <w:uiPriority w:val="99"/>
    <w:qFormat/>
    <w:rsid w:val="00663FFD"/>
    <w:rPr>
      <w:vertAlign w:val="superscript"/>
    </w:rPr>
  </w:style>
  <w:style w:type="paragraph" w:customStyle="1" w:styleId="Table">
    <w:name w:val="Table"/>
    <w:basedOn w:val="Normal"/>
    <w:link w:val="TableChar"/>
    <w:rsid w:val="00904B9F"/>
    <w:pPr>
      <w:spacing w:before="60" w:after="60" w:line="276" w:lineRule="auto"/>
      <w:jc w:val="both"/>
    </w:pPr>
    <w:rPr>
      <w:rFonts w:ascii="Calibri" w:eastAsia="Times New Roman" w:hAnsi="Calibri" w:cs="Times New Roman"/>
      <w:lang w:val="en-US" w:eastAsia="en-US"/>
    </w:rPr>
  </w:style>
  <w:style w:type="character" w:customStyle="1" w:styleId="TableChar">
    <w:name w:val="Table Char"/>
    <w:basedOn w:val="DefaultParagraphFont"/>
    <w:link w:val="Table"/>
    <w:locked/>
    <w:rsid w:val="00904B9F"/>
    <w:rPr>
      <w:rFonts w:ascii="Calibri" w:eastAsia="Times New Roman" w:hAnsi="Calibri" w:cs="Times New Roman"/>
      <w:lang w:val="en-US" w:eastAsia="en-US"/>
    </w:rPr>
  </w:style>
  <w:style w:type="paragraph" w:customStyle="1" w:styleId="Reporttext">
    <w:name w:val="Report text"/>
    <w:link w:val="ReporttextChar"/>
    <w:qFormat/>
    <w:rsid w:val="00C06E83"/>
    <w:pPr>
      <w:spacing w:before="120" w:line="276" w:lineRule="auto"/>
      <w:jc w:val="both"/>
    </w:pPr>
    <w:rPr>
      <w:rFonts w:ascii="Calibri" w:eastAsia="Times New Roman" w:hAnsi="Calibri" w:cs="Times New Roman"/>
      <w:sz w:val="22"/>
      <w:lang w:val="en-US" w:eastAsia="en-US"/>
    </w:rPr>
  </w:style>
  <w:style w:type="character" w:customStyle="1" w:styleId="ReporttextChar">
    <w:name w:val="Report text Char"/>
    <w:link w:val="Reporttext"/>
    <w:locked/>
    <w:rsid w:val="00C06E83"/>
    <w:rPr>
      <w:rFonts w:ascii="Calibri" w:eastAsia="Times New Roman" w:hAnsi="Calibri" w:cs="Times New Roman"/>
      <w:sz w:val="22"/>
      <w:lang w:val="en-US" w:eastAsia="en-US"/>
    </w:rPr>
  </w:style>
  <w:style w:type="paragraph" w:customStyle="1" w:styleId="TableParagraph">
    <w:name w:val="Table Paragraph"/>
    <w:basedOn w:val="Normal"/>
    <w:uiPriority w:val="1"/>
    <w:qFormat/>
    <w:rsid w:val="00047387"/>
    <w:pPr>
      <w:widowControl w:val="0"/>
      <w:autoSpaceDE w:val="0"/>
      <w:autoSpaceDN w:val="0"/>
      <w:spacing w:after="120" w:line="240" w:lineRule="auto"/>
      <w:jc w:val="both"/>
    </w:pPr>
    <w:rPr>
      <w:rFonts w:ascii="Verdana" w:eastAsia="Verdana" w:hAnsi="Verdana" w:cs="Verdana"/>
      <w:kern w:val="2"/>
      <w:sz w:val="22"/>
      <w:szCs w:val="22"/>
      <w:lang w:val="en-CA" w:eastAsia="en-US" w:bidi="en-US"/>
      <w14:ligatures w14:val="standardContextual"/>
    </w:rPr>
  </w:style>
  <w:style w:type="paragraph" w:customStyle="1" w:styleId="Floating">
    <w:name w:val="Floating"/>
    <w:basedOn w:val="Reporttext"/>
    <w:next w:val="Reporttext"/>
    <w:rsid w:val="00284C97"/>
    <w:pPr>
      <w:keepNext/>
      <w:spacing w:before="240"/>
    </w:pPr>
    <w:rPr>
      <w:b/>
    </w:rPr>
  </w:style>
  <w:style w:type="paragraph" w:customStyle="1" w:styleId="Question">
    <w:name w:val="Question"/>
    <w:basedOn w:val="List"/>
    <w:qFormat/>
    <w:rsid w:val="005C00BA"/>
    <w:pPr>
      <w:keepLines/>
      <w:numPr>
        <w:numId w:val="77"/>
      </w:numPr>
      <w:tabs>
        <w:tab w:val="clear" w:pos="720"/>
        <w:tab w:val="num" w:pos="360"/>
      </w:tabs>
      <w:spacing w:before="480" w:line="240" w:lineRule="auto"/>
      <w:ind w:left="283" w:hanging="283"/>
    </w:pPr>
    <w:rPr>
      <w:rFonts w:eastAsia="Times New Roman" w:cs="Times New Roman"/>
      <w:sz w:val="22"/>
      <w:lang w:val="en-US"/>
    </w:rPr>
  </w:style>
  <w:style w:type="paragraph" w:customStyle="1" w:styleId="Answer">
    <w:name w:val="Answer"/>
    <w:basedOn w:val="ListBullet"/>
    <w:qFormat/>
    <w:rsid w:val="005C00BA"/>
    <w:pPr>
      <w:keepLines/>
      <w:numPr>
        <w:ilvl w:val="1"/>
        <w:numId w:val="77"/>
      </w:numPr>
      <w:tabs>
        <w:tab w:val="clear" w:pos="1797"/>
        <w:tab w:val="num" w:pos="710"/>
      </w:tabs>
      <w:spacing w:before="0" w:line="240" w:lineRule="auto"/>
      <w:ind w:left="710" w:firstLine="0"/>
      <w:contextualSpacing/>
    </w:pPr>
    <w:rPr>
      <w:rFonts w:eastAsia="Century Gothic" w:cs="Times New Roman"/>
      <w:sz w:val="22"/>
      <w:lang w:val="en-US"/>
    </w:rPr>
  </w:style>
  <w:style w:type="paragraph" w:customStyle="1" w:styleId="Bullets">
    <w:name w:val="Bullets"/>
    <w:basedOn w:val="Reporttext"/>
    <w:link w:val="BulletsChar"/>
    <w:rsid w:val="0054131A"/>
    <w:pPr>
      <w:numPr>
        <w:numId w:val="78"/>
      </w:numPr>
      <w:ind w:left="720" w:hanging="288"/>
    </w:pPr>
  </w:style>
  <w:style w:type="paragraph" w:customStyle="1" w:styleId="Dashes">
    <w:name w:val="Dashes"/>
    <w:basedOn w:val="Reporttext"/>
    <w:rsid w:val="0054131A"/>
    <w:pPr>
      <w:numPr>
        <w:numId w:val="79"/>
      </w:numPr>
      <w:tabs>
        <w:tab w:val="clear" w:pos="360"/>
        <w:tab w:val="left" w:pos="1008"/>
      </w:tabs>
      <w:spacing w:before="60"/>
      <w:ind w:left="1008" w:hanging="288"/>
    </w:pPr>
  </w:style>
  <w:style w:type="character" w:customStyle="1" w:styleId="TableBulletsChar">
    <w:name w:val="Table Bullets Char"/>
    <w:link w:val="TableBullets"/>
    <w:uiPriority w:val="7"/>
    <w:rsid w:val="0054131A"/>
    <w:rPr>
      <w:sz w:val="18"/>
    </w:rPr>
  </w:style>
  <w:style w:type="character" w:customStyle="1" w:styleId="BulletsChar">
    <w:name w:val="Bullets Char"/>
    <w:basedOn w:val="DefaultParagraphFont"/>
    <w:link w:val="Bullets"/>
    <w:rsid w:val="0054131A"/>
    <w:rPr>
      <w:rFonts w:ascii="Calibri" w:eastAsia="Times New Roman" w:hAnsi="Calibri" w:cs="Times New Roman"/>
      <w:sz w:val="22"/>
      <w:lang w:val="en-US" w:eastAsia="en-US"/>
    </w:rPr>
  </w:style>
  <w:style w:type="paragraph" w:customStyle="1" w:styleId="BVIfnrCarCar1CharCarCharCarCarCarCharCarCarCharCharCharCharCar">
    <w:name w:val="BVI fnr Car Car1 Char Car Char Car Car Car Char Car Car Char Char Char Char Car"/>
    <w:aliases w:val="BVI fnr Car Car Car Car1 Char Car Char Car Car Car Char Car Car Char Char Char Char Char Car Car"/>
    <w:basedOn w:val="Normal"/>
    <w:next w:val="Normal"/>
    <w:link w:val="FootnoteReference"/>
    <w:uiPriority w:val="99"/>
    <w:rsid w:val="0054131A"/>
    <w:pPr>
      <w:spacing w:after="120" w:line="240" w:lineRule="exact"/>
      <w:jc w:val="both"/>
    </w:pPr>
    <w:rPr>
      <w:vertAlign w:val="superscript"/>
    </w:rPr>
  </w:style>
  <w:style w:type="character" w:customStyle="1" w:styleId="normaltextrun">
    <w:name w:val="normaltextrun"/>
    <w:basedOn w:val="DefaultParagraphFont"/>
    <w:rsid w:val="00A41214"/>
  </w:style>
  <w:style w:type="numbering" w:styleId="111111">
    <w:name w:val="Outline List 2"/>
    <w:basedOn w:val="NoList"/>
    <w:uiPriority w:val="99"/>
    <w:semiHidden/>
    <w:unhideWhenUsed/>
    <w:rsid w:val="00A01507"/>
    <w:pPr>
      <w:numPr>
        <w:numId w:val="1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544">
      <w:bodyDiv w:val="1"/>
      <w:marLeft w:val="0"/>
      <w:marRight w:val="0"/>
      <w:marTop w:val="0"/>
      <w:marBottom w:val="0"/>
      <w:divBdr>
        <w:top w:val="none" w:sz="0" w:space="0" w:color="auto"/>
        <w:left w:val="none" w:sz="0" w:space="0" w:color="auto"/>
        <w:bottom w:val="none" w:sz="0" w:space="0" w:color="auto"/>
        <w:right w:val="none" w:sz="0" w:space="0" w:color="auto"/>
      </w:divBdr>
      <w:divsChild>
        <w:div w:id="584075883">
          <w:marLeft w:val="0"/>
          <w:marRight w:val="0"/>
          <w:marTop w:val="0"/>
          <w:marBottom w:val="0"/>
          <w:divBdr>
            <w:top w:val="none" w:sz="0" w:space="0" w:color="auto"/>
            <w:left w:val="none" w:sz="0" w:space="0" w:color="auto"/>
            <w:bottom w:val="none" w:sz="0" w:space="0" w:color="auto"/>
            <w:right w:val="none" w:sz="0" w:space="0" w:color="auto"/>
          </w:divBdr>
        </w:div>
        <w:div w:id="396393779">
          <w:marLeft w:val="0"/>
          <w:marRight w:val="0"/>
          <w:marTop w:val="0"/>
          <w:marBottom w:val="0"/>
          <w:divBdr>
            <w:top w:val="none" w:sz="0" w:space="0" w:color="auto"/>
            <w:left w:val="none" w:sz="0" w:space="0" w:color="auto"/>
            <w:bottom w:val="none" w:sz="0" w:space="0" w:color="auto"/>
            <w:right w:val="none" w:sz="0" w:space="0" w:color="auto"/>
          </w:divBdr>
        </w:div>
        <w:div w:id="723334481">
          <w:marLeft w:val="0"/>
          <w:marRight w:val="0"/>
          <w:marTop w:val="0"/>
          <w:marBottom w:val="0"/>
          <w:divBdr>
            <w:top w:val="none" w:sz="0" w:space="0" w:color="auto"/>
            <w:left w:val="none" w:sz="0" w:space="0" w:color="auto"/>
            <w:bottom w:val="none" w:sz="0" w:space="0" w:color="auto"/>
            <w:right w:val="none" w:sz="0" w:space="0" w:color="auto"/>
          </w:divBdr>
        </w:div>
        <w:div w:id="2061203458">
          <w:marLeft w:val="0"/>
          <w:marRight w:val="0"/>
          <w:marTop w:val="0"/>
          <w:marBottom w:val="0"/>
          <w:divBdr>
            <w:top w:val="none" w:sz="0" w:space="0" w:color="auto"/>
            <w:left w:val="none" w:sz="0" w:space="0" w:color="auto"/>
            <w:bottom w:val="none" w:sz="0" w:space="0" w:color="auto"/>
            <w:right w:val="none" w:sz="0" w:space="0" w:color="auto"/>
          </w:divBdr>
        </w:div>
      </w:divsChild>
    </w:div>
    <w:div w:id="47388392">
      <w:bodyDiv w:val="1"/>
      <w:marLeft w:val="0"/>
      <w:marRight w:val="0"/>
      <w:marTop w:val="0"/>
      <w:marBottom w:val="0"/>
      <w:divBdr>
        <w:top w:val="none" w:sz="0" w:space="0" w:color="auto"/>
        <w:left w:val="none" w:sz="0" w:space="0" w:color="auto"/>
        <w:bottom w:val="none" w:sz="0" w:space="0" w:color="auto"/>
        <w:right w:val="none" w:sz="0" w:space="0" w:color="auto"/>
      </w:divBdr>
    </w:div>
    <w:div w:id="96751079">
      <w:bodyDiv w:val="1"/>
      <w:marLeft w:val="0"/>
      <w:marRight w:val="0"/>
      <w:marTop w:val="0"/>
      <w:marBottom w:val="0"/>
      <w:divBdr>
        <w:top w:val="none" w:sz="0" w:space="0" w:color="auto"/>
        <w:left w:val="none" w:sz="0" w:space="0" w:color="auto"/>
        <w:bottom w:val="none" w:sz="0" w:space="0" w:color="auto"/>
        <w:right w:val="none" w:sz="0" w:space="0" w:color="auto"/>
      </w:divBdr>
    </w:div>
    <w:div w:id="118957846">
      <w:bodyDiv w:val="1"/>
      <w:marLeft w:val="0"/>
      <w:marRight w:val="0"/>
      <w:marTop w:val="0"/>
      <w:marBottom w:val="0"/>
      <w:divBdr>
        <w:top w:val="none" w:sz="0" w:space="0" w:color="auto"/>
        <w:left w:val="none" w:sz="0" w:space="0" w:color="auto"/>
        <w:bottom w:val="none" w:sz="0" w:space="0" w:color="auto"/>
        <w:right w:val="none" w:sz="0" w:space="0" w:color="auto"/>
      </w:divBdr>
    </w:div>
    <w:div w:id="130363616">
      <w:bodyDiv w:val="1"/>
      <w:marLeft w:val="0"/>
      <w:marRight w:val="0"/>
      <w:marTop w:val="0"/>
      <w:marBottom w:val="0"/>
      <w:divBdr>
        <w:top w:val="none" w:sz="0" w:space="0" w:color="auto"/>
        <w:left w:val="none" w:sz="0" w:space="0" w:color="auto"/>
        <w:bottom w:val="none" w:sz="0" w:space="0" w:color="auto"/>
        <w:right w:val="none" w:sz="0" w:space="0" w:color="auto"/>
      </w:divBdr>
    </w:div>
    <w:div w:id="132217309">
      <w:bodyDiv w:val="1"/>
      <w:marLeft w:val="0"/>
      <w:marRight w:val="0"/>
      <w:marTop w:val="0"/>
      <w:marBottom w:val="0"/>
      <w:divBdr>
        <w:top w:val="none" w:sz="0" w:space="0" w:color="auto"/>
        <w:left w:val="none" w:sz="0" w:space="0" w:color="auto"/>
        <w:bottom w:val="none" w:sz="0" w:space="0" w:color="auto"/>
        <w:right w:val="none" w:sz="0" w:space="0" w:color="auto"/>
      </w:divBdr>
    </w:div>
    <w:div w:id="161750020">
      <w:bodyDiv w:val="1"/>
      <w:marLeft w:val="0"/>
      <w:marRight w:val="0"/>
      <w:marTop w:val="0"/>
      <w:marBottom w:val="0"/>
      <w:divBdr>
        <w:top w:val="none" w:sz="0" w:space="0" w:color="auto"/>
        <w:left w:val="none" w:sz="0" w:space="0" w:color="auto"/>
        <w:bottom w:val="none" w:sz="0" w:space="0" w:color="auto"/>
        <w:right w:val="none" w:sz="0" w:space="0" w:color="auto"/>
      </w:divBdr>
    </w:div>
    <w:div w:id="236208031">
      <w:bodyDiv w:val="1"/>
      <w:marLeft w:val="0"/>
      <w:marRight w:val="0"/>
      <w:marTop w:val="0"/>
      <w:marBottom w:val="0"/>
      <w:divBdr>
        <w:top w:val="none" w:sz="0" w:space="0" w:color="auto"/>
        <w:left w:val="none" w:sz="0" w:space="0" w:color="auto"/>
        <w:bottom w:val="none" w:sz="0" w:space="0" w:color="auto"/>
        <w:right w:val="none" w:sz="0" w:space="0" w:color="auto"/>
      </w:divBdr>
    </w:div>
    <w:div w:id="240218861">
      <w:bodyDiv w:val="1"/>
      <w:marLeft w:val="0"/>
      <w:marRight w:val="0"/>
      <w:marTop w:val="0"/>
      <w:marBottom w:val="0"/>
      <w:divBdr>
        <w:top w:val="none" w:sz="0" w:space="0" w:color="auto"/>
        <w:left w:val="none" w:sz="0" w:space="0" w:color="auto"/>
        <w:bottom w:val="none" w:sz="0" w:space="0" w:color="auto"/>
        <w:right w:val="none" w:sz="0" w:space="0" w:color="auto"/>
      </w:divBdr>
    </w:div>
    <w:div w:id="298073796">
      <w:bodyDiv w:val="1"/>
      <w:marLeft w:val="0"/>
      <w:marRight w:val="0"/>
      <w:marTop w:val="0"/>
      <w:marBottom w:val="0"/>
      <w:divBdr>
        <w:top w:val="none" w:sz="0" w:space="0" w:color="auto"/>
        <w:left w:val="none" w:sz="0" w:space="0" w:color="auto"/>
        <w:bottom w:val="none" w:sz="0" w:space="0" w:color="auto"/>
        <w:right w:val="none" w:sz="0" w:space="0" w:color="auto"/>
      </w:divBdr>
    </w:div>
    <w:div w:id="307057721">
      <w:bodyDiv w:val="1"/>
      <w:marLeft w:val="0"/>
      <w:marRight w:val="0"/>
      <w:marTop w:val="0"/>
      <w:marBottom w:val="0"/>
      <w:divBdr>
        <w:top w:val="none" w:sz="0" w:space="0" w:color="auto"/>
        <w:left w:val="none" w:sz="0" w:space="0" w:color="auto"/>
        <w:bottom w:val="none" w:sz="0" w:space="0" w:color="auto"/>
        <w:right w:val="none" w:sz="0" w:space="0" w:color="auto"/>
      </w:divBdr>
    </w:div>
    <w:div w:id="321199248">
      <w:bodyDiv w:val="1"/>
      <w:marLeft w:val="0"/>
      <w:marRight w:val="0"/>
      <w:marTop w:val="0"/>
      <w:marBottom w:val="0"/>
      <w:divBdr>
        <w:top w:val="none" w:sz="0" w:space="0" w:color="auto"/>
        <w:left w:val="none" w:sz="0" w:space="0" w:color="auto"/>
        <w:bottom w:val="none" w:sz="0" w:space="0" w:color="auto"/>
        <w:right w:val="none" w:sz="0" w:space="0" w:color="auto"/>
      </w:divBdr>
    </w:div>
    <w:div w:id="332101650">
      <w:bodyDiv w:val="1"/>
      <w:marLeft w:val="0"/>
      <w:marRight w:val="0"/>
      <w:marTop w:val="0"/>
      <w:marBottom w:val="0"/>
      <w:divBdr>
        <w:top w:val="none" w:sz="0" w:space="0" w:color="auto"/>
        <w:left w:val="none" w:sz="0" w:space="0" w:color="auto"/>
        <w:bottom w:val="none" w:sz="0" w:space="0" w:color="auto"/>
        <w:right w:val="none" w:sz="0" w:space="0" w:color="auto"/>
      </w:divBdr>
    </w:div>
    <w:div w:id="335966071">
      <w:bodyDiv w:val="1"/>
      <w:marLeft w:val="0"/>
      <w:marRight w:val="0"/>
      <w:marTop w:val="0"/>
      <w:marBottom w:val="0"/>
      <w:divBdr>
        <w:top w:val="none" w:sz="0" w:space="0" w:color="auto"/>
        <w:left w:val="none" w:sz="0" w:space="0" w:color="auto"/>
        <w:bottom w:val="none" w:sz="0" w:space="0" w:color="auto"/>
        <w:right w:val="none" w:sz="0" w:space="0" w:color="auto"/>
      </w:divBdr>
    </w:div>
    <w:div w:id="348524965">
      <w:bodyDiv w:val="1"/>
      <w:marLeft w:val="0"/>
      <w:marRight w:val="0"/>
      <w:marTop w:val="0"/>
      <w:marBottom w:val="0"/>
      <w:divBdr>
        <w:top w:val="none" w:sz="0" w:space="0" w:color="auto"/>
        <w:left w:val="none" w:sz="0" w:space="0" w:color="auto"/>
        <w:bottom w:val="none" w:sz="0" w:space="0" w:color="auto"/>
        <w:right w:val="none" w:sz="0" w:space="0" w:color="auto"/>
      </w:divBdr>
    </w:div>
    <w:div w:id="367218645">
      <w:bodyDiv w:val="1"/>
      <w:marLeft w:val="0"/>
      <w:marRight w:val="0"/>
      <w:marTop w:val="0"/>
      <w:marBottom w:val="0"/>
      <w:divBdr>
        <w:top w:val="none" w:sz="0" w:space="0" w:color="auto"/>
        <w:left w:val="none" w:sz="0" w:space="0" w:color="auto"/>
        <w:bottom w:val="none" w:sz="0" w:space="0" w:color="auto"/>
        <w:right w:val="none" w:sz="0" w:space="0" w:color="auto"/>
      </w:divBdr>
    </w:div>
    <w:div w:id="435246959">
      <w:bodyDiv w:val="1"/>
      <w:marLeft w:val="0"/>
      <w:marRight w:val="0"/>
      <w:marTop w:val="0"/>
      <w:marBottom w:val="0"/>
      <w:divBdr>
        <w:top w:val="none" w:sz="0" w:space="0" w:color="auto"/>
        <w:left w:val="none" w:sz="0" w:space="0" w:color="auto"/>
        <w:bottom w:val="none" w:sz="0" w:space="0" w:color="auto"/>
        <w:right w:val="none" w:sz="0" w:space="0" w:color="auto"/>
      </w:divBdr>
    </w:div>
    <w:div w:id="437675679">
      <w:bodyDiv w:val="1"/>
      <w:marLeft w:val="0"/>
      <w:marRight w:val="0"/>
      <w:marTop w:val="0"/>
      <w:marBottom w:val="0"/>
      <w:divBdr>
        <w:top w:val="none" w:sz="0" w:space="0" w:color="auto"/>
        <w:left w:val="none" w:sz="0" w:space="0" w:color="auto"/>
        <w:bottom w:val="none" w:sz="0" w:space="0" w:color="auto"/>
        <w:right w:val="none" w:sz="0" w:space="0" w:color="auto"/>
      </w:divBdr>
    </w:div>
    <w:div w:id="458383544">
      <w:bodyDiv w:val="1"/>
      <w:marLeft w:val="0"/>
      <w:marRight w:val="0"/>
      <w:marTop w:val="0"/>
      <w:marBottom w:val="0"/>
      <w:divBdr>
        <w:top w:val="none" w:sz="0" w:space="0" w:color="auto"/>
        <w:left w:val="none" w:sz="0" w:space="0" w:color="auto"/>
        <w:bottom w:val="none" w:sz="0" w:space="0" w:color="auto"/>
        <w:right w:val="none" w:sz="0" w:space="0" w:color="auto"/>
      </w:divBdr>
    </w:div>
    <w:div w:id="535774903">
      <w:bodyDiv w:val="1"/>
      <w:marLeft w:val="0"/>
      <w:marRight w:val="0"/>
      <w:marTop w:val="0"/>
      <w:marBottom w:val="0"/>
      <w:divBdr>
        <w:top w:val="none" w:sz="0" w:space="0" w:color="auto"/>
        <w:left w:val="none" w:sz="0" w:space="0" w:color="auto"/>
        <w:bottom w:val="none" w:sz="0" w:space="0" w:color="auto"/>
        <w:right w:val="none" w:sz="0" w:space="0" w:color="auto"/>
      </w:divBdr>
    </w:div>
    <w:div w:id="626203753">
      <w:bodyDiv w:val="1"/>
      <w:marLeft w:val="0"/>
      <w:marRight w:val="0"/>
      <w:marTop w:val="0"/>
      <w:marBottom w:val="0"/>
      <w:divBdr>
        <w:top w:val="none" w:sz="0" w:space="0" w:color="auto"/>
        <w:left w:val="none" w:sz="0" w:space="0" w:color="auto"/>
        <w:bottom w:val="none" w:sz="0" w:space="0" w:color="auto"/>
        <w:right w:val="none" w:sz="0" w:space="0" w:color="auto"/>
      </w:divBdr>
    </w:div>
    <w:div w:id="834877560">
      <w:bodyDiv w:val="1"/>
      <w:marLeft w:val="0"/>
      <w:marRight w:val="0"/>
      <w:marTop w:val="0"/>
      <w:marBottom w:val="0"/>
      <w:divBdr>
        <w:top w:val="none" w:sz="0" w:space="0" w:color="auto"/>
        <w:left w:val="none" w:sz="0" w:space="0" w:color="auto"/>
        <w:bottom w:val="none" w:sz="0" w:space="0" w:color="auto"/>
        <w:right w:val="none" w:sz="0" w:space="0" w:color="auto"/>
      </w:divBdr>
    </w:div>
    <w:div w:id="843590205">
      <w:bodyDiv w:val="1"/>
      <w:marLeft w:val="0"/>
      <w:marRight w:val="0"/>
      <w:marTop w:val="0"/>
      <w:marBottom w:val="0"/>
      <w:divBdr>
        <w:top w:val="none" w:sz="0" w:space="0" w:color="auto"/>
        <w:left w:val="none" w:sz="0" w:space="0" w:color="auto"/>
        <w:bottom w:val="none" w:sz="0" w:space="0" w:color="auto"/>
        <w:right w:val="none" w:sz="0" w:space="0" w:color="auto"/>
      </w:divBdr>
      <w:divsChild>
        <w:div w:id="1835871103">
          <w:marLeft w:val="0"/>
          <w:marRight w:val="0"/>
          <w:marTop w:val="0"/>
          <w:marBottom w:val="0"/>
          <w:divBdr>
            <w:top w:val="none" w:sz="0" w:space="0" w:color="auto"/>
            <w:left w:val="none" w:sz="0" w:space="0" w:color="auto"/>
            <w:bottom w:val="none" w:sz="0" w:space="0" w:color="auto"/>
            <w:right w:val="none" w:sz="0" w:space="0" w:color="auto"/>
          </w:divBdr>
          <w:divsChild>
            <w:div w:id="14869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354247">
      <w:bodyDiv w:val="1"/>
      <w:marLeft w:val="0"/>
      <w:marRight w:val="0"/>
      <w:marTop w:val="0"/>
      <w:marBottom w:val="0"/>
      <w:divBdr>
        <w:top w:val="none" w:sz="0" w:space="0" w:color="auto"/>
        <w:left w:val="none" w:sz="0" w:space="0" w:color="auto"/>
        <w:bottom w:val="none" w:sz="0" w:space="0" w:color="auto"/>
        <w:right w:val="none" w:sz="0" w:space="0" w:color="auto"/>
      </w:divBdr>
    </w:div>
    <w:div w:id="905604343">
      <w:bodyDiv w:val="1"/>
      <w:marLeft w:val="0"/>
      <w:marRight w:val="0"/>
      <w:marTop w:val="0"/>
      <w:marBottom w:val="0"/>
      <w:divBdr>
        <w:top w:val="none" w:sz="0" w:space="0" w:color="auto"/>
        <w:left w:val="none" w:sz="0" w:space="0" w:color="auto"/>
        <w:bottom w:val="none" w:sz="0" w:space="0" w:color="auto"/>
        <w:right w:val="none" w:sz="0" w:space="0" w:color="auto"/>
      </w:divBdr>
    </w:div>
    <w:div w:id="909536492">
      <w:bodyDiv w:val="1"/>
      <w:marLeft w:val="0"/>
      <w:marRight w:val="0"/>
      <w:marTop w:val="0"/>
      <w:marBottom w:val="0"/>
      <w:divBdr>
        <w:top w:val="none" w:sz="0" w:space="0" w:color="auto"/>
        <w:left w:val="none" w:sz="0" w:space="0" w:color="auto"/>
        <w:bottom w:val="none" w:sz="0" w:space="0" w:color="auto"/>
        <w:right w:val="none" w:sz="0" w:space="0" w:color="auto"/>
      </w:divBdr>
    </w:div>
    <w:div w:id="916868289">
      <w:bodyDiv w:val="1"/>
      <w:marLeft w:val="0"/>
      <w:marRight w:val="0"/>
      <w:marTop w:val="0"/>
      <w:marBottom w:val="0"/>
      <w:divBdr>
        <w:top w:val="none" w:sz="0" w:space="0" w:color="auto"/>
        <w:left w:val="none" w:sz="0" w:space="0" w:color="auto"/>
        <w:bottom w:val="none" w:sz="0" w:space="0" w:color="auto"/>
        <w:right w:val="none" w:sz="0" w:space="0" w:color="auto"/>
      </w:divBdr>
    </w:div>
    <w:div w:id="941839725">
      <w:bodyDiv w:val="1"/>
      <w:marLeft w:val="0"/>
      <w:marRight w:val="0"/>
      <w:marTop w:val="0"/>
      <w:marBottom w:val="0"/>
      <w:divBdr>
        <w:top w:val="none" w:sz="0" w:space="0" w:color="auto"/>
        <w:left w:val="none" w:sz="0" w:space="0" w:color="auto"/>
        <w:bottom w:val="none" w:sz="0" w:space="0" w:color="auto"/>
        <w:right w:val="none" w:sz="0" w:space="0" w:color="auto"/>
      </w:divBdr>
    </w:div>
    <w:div w:id="1039891785">
      <w:bodyDiv w:val="1"/>
      <w:marLeft w:val="0"/>
      <w:marRight w:val="0"/>
      <w:marTop w:val="0"/>
      <w:marBottom w:val="0"/>
      <w:divBdr>
        <w:top w:val="none" w:sz="0" w:space="0" w:color="auto"/>
        <w:left w:val="none" w:sz="0" w:space="0" w:color="auto"/>
        <w:bottom w:val="none" w:sz="0" w:space="0" w:color="auto"/>
        <w:right w:val="none" w:sz="0" w:space="0" w:color="auto"/>
      </w:divBdr>
    </w:div>
    <w:div w:id="1077748626">
      <w:bodyDiv w:val="1"/>
      <w:marLeft w:val="0"/>
      <w:marRight w:val="0"/>
      <w:marTop w:val="0"/>
      <w:marBottom w:val="0"/>
      <w:divBdr>
        <w:top w:val="none" w:sz="0" w:space="0" w:color="auto"/>
        <w:left w:val="none" w:sz="0" w:space="0" w:color="auto"/>
        <w:bottom w:val="none" w:sz="0" w:space="0" w:color="auto"/>
        <w:right w:val="none" w:sz="0" w:space="0" w:color="auto"/>
      </w:divBdr>
    </w:div>
    <w:div w:id="1093937629">
      <w:bodyDiv w:val="1"/>
      <w:marLeft w:val="0"/>
      <w:marRight w:val="0"/>
      <w:marTop w:val="0"/>
      <w:marBottom w:val="0"/>
      <w:divBdr>
        <w:top w:val="none" w:sz="0" w:space="0" w:color="auto"/>
        <w:left w:val="none" w:sz="0" w:space="0" w:color="auto"/>
        <w:bottom w:val="none" w:sz="0" w:space="0" w:color="auto"/>
        <w:right w:val="none" w:sz="0" w:space="0" w:color="auto"/>
      </w:divBdr>
    </w:div>
    <w:div w:id="1111707919">
      <w:bodyDiv w:val="1"/>
      <w:marLeft w:val="0"/>
      <w:marRight w:val="0"/>
      <w:marTop w:val="0"/>
      <w:marBottom w:val="0"/>
      <w:divBdr>
        <w:top w:val="none" w:sz="0" w:space="0" w:color="auto"/>
        <w:left w:val="none" w:sz="0" w:space="0" w:color="auto"/>
        <w:bottom w:val="none" w:sz="0" w:space="0" w:color="auto"/>
        <w:right w:val="none" w:sz="0" w:space="0" w:color="auto"/>
      </w:divBdr>
    </w:div>
    <w:div w:id="1130057418">
      <w:bodyDiv w:val="1"/>
      <w:marLeft w:val="0"/>
      <w:marRight w:val="0"/>
      <w:marTop w:val="0"/>
      <w:marBottom w:val="0"/>
      <w:divBdr>
        <w:top w:val="none" w:sz="0" w:space="0" w:color="auto"/>
        <w:left w:val="none" w:sz="0" w:space="0" w:color="auto"/>
        <w:bottom w:val="none" w:sz="0" w:space="0" w:color="auto"/>
        <w:right w:val="none" w:sz="0" w:space="0" w:color="auto"/>
      </w:divBdr>
    </w:div>
    <w:div w:id="1149589082">
      <w:bodyDiv w:val="1"/>
      <w:marLeft w:val="0"/>
      <w:marRight w:val="0"/>
      <w:marTop w:val="0"/>
      <w:marBottom w:val="0"/>
      <w:divBdr>
        <w:top w:val="none" w:sz="0" w:space="0" w:color="auto"/>
        <w:left w:val="none" w:sz="0" w:space="0" w:color="auto"/>
        <w:bottom w:val="none" w:sz="0" w:space="0" w:color="auto"/>
        <w:right w:val="none" w:sz="0" w:space="0" w:color="auto"/>
      </w:divBdr>
    </w:div>
    <w:div w:id="1169755462">
      <w:bodyDiv w:val="1"/>
      <w:marLeft w:val="0"/>
      <w:marRight w:val="0"/>
      <w:marTop w:val="0"/>
      <w:marBottom w:val="0"/>
      <w:divBdr>
        <w:top w:val="none" w:sz="0" w:space="0" w:color="auto"/>
        <w:left w:val="none" w:sz="0" w:space="0" w:color="auto"/>
        <w:bottom w:val="none" w:sz="0" w:space="0" w:color="auto"/>
        <w:right w:val="none" w:sz="0" w:space="0" w:color="auto"/>
      </w:divBdr>
    </w:div>
    <w:div w:id="1403798234">
      <w:bodyDiv w:val="1"/>
      <w:marLeft w:val="0"/>
      <w:marRight w:val="0"/>
      <w:marTop w:val="0"/>
      <w:marBottom w:val="0"/>
      <w:divBdr>
        <w:top w:val="none" w:sz="0" w:space="0" w:color="auto"/>
        <w:left w:val="none" w:sz="0" w:space="0" w:color="auto"/>
        <w:bottom w:val="none" w:sz="0" w:space="0" w:color="auto"/>
        <w:right w:val="none" w:sz="0" w:space="0" w:color="auto"/>
      </w:divBdr>
    </w:div>
    <w:div w:id="1409036510">
      <w:bodyDiv w:val="1"/>
      <w:marLeft w:val="0"/>
      <w:marRight w:val="0"/>
      <w:marTop w:val="0"/>
      <w:marBottom w:val="0"/>
      <w:divBdr>
        <w:top w:val="none" w:sz="0" w:space="0" w:color="auto"/>
        <w:left w:val="none" w:sz="0" w:space="0" w:color="auto"/>
        <w:bottom w:val="none" w:sz="0" w:space="0" w:color="auto"/>
        <w:right w:val="none" w:sz="0" w:space="0" w:color="auto"/>
      </w:divBdr>
    </w:div>
    <w:div w:id="1488668987">
      <w:bodyDiv w:val="1"/>
      <w:marLeft w:val="0"/>
      <w:marRight w:val="0"/>
      <w:marTop w:val="0"/>
      <w:marBottom w:val="0"/>
      <w:divBdr>
        <w:top w:val="none" w:sz="0" w:space="0" w:color="auto"/>
        <w:left w:val="none" w:sz="0" w:space="0" w:color="auto"/>
        <w:bottom w:val="none" w:sz="0" w:space="0" w:color="auto"/>
        <w:right w:val="none" w:sz="0" w:space="0" w:color="auto"/>
      </w:divBdr>
    </w:div>
    <w:div w:id="1520391497">
      <w:bodyDiv w:val="1"/>
      <w:marLeft w:val="0"/>
      <w:marRight w:val="0"/>
      <w:marTop w:val="0"/>
      <w:marBottom w:val="0"/>
      <w:divBdr>
        <w:top w:val="none" w:sz="0" w:space="0" w:color="auto"/>
        <w:left w:val="none" w:sz="0" w:space="0" w:color="auto"/>
        <w:bottom w:val="none" w:sz="0" w:space="0" w:color="auto"/>
        <w:right w:val="none" w:sz="0" w:space="0" w:color="auto"/>
      </w:divBdr>
    </w:div>
    <w:div w:id="1591890498">
      <w:bodyDiv w:val="1"/>
      <w:marLeft w:val="0"/>
      <w:marRight w:val="0"/>
      <w:marTop w:val="0"/>
      <w:marBottom w:val="0"/>
      <w:divBdr>
        <w:top w:val="none" w:sz="0" w:space="0" w:color="auto"/>
        <w:left w:val="none" w:sz="0" w:space="0" w:color="auto"/>
        <w:bottom w:val="none" w:sz="0" w:space="0" w:color="auto"/>
        <w:right w:val="none" w:sz="0" w:space="0" w:color="auto"/>
      </w:divBdr>
    </w:div>
    <w:div w:id="1688558269">
      <w:bodyDiv w:val="1"/>
      <w:marLeft w:val="0"/>
      <w:marRight w:val="0"/>
      <w:marTop w:val="0"/>
      <w:marBottom w:val="0"/>
      <w:divBdr>
        <w:top w:val="none" w:sz="0" w:space="0" w:color="auto"/>
        <w:left w:val="none" w:sz="0" w:space="0" w:color="auto"/>
        <w:bottom w:val="none" w:sz="0" w:space="0" w:color="auto"/>
        <w:right w:val="none" w:sz="0" w:space="0" w:color="auto"/>
      </w:divBdr>
    </w:div>
    <w:div w:id="1688748214">
      <w:bodyDiv w:val="1"/>
      <w:marLeft w:val="0"/>
      <w:marRight w:val="0"/>
      <w:marTop w:val="0"/>
      <w:marBottom w:val="0"/>
      <w:divBdr>
        <w:top w:val="none" w:sz="0" w:space="0" w:color="auto"/>
        <w:left w:val="none" w:sz="0" w:space="0" w:color="auto"/>
        <w:bottom w:val="none" w:sz="0" w:space="0" w:color="auto"/>
        <w:right w:val="none" w:sz="0" w:space="0" w:color="auto"/>
      </w:divBdr>
    </w:div>
    <w:div w:id="1690985583">
      <w:bodyDiv w:val="1"/>
      <w:marLeft w:val="0"/>
      <w:marRight w:val="0"/>
      <w:marTop w:val="0"/>
      <w:marBottom w:val="0"/>
      <w:divBdr>
        <w:top w:val="none" w:sz="0" w:space="0" w:color="auto"/>
        <w:left w:val="none" w:sz="0" w:space="0" w:color="auto"/>
        <w:bottom w:val="none" w:sz="0" w:space="0" w:color="auto"/>
        <w:right w:val="none" w:sz="0" w:space="0" w:color="auto"/>
      </w:divBdr>
    </w:div>
    <w:div w:id="1809663754">
      <w:bodyDiv w:val="1"/>
      <w:marLeft w:val="0"/>
      <w:marRight w:val="0"/>
      <w:marTop w:val="0"/>
      <w:marBottom w:val="0"/>
      <w:divBdr>
        <w:top w:val="none" w:sz="0" w:space="0" w:color="auto"/>
        <w:left w:val="none" w:sz="0" w:space="0" w:color="auto"/>
        <w:bottom w:val="none" w:sz="0" w:space="0" w:color="auto"/>
        <w:right w:val="none" w:sz="0" w:space="0" w:color="auto"/>
      </w:divBdr>
    </w:div>
    <w:div w:id="1825926592">
      <w:bodyDiv w:val="1"/>
      <w:marLeft w:val="0"/>
      <w:marRight w:val="0"/>
      <w:marTop w:val="0"/>
      <w:marBottom w:val="0"/>
      <w:divBdr>
        <w:top w:val="none" w:sz="0" w:space="0" w:color="auto"/>
        <w:left w:val="none" w:sz="0" w:space="0" w:color="auto"/>
        <w:bottom w:val="none" w:sz="0" w:space="0" w:color="auto"/>
        <w:right w:val="none" w:sz="0" w:space="0" w:color="auto"/>
      </w:divBdr>
    </w:div>
    <w:div w:id="1829441077">
      <w:bodyDiv w:val="1"/>
      <w:marLeft w:val="0"/>
      <w:marRight w:val="0"/>
      <w:marTop w:val="0"/>
      <w:marBottom w:val="0"/>
      <w:divBdr>
        <w:top w:val="none" w:sz="0" w:space="0" w:color="auto"/>
        <w:left w:val="none" w:sz="0" w:space="0" w:color="auto"/>
        <w:bottom w:val="none" w:sz="0" w:space="0" w:color="auto"/>
        <w:right w:val="none" w:sz="0" w:space="0" w:color="auto"/>
      </w:divBdr>
    </w:div>
    <w:div w:id="1832064408">
      <w:bodyDiv w:val="1"/>
      <w:marLeft w:val="0"/>
      <w:marRight w:val="0"/>
      <w:marTop w:val="0"/>
      <w:marBottom w:val="0"/>
      <w:divBdr>
        <w:top w:val="none" w:sz="0" w:space="0" w:color="auto"/>
        <w:left w:val="none" w:sz="0" w:space="0" w:color="auto"/>
        <w:bottom w:val="none" w:sz="0" w:space="0" w:color="auto"/>
        <w:right w:val="none" w:sz="0" w:space="0" w:color="auto"/>
      </w:divBdr>
    </w:div>
    <w:div w:id="1858234833">
      <w:bodyDiv w:val="1"/>
      <w:marLeft w:val="0"/>
      <w:marRight w:val="0"/>
      <w:marTop w:val="0"/>
      <w:marBottom w:val="0"/>
      <w:divBdr>
        <w:top w:val="none" w:sz="0" w:space="0" w:color="auto"/>
        <w:left w:val="none" w:sz="0" w:space="0" w:color="auto"/>
        <w:bottom w:val="none" w:sz="0" w:space="0" w:color="auto"/>
        <w:right w:val="none" w:sz="0" w:space="0" w:color="auto"/>
      </w:divBdr>
    </w:div>
    <w:div w:id="1895114791">
      <w:bodyDiv w:val="1"/>
      <w:marLeft w:val="0"/>
      <w:marRight w:val="0"/>
      <w:marTop w:val="0"/>
      <w:marBottom w:val="0"/>
      <w:divBdr>
        <w:top w:val="none" w:sz="0" w:space="0" w:color="auto"/>
        <w:left w:val="none" w:sz="0" w:space="0" w:color="auto"/>
        <w:bottom w:val="none" w:sz="0" w:space="0" w:color="auto"/>
        <w:right w:val="none" w:sz="0" w:space="0" w:color="auto"/>
      </w:divBdr>
    </w:div>
    <w:div w:id="1930774645">
      <w:bodyDiv w:val="1"/>
      <w:marLeft w:val="0"/>
      <w:marRight w:val="0"/>
      <w:marTop w:val="0"/>
      <w:marBottom w:val="0"/>
      <w:divBdr>
        <w:top w:val="none" w:sz="0" w:space="0" w:color="auto"/>
        <w:left w:val="none" w:sz="0" w:space="0" w:color="auto"/>
        <w:bottom w:val="none" w:sz="0" w:space="0" w:color="auto"/>
        <w:right w:val="none" w:sz="0" w:space="0" w:color="auto"/>
      </w:divBdr>
      <w:divsChild>
        <w:div w:id="739907605">
          <w:marLeft w:val="0"/>
          <w:marRight w:val="0"/>
          <w:marTop w:val="0"/>
          <w:marBottom w:val="0"/>
          <w:divBdr>
            <w:top w:val="none" w:sz="0" w:space="0" w:color="auto"/>
            <w:left w:val="none" w:sz="0" w:space="0" w:color="auto"/>
            <w:bottom w:val="none" w:sz="0" w:space="0" w:color="auto"/>
            <w:right w:val="none" w:sz="0" w:space="0" w:color="auto"/>
          </w:divBdr>
        </w:div>
        <w:div w:id="1885560734">
          <w:marLeft w:val="0"/>
          <w:marRight w:val="0"/>
          <w:marTop w:val="0"/>
          <w:marBottom w:val="0"/>
          <w:divBdr>
            <w:top w:val="none" w:sz="0" w:space="0" w:color="auto"/>
            <w:left w:val="none" w:sz="0" w:space="0" w:color="auto"/>
            <w:bottom w:val="none" w:sz="0" w:space="0" w:color="auto"/>
            <w:right w:val="none" w:sz="0" w:space="0" w:color="auto"/>
          </w:divBdr>
        </w:div>
        <w:div w:id="1159232835">
          <w:marLeft w:val="0"/>
          <w:marRight w:val="0"/>
          <w:marTop w:val="0"/>
          <w:marBottom w:val="0"/>
          <w:divBdr>
            <w:top w:val="none" w:sz="0" w:space="0" w:color="auto"/>
            <w:left w:val="none" w:sz="0" w:space="0" w:color="auto"/>
            <w:bottom w:val="none" w:sz="0" w:space="0" w:color="auto"/>
            <w:right w:val="none" w:sz="0" w:space="0" w:color="auto"/>
          </w:divBdr>
        </w:div>
        <w:div w:id="734089038">
          <w:marLeft w:val="0"/>
          <w:marRight w:val="0"/>
          <w:marTop w:val="0"/>
          <w:marBottom w:val="0"/>
          <w:divBdr>
            <w:top w:val="none" w:sz="0" w:space="0" w:color="auto"/>
            <w:left w:val="none" w:sz="0" w:space="0" w:color="auto"/>
            <w:bottom w:val="none" w:sz="0" w:space="0" w:color="auto"/>
            <w:right w:val="none" w:sz="0" w:space="0" w:color="auto"/>
          </w:divBdr>
        </w:div>
      </w:divsChild>
    </w:div>
    <w:div w:id="1958364099">
      <w:bodyDiv w:val="1"/>
      <w:marLeft w:val="0"/>
      <w:marRight w:val="0"/>
      <w:marTop w:val="0"/>
      <w:marBottom w:val="0"/>
      <w:divBdr>
        <w:top w:val="none" w:sz="0" w:space="0" w:color="auto"/>
        <w:left w:val="none" w:sz="0" w:space="0" w:color="auto"/>
        <w:bottom w:val="none" w:sz="0" w:space="0" w:color="auto"/>
        <w:right w:val="none" w:sz="0" w:space="0" w:color="auto"/>
      </w:divBdr>
    </w:div>
    <w:div w:id="2087411008">
      <w:bodyDiv w:val="1"/>
      <w:marLeft w:val="0"/>
      <w:marRight w:val="0"/>
      <w:marTop w:val="0"/>
      <w:marBottom w:val="0"/>
      <w:divBdr>
        <w:top w:val="none" w:sz="0" w:space="0" w:color="auto"/>
        <w:left w:val="none" w:sz="0" w:space="0" w:color="auto"/>
        <w:bottom w:val="none" w:sz="0" w:space="0" w:color="auto"/>
        <w:right w:val="none" w:sz="0" w:space="0" w:color="auto"/>
      </w:divBdr>
    </w:div>
    <w:div w:id="2124762843">
      <w:bodyDiv w:val="1"/>
      <w:marLeft w:val="0"/>
      <w:marRight w:val="0"/>
      <w:marTop w:val="0"/>
      <w:marBottom w:val="0"/>
      <w:divBdr>
        <w:top w:val="none" w:sz="0" w:space="0" w:color="auto"/>
        <w:left w:val="none" w:sz="0" w:space="0" w:color="auto"/>
        <w:bottom w:val="none" w:sz="0" w:space="0" w:color="auto"/>
        <w:right w:val="none" w:sz="0" w:space="0" w:color="auto"/>
      </w:divBdr>
      <w:divsChild>
        <w:div w:id="320041822">
          <w:marLeft w:val="0"/>
          <w:marRight w:val="0"/>
          <w:marTop w:val="0"/>
          <w:marBottom w:val="0"/>
          <w:divBdr>
            <w:top w:val="none" w:sz="0" w:space="0" w:color="auto"/>
            <w:left w:val="none" w:sz="0" w:space="0" w:color="auto"/>
            <w:bottom w:val="none" w:sz="0" w:space="0" w:color="auto"/>
            <w:right w:val="none" w:sz="0" w:space="0" w:color="auto"/>
          </w:divBdr>
          <w:divsChild>
            <w:div w:id="142360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07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unctad.org/meeting/capacity-building-workshop-domestic-resource-mobilization-and-illicit-financial-flows" TargetMode="External"/><Relationship Id="rId21" Type="http://schemas.openxmlformats.org/officeDocument/2006/relationships/hyperlink" Target="https://inff.org/about/about-inffs" TargetMode="External"/><Relationship Id="rId42" Type="http://schemas.openxmlformats.org/officeDocument/2006/relationships/hyperlink" Target="https://financing.desa.un.org/events/transforming-economies-through-integrated-national-financing-frameworks-inffs" TargetMode="External"/><Relationship Id="rId63" Type="http://schemas.openxmlformats.org/officeDocument/2006/relationships/hyperlink" Target="https://piers.unece.org/" TargetMode="External"/><Relationship Id="rId84" Type="http://schemas.openxmlformats.org/officeDocument/2006/relationships/hyperlink" Target="http://www.un.org/development/desa/da/wp-content/uploads/sites/52/2024/03/DA-project-evaluation-report-template-for-T13.docx" TargetMode="External"/><Relationship Id="rId138" Type="http://schemas.openxmlformats.org/officeDocument/2006/relationships/hyperlink" Target="mailto:chowla@un.org" TargetMode="External"/><Relationship Id="rId159" Type="http://schemas.openxmlformats.org/officeDocument/2006/relationships/hyperlink" Target="https://docs.un.org/en/E/HLPF/2023/3/ADD.5" TargetMode="External"/><Relationship Id="rId170" Type="http://schemas.openxmlformats.org/officeDocument/2006/relationships/hyperlink" Target="https://unctad.org/meeting/interregional-training-workshop-statistical-measurement-tax-and-commercial-illicit" TargetMode="External"/><Relationship Id="rId191" Type="http://schemas.openxmlformats.org/officeDocument/2006/relationships/hyperlink" Target="https://mped.gov.eg/adminpanel/sharedFiles/EGYPT%E2%80%99s_Integrated_National_Financing_16-9-2024_ab5.pdf" TargetMode="External"/><Relationship Id="rId205" Type="http://schemas.openxmlformats.org/officeDocument/2006/relationships/hyperlink" Target="https://sdgs.un.org/2030agenda" TargetMode="External"/><Relationship Id="rId107" Type="http://schemas.openxmlformats.org/officeDocument/2006/relationships/hyperlink" Target="https://unctad.org/publication/accounting-and-financial-reporting-guidelines-small-and-medium-sized-enterprises-1" TargetMode="External"/><Relationship Id="rId11" Type="http://schemas.openxmlformats.org/officeDocument/2006/relationships/endnotes" Target="endnotes.xml"/><Relationship Id="rId32" Type="http://schemas.openxmlformats.org/officeDocument/2006/relationships/hyperlink" Target="https://inff.org/assets/resource/undp-rbap-development-finance-assessment-samoa-2020.pdf" TargetMode="External"/><Relationship Id="rId53" Type="http://schemas.openxmlformats.org/officeDocument/2006/relationships/hyperlink" Target="https://www.jointsdgfund.org/programme/zambias-integrated-financing-framework-sustainable-development" TargetMode="External"/><Relationship Id="rId74" Type="http://schemas.openxmlformats.org/officeDocument/2006/relationships/hyperlink" Target="https://www.youtube.com/watch?v=gC1YFbZANCQ" TargetMode="External"/><Relationship Id="rId128" Type="http://schemas.openxmlformats.org/officeDocument/2006/relationships/hyperlink" Target="https://www.unescwa.org/sites/default/files/event/materials/2100668%20Integrated%20national%20financing%20frameworks.pdf" TargetMode="External"/><Relationship Id="rId149" Type="http://schemas.openxmlformats.org/officeDocument/2006/relationships/hyperlink" Target="https://www.uneca.org/sites/default/files/MGD/INFF/Evaluation%20Report%20-%20Workshop%20on%20Integrated%20National%20Financing%20Frameworks%20-%20INFF.pdf" TargetMode="External"/><Relationship Id="rId5" Type="http://schemas.openxmlformats.org/officeDocument/2006/relationships/customXml" Target="../customXml/item4.xml"/><Relationship Id="rId95" Type="http://schemas.openxmlformats.org/officeDocument/2006/relationships/hyperlink" Target="https://unctad.org/topic/enterprise-development/Empretec" TargetMode="External"/><Relationship Id="rId160" Type="http://schemas.openxmlformats.org/officeDocument/2006/relationships/hyperlink" Target="https://ffd.unescwa.org/" TargetMode="External"/><Relationship Id="rId181" Type="http://schemas.openxmlformats.org/officeDocument/2006/relationships/hyperlink" Target="https://www.sbfnetwork.org/about-sbf-network" TargetMode="External"/><Relationship Id="rId216" Type="http://schemas.openxmlformats.org/officeDocument/2006/relationships/hyperlink" Target="https://sdgs.un.org/2030agenda" TargetMode="External"/><Relationship Id="rId22" Type="http://schemas.openxmlformats.org/officeDocument/2006/relationships/hyperlink" Target="https://inff.org/about/about-inffs" TargetMode="External"/><Relationship Id="rId43" Type="http://schemas.openxmlformats.org/officeDocument/2006/relationships/image" Target="media/image2.emf"/><Relationship Id="rId64" Type="http://schemas.openxmlformats.org/officeDocument/2006/relationships/hyperlink" Target="https://unece.org/info/events/event/387893" TargetMode="External"/><Relationship Id="rId118" Type="http://schemas.openxmlformats.org/officeDocument/2006/relationships/hyperlink" Target="https://unctad.org/meeting/workshop-impact-investing-zambia-and-corporate-sustainability-reporting-implementation-sdgs" TargetMode="External"/><Relationship Id="rId139" Type="http://schemas.openxmlformats.org/officeDocument/2006/relationships/hyperlink" Target="mailto:meladze@un.org" TargetMode="External"/><Relationship Id="rId85" Type="http://schemas.openxmlformats.org/officeDocument/2006/relationships/hyperlink" Target="http://www.un.org/development/desa/da/wp-content/uploads/sites/52/2024/03/DA-project-evaluation-report-template-for-T13.docx" TargetMode="External"/><Relationship Id="rId150" Type="http://schemas.openxmlformats.org/officeDocument/2006/relationships/hyperlink" Target="https://inff.org/resource/regional-training-workshop-on-inffs-in-africa-workshop-report" TargetMode="External"/><Relationship Id="rId171" Type="http://schemas.openxmlformats.org/officeDocument/2006/relationships/hyperlink" Target="https://unece.org/ppp/em" TargetMode="External"/><Relationship Id="rId192" Type="http://schemas.openxmlformats.org/officeDocument/2006/relationships/hyperlink" Target="https://unsdg.un.org/2030-agenda/universal-values/leave-no-one-behind" TargetMode="External"/><Relationship Id="rId206" Type="http://schemas.openxmlformats.org/officeDocument/2006/relationships/hyperlink" Target="https://www.na.gov.pk/en/resolution_detail.php?id=229" TargetMode="External"/><Relationship Id="rId12" Type="http://schemas.openxmlformats.org/officeDocument/2006/relationships/header" Target="header1.xml"/><Relationship Id="rId33" Type="http://schemas.openxmlformats.org/officeDocument/2006/relationships/hyperlink" Target="https://inff.org/assets/resource/development-finance-assessment-for-zambia.pdf" TargetMode="External"/><Relationship Id="rId108" Type="http://schemas.openxmlformats.org/officeDocument/2006/relationships/hyperlink" Target="https://www.youtube.com/watch?v=gC1YFbZANCQ" TargetMode="External"/><Relationship Id="rId129" Type="http://schemas.openxmlformats.org/officeDocument/2006/relationships/hyperlink" Target="https://www.unescwa.org/sites/default/files/event/materials/12-%20%D8%A7%D9%84%D9%86%D9%8F%D9%87%D9%8F%D8%AC%20%D8%A7%D9%84%D9%85%D8%A8%D8%AA%D9%83%D8%B1%D8%A9%20%D9%84%D9%88%D8%B6%D8%B9%20%D8%A7%D9%84%D8%B3%D9%8A%D8%A7%D8%B3%D8%A7%D8%AA.pdf" TargetMode="External"/><Relationship Id="rId54" Type="http://schemas.openxmlformats.org/officeDocument/2006/relationships/hyperlink" Target="https://inff.org/event/training-workshop-or-integrated-national-financing-frameworks-inffs-and-budgeting-for-the-2030-agenda-financing-sustainable-and-inclusive-recovery" TargetMode="External"/><Relationship Id="rId75" Type="http://schemas.openxmlformats.org/officeDocument/2006/relationships/hyperlink" Target="https://unece.org/sites/default/files/2024-03/Programme%20-%20UNECE%20UNCTAD%20Regional%20Event%20on%20INFF%20-%2021%20March%202024.pdf" TargetMode="External"/><Relationship Id="rId96" Type="http://schemas.openxmlformats.org/officeDocument/2006/relationships/hyperlink" Target="https://unctad.org/publication/accounting-development-tool-building-accounting-development" TargetMode="External"/><Relationship Id="rId140" Type="http://schemas.openxmlformats.org/officeDocument/2006/relationships/hyperlink" Target="mailto:chowla@un.org" TargetMode="External"/><Relationship Id="rId161" Type="http://schemas.openxmlformats.org/officeDocument/2006/relationships/hyperlink" Target="https://financing.desa.un.org/capacity-development/topics/integrated-national-financing-frameworks" TargetMode="External"/><Relationship Id="rId182" Type="http://schemas.openxmlformats.org/officeDocument/2006/relationships/hyperlink" Target="https://cnc.gob.do/wp-content/uploads/2025/06/Documento-META-RD-2036.pdf" TargetMode="External"/><Relationship Id="rId217" Type="http://schemas.openxmlformats.org/officeDocument/2006/relationships/hyperlink" Target="https://www.mofnp.gov.zm/?wpdmpro=8ndp-2022-2026" TargetMode="External"/><Relationship Id="rId6" Type="http://schemas.openxmlformats.org/officeDocument/2006/relationships/numbering" Target="numbering.xml"/><Relationship Id="rId23" Type="http://schemas.openxmlformats.org/officeDocument/2006/relationships/hyperlink" Target="https://inff.org/assets/resource/inff_inception-phase_final-(1).pdf" TargetMode="External"/><Relationship Id="rId119" Type="http://schemas.openxmlformats.org/officeDocument/2006/relationships/hyperlink" Target="https://unctad.org/meeting/capacity-building-workshops-public-private-partnerships-zambia" TargetMode="External"/><Relationship Id="rId44" Type="http://schemas.openxmlformats.org/officeDocument/2006/relationships/image" Target="media/image3.emf"/><Relationship Id="rId65" Type="http://schemas.openxmlformats.org/officeDocument/2006/relationships/hyperlink" Target="https://unece.org/media/economic-cooperation-and-integration/Public-Private-Partnerships-(PPP)/news/397928" TargetMode="External"/><Relationship Id="rId86" Type="http://schemas.openxmlformats.org/officeDocument/2006/relationships/hyperlink" Target="https://www.un.org/development/desa/da/wp-content/uploads/sites/52/da-project-management-documents/2253_1571321382_UN%20DA%20Evaluation%20Guidelines%20(Final).pdf" TargetMode="External"/><Relationship Id="rId130" Type="http://schemas.openxmlformats.org/officeDocument/2006/relationships/hyperlink" Target="https://www.unescwa.org/sites/default/files/event/materials/13-%20%D8%AD%D9%84%D9%88%D9%84%20%D8%A7%D9%84%D8%B0%D9%83%D8%A7%D8%A1%20%D9%88%D8%AA%D8%B7%D8%A8%D9%8A%D9%82%D8%A7%D8%AA%20%D8%A7%D9%84%D8%AA%D8%B9%D9%84%D9%91%D9%85%20%D8%A7%D9%84%D8%A2%D9%84%D9%8A%20%D9%84%D9%88%D8%B6%D8%B9%20%D9%85%D9%8A%D8%B2%D8%A7%D9%86%D9%8A%D8%A9%20%D9%84%D8%A3%D9%87%D8%AF%D8%A7%D9%81%20%D8%A7%D9%84%D8%AA%D9%86%D9%85%D9%8A%D8%A9%20%D8%A7%D9%84%D9%85%D8%B3%D8%AA%D8%AF%D8%A7%D9%85%D8%A9.pdf" TargetMode="External"/><Relationship Id="rId151" Type="http://schemas.openxmlformats.org/officeDocument/2006/relationships/hyperlink" Target="https://unece.org/sites/default/files/2024-02/English%20-%20User%20Guide%20-%20PIERS%20Self-Assessment%20Tool.pdf" TargetMode="External"/><Relationship Id="rId172" Type="http://schemas.openxmlformats.org/officeDocument/2006/relationships/hyperlink" Target="https://www.uneca.org/?q=events/macroeconomics-and-governance/workshop-on-integrated-national-financing-frameworks-in-africa" TargetMode="External"/><Relationship Id="rId193" Type="http://schemas.openxmlformats.org/officeDocument/2006/relationships/hyperlink" Target="https://view.officeapps.live.com/op/view.aspx?src=http%3A%2F%2Fdonors.kg%2Fimages%2FNational_Development_Strategy_of_KR_2018-2040_final_ENG.docx&amp;wdOrigin=BROWSELINK" TargetMode="External"/><Relationship Id="rId207" Type="http://schemas.openxmlformats.org/officeDocument/2006/relationships/hyperlink" Target="https://pc.gov.pk/uploads/uraanpakistan_book.pdf" TargetMode="External"/><Relationship Id="rId13" Type="http://schemas.openxmlformats.org/officeDocument/2006/relationships/footer" Target="footer1.xml"/><Relationship Id="rId109" Type="http://schemas.openxmlformats.org/officeDocument/2006/relationships/hyperlink" Target="https://www.unescwa.org/publications/integrated-national-financing-strategy-egypt-policy-brief" TargetMode="External"/><Relationship Id="rId34" Type="http://schemas.openxmlformats.org/officeDocument/2006/relationships/hyperlink" Target="https://www.cabinet.gov.zm/newsite/wp-content/uploads/2023/12/8NDP-2022-2026.pdf" TargetMode="External"/><Relationship Id="rId55" Type="http://schemas.openxmlformats.org/officeDocument/2006/relationships/hyperlink" Target="https://www.unescap.org/events/2023/regional-knowledge-exchange-financing-sustainable-development-asia-pacific-region-times" TargetMode="External"/><Relationship Id="rId76" Type="http://schemas.openxmlformats.org/officeDocument/2006/relationships/hyperlink" Target="https://unctad.org/isar/areas-of-work/regional-partnership-in-eurasia" TargetMode="External"/><Relationship Id="rId97" Type="http://schemas.openxmlformats.org/officeDocument/2006/relationships/hyperlink" Target="https://unctad.org/publication/accounting-and-financial-reporting-guidelines-small-and-medium-sized-enterprises-1" TargetMode="External"/><Relationship Id="rId120" Type="http://schemas.openxmlformats.org/officeDocument/2006/relationships/hyperlink" Target="https://repository.uneca.org/handle/10855/49964" TargetMode="External"/><Relationship Id="rId141" Type="http://schemas.openxmlformats.org/officeDocument/2006/relationships/hyperlink" Target="mailto:meladze@un.org" TargetMode="External"/><Relationship Id="rId7" Type="http://schemas.openxmlformats.org/officeDocument/2006/relationships/styles" Target="styles.xml"/><Relationship Id="rId162" Type="http://schemas.openxmlformats.org/officeDocument/2006/relationships/hyperlink" Target="https://financing.desa.un.org/iatf/home" TargetMode="External"/><Relationship Id="rId183" Type="http://schemas.openxmlformats.org/officeDocument/2006/relationships/hyperlink" Target="https://hlpf.un.org/sites/default/files/vnrs/2025/VNR%202025%20Dominican%20Republic%20Report.pdf" TargetMode="External"/><Relationship Id="rId218" Type="http://schemas.openxmlformats.org/officeDocument/2006/relationships/hyperlink" Target="https://unsdg.un.org/2030-agenda/universal-values/leave-no-one-behind" TargetMode="External"/><Relationship Id="rId24" Type="http://schemas.openxmlformats.org/officeDocument/2006/relationships/hyperlink" Target="https://inff.org/reports/assessment-and-diagnostics" TargetMode="External"/><Relationship Id="rId45" Type="http://schemas.openxmlformats.org/officeDocument/2006/relationships/image" Target="media/image4.emf"/><Relationship Id="rId66" Type="http://schemas.openxmlformats.org/officeDocument/2006/relationships/hyperlink" Target="https://unctad.org/publication/accounting-and-financial-reporting-guidelines-small-and-medium-sized-enterprises-1" TargetMode="External"/><Relationship Id="rId87" Type="http://schemas.openxmlformats.org/officeDocument/2006/relationships/hyperlink" Target="http://www.un.org/development/desa/da/wp-content/uploads/sites/52/2024/03/Guidance-note-on-planning-and-conduct-of-DA-T13-project-evaluations-final-14.3.2024.docx" TargetMode="External"/><Relationship Id="rId110" Type="http://schemas.openxmlformats.org/officeDocument/2006/relationships/hyperlink" Target="https://www.unescwa.org/news/integrated-national-financing-framework-jordan" TargetMode="External"/><Relationship Id="rId131" Type="http://schemas.openxmlformats.org/officeDocument/2006/relationships/hyperlink" Target="https://www.youtube.com/watch?v=gC1YFbZANCQ" TargetMode="External"/><Relationship Id="rId152" Type="http://schemas.openxmlformats.org/officeDocument/2006/relationships/hyperlink" Target="https://unece.org/ppp/em" TargetMode="External"/><Relationship Id="rId173" Type="http://schemas.openxmlformats.org/officeDocument/2006/relationships/hyperlink" Target="https://www.youtube.com/playlist?list=PLji49uujoC9o0E2QBbsrZbWMOFE4Td8o7" TargetMode="External"/><Relationship Id="rId194" Type="http://schemas.openxmlformats.org/officeDocument/2006/relationships/hyperlink" Target="https://mineconom.gov.kg/froala/uploads/file/c0b08234504a02fe68c6d6d8eadcbf4b51899f6f.pdf" TargetMode="External"/><Relationship Id="rId208" Type="http://schemas.openxmlformats.org/officeDocument/2006/relationships/hyperlink" Target="https://unsdg.un.org/2030-agenda/universal-values/leave-no-one-behind" TargetMode="External"/><Relationship Id="rId14" Type="http://schemas.openxmlformats.org/officeDocument/2006/relationships/footer" Target="footer2.xml"/><Relationship Id="rId35" Type="http://schemas.openxmlformats.org/officeDocument/2006/relationships/hyperlink" Target="https://financing.desa.un.org/about-ffd4" TargetMode="External"/><Relationship Id="rId56" Type="http://schemas.openxmlformats.org/officeDocument/2006/relationships/hyperlink" Target="https://www.unescap.org/events/2023/international-conference-digitalization-taxes-pakistan" TargetMode="External"/><Relationship Id="rId77" Type="http://schemas.openxmlformats.org/officeDocument/2006/relationships/hyperlink" Target="https://unctad.org/system/files/official-document/ciiisard107_en.pdf" TargetMode="External"/><Relationship Id="rId100" Type="http://schemas.openxmlformats.org/officeDocument/2006/relationships/hyperlink" Target="https://ffd.unescwa.org/" TargetMode="External"/><Relationship Id="rId8" Type="http://schemas.openxmlformats.org/officeDocument/2006/relationships/settings" Target="settings.xml"/><Relationship Id="rId51" Type="http://schemas.openxmlformats.org/officeDocument/2006/relationships/hyperlink" Target="https://repository.uneca.org/handle/10855/49964" TargetMode="External"/><Relationship Id="rId72" Type="http://schemas.openxmlformats.org/officeDocument/2006/relationships/hyperlink" Target="https://desapublications.un.org/publications/financing-sustainable-development-report-2023" TargetMode="External"/><Relationship Id="rId93" Type="http://schemas.openxmlformats.org/officeDocument/2006/relationships/hyperlink" Target="mailto:chowla@un.org" TargetMode="External"/><Relationship Id="rId98" Type="http://schemas.openxmlformats.org/officeDocument/2006/relationships/hyperlink" Target="https://unctad.org/publication/core-indicators-sustainability-and-sdg-impact-reporting-training-manual" TargetMode="External"/><Relationship Id="rId121" Type="http://schemas.openxmlformats.org/officeDocument/2006/relationships/hyperlink" Target="https://repository.uneca.org/entities/publication/7d2a5d4e-c3f1-4d5b-a5ee-4d91754c13f9" TargetMode="External"/><Relationship Id="rId142" Type="http://schemas.openxmlformats.org/officeDocument/2006/relationships/hyperlink" Target="mailto:chowla@un.org" TargetMode="External"/><Relationship Id="rId163" Type="http://schemas.openxmlformats.org/officeDocument/2006/relationships/hyperlink" Target="https://financing.desa.un.org/post-news/integrated-national-financing-frameworks-inff-inception-workshop-dominican-republic" TargetMode="External"/><Relationship Id="rId184" Type="http://schemas.openxmlformats.org/officeDocument/2006/relationships/hyperlink" Target="https://mped.gov.eg/Files/Egypt_Vision_2030_EnglishDigitalUse.pdf" TargetMode="External"/><Relationship Id="rId189" Type="http://schemas.openxmlformats.org/officeDocument/2006/relationships/hyperlink" Target="https://www.unescwa.org/arab-finance-for-development-gateway" TargetMode="External"/><Relationship Id="rId219" Type="http://schemas.openxmlformats.org/officeDocument/2006/relationships/hyperlink" Target="https://sdgfinance.undp.org/resource-library/development-finance-assessment-zambia" TargetMode="External"/><Relationship Id="rId3" Type="http://schemas.openxmlformats.org/officeDocument/2006/relationships/customXml" Target="../customXml/item2.xml"/><Relationship Id="rId214" Type="http://schemas.openxmlformats.org/officeDocument/2006/relationships/hyperlink" Target="https://www.unescap.org/kp/2024/towards-integrated-national-financing-framework-pakistan" TargetMode="External"/><Relationship Id="rId25" Type="http://schemas.openxmlformats.org/officeDocument/2006/relationships/hyperlink" Target="https://inff.org/" TargetMode="External"/><Relationship Id="rId46" Type="http://schemas.openxmlformats.org/officeDocument/2006/relationships/hyperlink" Target="https://www.uneca.org/sites/default/files/MGD/INFFSept2022/Event%20report%20INFF%20and%20open%20budgets%20workshop_24.12.2022.pdf" TargetMode="External"/><Relationship Id="rId67" Type="http://schemas.openxmlformats.org/officeDocument/2006/relationships/hyperlink" Target="https://ffd.unescwa.org/" TargetMode="External"/><Relationship Id="rId116" Type="http://schemas.openxmlformats.org/officeDocument/2006/relationships/hyperlink" Target="https://www.unescap.org/sites/default/d8files/event-documents/Pakistan%20INFF%20Report_5Feb2024.pdf" TargetMode="External"/><Relationship Id="rId137" Type="http://schemas.openxmlformats.org/officeDocument/2006/relationships/hyperlink" Target="mailto:meladze@un.org" TargetMode="External"/><Relationship Id="rId158" Type="http://schemas.openxmlformats.org/officeDocument/2006/relationships/hyperlink" Target="https://www.unescwa.org/publications/disability-arab-region-2023" TargetMode="External"/><Relationship Id="rId20" Type="http://schemas.openxmlformats.org/officeDocument/2006/relationships/image" Target="media/image1.png"/><Relationship Id="rId41" Type="http://schemas.openxmlformats.org/officeDocument/2006/relationships/hyperlink" Target="https://publications.unescwa.org/projects/fsde/index.html" TargetMode="External"/><Relationship Id="rId62" Type="http://schemas.openxmlformats.org/officeDocument/2006/relationships/hyperlink" Target="https://unece.org/ppp/em" TargetMode="External"/><Relationship Id="rId83" Type="http://schemas.openxmlformats.org/officeDocument/2006/relationships/hyperlink" Target="https://ffd.unescwa.org/" TargetMode="External"/><Relationship Id="rId88" Type="http://schemas.openxmlformats.org/officeDocument/2006/relationships/hyperlink" Target="http://www.un.org/development/desa/da/wp-content/uploads/sites/52/2024/03/Guidance-note-on-planning-and-conduct-of-DA-T13-project-evaluations-final-14.3.2024.docx" TargetMode="External"/><Relationship Id="rId111" Type="http://schemas.openxmlformats.org/officeDocument/2006/relationships/hyperlink" Target="https://unctad.org/publication/accounting-and-financial-reporting-guidelines-small-and-medium-sized-enterprises-1" TargetMode="External"/><Relationship Id="rId132" Type="http://schemas.openxmlformats.org/officeDocument/2006/relationships/footer" Target="footer3.xml"/><Relationship Id="rId153" Type="http://schemas.openxmlformats.org/officeDocument/2006/relationships/hyperlink" Target="https://www.unescwa.org/sites/default/files/pubs/pdf/new-global-tax-reforms-arab-region-english.pdf" TargetMode="External"/><Relationship Id="rId174" Type="http://schemas.openxmlformats.org/officeDocument/2006/relationships/hyperlink" Target="https://unece.org/media/economic-cooperation-and-integration/Public-Private-Partnerships-(PPP)/news/383796" TargetMode="External"/><Relationship Id="rId179" Type="http://schemas.openxmlformats.org/officeDocument/2006/relationships/hyperlink" Target="https://www.one.gob.do/publicaciones/2021/plan-nacional-plurianual-del-sector-publico-2021-2024/?altTemplate=publicacionOnline" TargetMode="External"/><Relationship Id="rId195" Type="http://schemas.openxmlformats.org/officeDocument/2006/relationships/hyperlink" Target="https://unsdg.un.org/2030-agenda/universal-values/leave-no-one-behind" TargetMode="External"/><Relationship Id="rId209" Type="http://schemas.openxmlformats.org/officeDocument/2006/relationships/hyperlink" Target="https://hlpf.un.org/sites/default/files/vnrs/2022/VNR%202022%20Pakistan%20Report.pdf" TargetMode="External"/><Relationship Id="rId190" Type="http://schemas.openxmlformats.org/officeDocument/2006/relationships/hyperlink" Target="https://publications.unescwa.org/projects/fsde/sdgs/pdf/chapters/21-00909-Egypt-Report-EN-Jan2023.pdf" TargetMode="External"/><Relationship Id="rId204" Type="http://schemas.openxmlformats.org/officeDocument/2006/relationships/hyperlink" Target="https://unctad.org/isar/areas-of-work/regional-partnership-in-eurasia" TargetMode="External"/><Relationship Id="rId220" Type="http://schemas.openxmlformats.org/officeDocument/2006/relationships/fontTable" Target="fontTable.xml"/><Relationship Id="rId15" Type="http://schemas.openxmlformats.org/officeDocument/2006/relationships/header" Target="header2.xml"/><Relationship Id="rId36" Type="http://schemas.openxmlformats.org/officeDocument/2006/relationships/hyperlink" Target="https://docs.un.org/en/A/CONF.227/2025/L.1" TargetMode="External"/><Relationship Id="rId57" Type="http://schemas.openxmlformats.org/officeDocument/2006/relationships/hyperlink" Target="https://www.unescap.org/events/2023/capacity-building-workshop-data-analytic-tools-enhance-tax-compliance-through-e" TargetMode="External"/><Relationship Id="rId106" Type="http://schemas.openxmlformats.org/officeDocument/2006/relationships/hyperlink" Target="https://www.facebook.com/samoa.mnre/posts/pfbid02DuEnbCeYADdz71eYshU5y5cFTMehggERm64zthW1QWKnPDuzcG7232gR1RCDx5wHl" TargetMode="External"/><Relationship Id="rId127" Type="http://schemas.openxmlformats.org/officeDocument/2006/relationships/hyperlink" Target="https://unece.org/media/economic-cooperation-and-integration/Public-Private-Partnerships-(PPP)/news/397928" TargetMode="External"/><Relationship Id="rId10" Type="http://schemas.openxmlformats.org/officeDocument/2006/relationships/footnotes" Target="footnotes.xml"/><Relationship Id="rId31" Type="http://schemas.openxmlformats.org/officeDocument/2006/relationships/hyperlink" Target="https://adam.kg/media/uploads/2022/04/15/national-strategy-of-kyrgyz-republic-2018-2040.pdf" TargetMode="External"/><Relationship Id="rId52" Type="http://schemas.openxmlformats.org/officeDocument/2006/relationships/hyperlink" Target="https://repository.uneca.org/entities/publication/7d2a5d4e-c3f1-4d5b-a5ee-4d91754c13f9" TargetMode="External"/><Relationship Id="rId73" Type="http://schemas.openxmlformats.org/officeDocument/2006/relationships/hyperlink" Target="https://eiti.org/sites/default/files/Rapport%20FFI%20Burkina%20Faso_13-08-24.pdf?hash=1758794400" TargetMode="External"/><Relationship Id="rId78" Type="http://schemas.openxmlformats.org/officeDocument/2006/relationships/hyperlink" Target="https://unece.org/media/economic-cooperation-and-integration/Public-Private-Partnerships-(PPP)/news/397928" TargetMode="External"/><Relationship Id="rId94" Type="http://schemas.openxmlformats.org/officeDocument/2006/relationships/hyperlink" Target="https://piers.unece.org/" TargetMode="External"/><Relationship Id="rId99" Type="http://schemas.openxmlformats.org/officeDocument/2006/relationships/hyperlink" Target="https://piers.unece.org/" TargetMode="External"/><Relationship Id="rId101" Type="http://schemas.openxmlformats.org/officeDocument/2006/relationships/hyperlink" Target="https://www.unescwa.org/AI-budgeting" TargetMode="External"/><Relationship Id="rId122" Type="http://schemas.openxmlformats.org/officeDocument/2006/relationships/hyperlink" Target="https://www.jointsdgfund.org/programme/zambias-integrated-financing-framework-sustainable-development" TargetMode="External"/><Relationship Id="rId143" Type="http://schemas.openxmlformats.org/officeDocument/2006/relationships/hyperlink" Target="mailto:meladze@un.org" TargetMode="External"/><Relationship Id="rId148" Type="http://schemas.openxmlformats.org/officeDocument/2006/relationships/hyperlink" Target="https://unctad.org/system/files/official-document/diaeed20092_en.pdf" TargetMode="External"/><Relationship Id="rId164" Type="http://schemas.openxmlformats.org/officeDocument/2006/relationships/hyperlink" Target="https://inff.org/event/regional-training-workshop-integrated-national-financing-frameworks-in-africa" TargetMode="External"/><Relationship Id="rId169" Type="http://schemas.openxmlformats.org/officeDocument/2006/relationships/hyperlink" Target="https://unctad.org/meeting/capacity-building-workshops-public-private-partnerships-zambia" TargetMode="External"/><Relationship Id="rId185" Type="http://schemas.openxmlformats.org/officeDocument/2006/relationships/hyperlink" Target="https://sdgs.un.org/2030agenda" TargetMode="External"/><Relationship Id="rId4" Type="http://schemas.openxmlformats.org/officeDocument/2006/relationships/customXml" Target="../customXml/item3.xml"/><Relationship Id="rId9" Type="http://schemas.openxmlformats.org/officeDocument/2006/relationships/webSettings" Target="webSettings.xml"/><Relationship Id="rId180" Type="http://schemas.openxmlformats.org/officeDocument/2006/relationships/hyperlink" Target="https://unfccc.int/sites/default/files/NDC/2022-06/Dominican%20Republic%20First%20NDC%20%28Updated%20Submission%29.pdf" TargetMode="External"/><Relationship Id="rId210" Type="http://schemas.openxmlformats.org/officeDocument/2006/relationships/hyperlink" Target="https://www.unescap.org/events/2023/international-conference-digitalization-taxes-pakistan" TargetMode="External"/><Relationship Id="rId215" Type="http://schemas.openxmlformats.org/officeDocument/2006/relationships/hyperlink" Target="https://www.mofnp.gov.zm/?page_id=6999" TargetMode="External"/><Relationship Id="rId26" Type="http://schemas.openxmlformats.org/officeDocument/2006/relationships/hyperlink" Target="https://dwgg20.org/app/uploads/2021/10/DWG-outcome-document-on-Financing-for-Sustainable-Development.pdf" TargetMode="External"/><Relationship Id="rId47" Type="http://schemas.openxmlformats.org/officeDocument/2006/relationships/hyperlink" Target="https://www.uneca.org/eca-events/regional-consultation-fourth-international-conference-financing-development-africa" TargetMode="External"/><Relationship Id="rId68" Type="http://schemas.openxmlformats.org/officeDocument/2006/relationships/hyperlink" Target="https://www.undp.org/sites/g/files/zskgke326/files/2025-03/final_key_messages_1c_16-3-2025.pdf" TargetMode="External"/><Relationship Id="rId89" Type="http://schemas.openxmlformats.org/officeDocument/2006/relationships/hyperlink" Target="http://www.un.org/development/desa/da/wp-content/uploads/sites/52/2023/10/DA-guidance-note-on-terminal-evaluation-of-joint-projects-v1.pdf" TargetMode="External"/><Relationship Id="rId112" Type="http://schemas.openxmlformats.org/officeDocument/2006/relationships/hyperlink" Target="https://www.unescap.org/events/2023/international-conference-digitalization-taxes-pakistan" TargetMode="External"/><Relationship Id="rId133" Type="http://schemas.openxmlformats.org/officeDocument/2006/relationships/footer" Target="footer4.xml"/><Relationship Id="rId154" Type="http://schemas.openxmlformats.org/officeDocument/2006/relationships/hyperlink" Target="https://www.unescwa.org/publications/national-action-plan-jordan" TargetMode="External"/><Relationship Id="rId175" Type="http://schemas.openxmlformats.org/officeDocument/2006/relationships/hyperlink" Target="https://www.unescap.org/events/2023/regional-knowledge-exchange-financing-sustainable-development-asia-pacific-region-times" TargetMode="External"/><Relationship Id="rId196" Type="http://schemas.openxmlformats.org/officeDocument/2006/relationships/hyperlink" Target="https://sdgs.un.org/2030agenda" TargetMode="External"/><Relationship Id="rId200" Type="http://schemas.openxmlformats.org/officeDocument/2006/relationships/hyperlink" Target="https://unece.org/ppp/em" TargetMode="External"/><Relationship Id="rId16" Type="http://schemas.openxmlformats.org/officeDocument/2006/relationships/hyperlink" Target="https://www.un.org/esa/ffd/wp-content/uploads/2015/08/AAAA_Outcome.pdf" TargetMode="External"/><Relationship Id="rId221" Type="http://schemas.openxmlformats.org/officeDocument/2006/relationships/glossaryDocument" Target="glossary/document.xml"/><Relationship Id="rId37" Type="http://schemas.openxmlformats.org/officeDocument/2006/relationships/hyperlink" Target="https://unctad.org/publication/accounting-development-tool-building-accounting-development" TargetMode="External"/><Relationship Id="rId58" Type="http://schemas.openxmlformats.org/officeDocument/2006/relationships/hyperlink" Target="https://www.unescap.org/events/2024/training-workshop-public-finance-sdgs-pakistan-integrated-national-financing-framework" TargetMode="External"/><Relationship Id="rId79" Type="http://schemas.openxmlformats.org/officeDocument/2006/relationships/hyperlink" Target="https://forumsec.org/" TargetMode="External"/><Relationship Id="rId102" Type="http://schemas.openxmlformats.org/officeDocument/2006/relationships/hyperlink" Target="https://www.unescwa.org/sites/default/files/event/materials/2100668%20Integrated%20national%20financing%20frameworks.pdf" TargetMode="External"/><Relationship Id="rId123" Type="http://schemas.openxmlformats.org/officeDocument/2006/relationships/hyperlink" Target="https://inff.org/event/training-workshop-or-integrated-national-financing-frameworks-inffs-and-budgeting-for-the-2030-agenda-financing-sustainable-and-inclusive-recovery" TargetMode="External"/><Relationship Id="rId144" Type="http://schemas.openxmlformats.org/officeDocument/2006/relationships/hyperlink" Target="https://inff.org/assets/resource/making-finance-work-for-people-and-planet_final-web.pdf" TargetMode="External"/><Relationship Id="rId90" Type="http://schemas.openxmlformats.org/officeDocument/2006/relationships/hyperlink" Target="http://www.unevaluation.org/document/detail/102" TargetMode="External"/><Relationship Id="rId165" Type="http://schemas.openxmlformats.org/officeDocument/2006/relationships/hyperlink" Target="https://inff.org/news/scenes-from-2023-ffd-forum-roundtable-dominican-republics-inff-experience" TargetMode="External"/><Relationship Id="rId186" Type="http://schemas.openxmlformats.org/officeDocument/2006/relationships/hyperlink" Target="https://hlpf.un.org/countries/egypt" TargetMode="External"/><Relationship Id="rId211" Type="http://schemas.openxmlformats.org/officeDocument/2006/relationships/hyperlink" Target="https://www.unescap.org/events/2023/capacity-building-workshop-data-analytic-tools-enhance-tax-compliance-through-e" TargetMode="External"/><Relationship Id="rId27" Type="http://schemas.openxmlformats.org/officeDocument/2006/relationships/hyperlink" Target="https://sdgs.un.org/" TargetMode="External"/><Relationship Id="rId48" Type="http://schemas.openxmlformats.org/officeDocument/2006/relationships/hyperlink" Target="https://unctad.org/meeting/capacity-building-workshop-domestic-resource-mobilization-and-illicit-financial-flows" TargetMode="External"/><Relationship Id="rId69" Type="http://schemas.openxmlformats.org/officeDocument/2006/relationships/hyperlink" Target="https://www.unescwa.org/publications/integrated-national-financing-strategy-egypt-policy-brief" TargetMode="External"/><Relationship Id="rId113" Type="http://schemas.openxmlformats.org/officeDocument/2006/relationships/hyperlink" Target="https://www.unescap.org/events/2023/capacity-building-workshop-data-analytic-tools-enhance-tax-compliance-through-e" TargetMode="External"/><Relationship Id="rId134" Type="http://schemas.openxmlformats.org/officeDocument/2006/relationships/hyperlink" Target="mailto:chowla@un.org" TargetMode="External"/><Relationship Id="rId80" Type="http://schemas.openxmlformats.org/officeDocument/2006/relationships/hyperlink" Target="https://forumsec.org/sites/default/files/2023-11/PIFS-2050-Strategy-Blue-Pacific-Continent-WEB-5Aug2022-1.pdf" TargetMode="External"/><Relationship Id="rId155" Type="http://schemas.openxmlformats.org/officeDocument/2006/relationships/hyperlink" Target="https://www.unescwa.org/cash-conditional-transfer-egypt-opportunities-challenges" TargetMode="External"/><Relationship Id="rId176" Type="http://schemas.openxmlformats.org/officeDocument/2006/relationships/hyperlink" Target="https://www.unescwa.org/about/committees/materials?type=64&amp;f%5B0%5D=committee_event_type%3A144" TargetMode="External"/><Relationship Id="rId197" Type="http://schemas.openxmlformats.org/officeDocument/2006/relationships/hyperlink" Target="https://hlpf.un.org/sites/default/files/vnrs/2025/VNR%202025%20Kyrgyz%20Republic%20Report%20EN.pdf" TargetMode="External"/><Relationship Id="rId201" Type="http://schemas.openxmlformats.org/officeDocument/2006/relationships/hyperlink" Target="https://piers.unece.org/" TargetMode="External"/><Relationship Id="rId222" Type="http://schemas.openxmlformats.org/officeDocument/2006/relationships/theme" Target="theme/theme1.xml"/><Relationship Id="rId17" Type="http://schemas.openxmlformats.org/officeDocument/2006/relationships/hyperlink" Target="https://www.un.org/esa/ffd/wp-content/uploads/2014/09/MonterreyConsensus.pdf" TargetMode="External"/><Relationship Id="rId38" Type="http://schemas.openxmlformats.org/officeDocument/2006/relationships/hyperlink" Target="https://financing.desa.un.org/events/transforming-economies-through-integrated-national-financing-frameworks-inffs" TargetMode="External"/><Relationship Id="rId59" Type="http://schemas.openxmlformats.org/officeDocument/2006/relationships/hyperlink" Target="https://www.unescap.org/sites/default/d8files/event-documents/Pakistan%20digital%20tax%20report_1.pdf" TargetMode="External"/><Relationship Id="rId103" Type="http://schemas.openxmlformats.org/officeDocument/2006/relationships/hyperlink" Target="https://www.unescwa.org/sites/default/files/event/materials/2100668%20Integrated%20national%20financing%20frameworks.pdf" TargetMode="External"/><Relationship Id="rId124" Type="http://schemas.openxmlformats.org/officeDocument/2006/relationships/hyperlink" Target="https://www.unescap.org/events/2023/regional-knowledge-exchange-financing-sustainable-development-asia-pacific-region-times" TargetMode="External"/><Relationship Id="rId70" Type="http://schemas.openxmlformats.org/officeDocument/2006/relationships/hyperlink" Target="https://ffd.unescwa.org/" TargetMode="External"/><Relationship Id="rId91" Type="http://schemas.openxmlformats.org/officeDocument/2006/relationships/hyperlink" Target="https://www.unevaluation.org/document/detail/100" TargetMode="External"/><Relationship Id="rId145" Type="http://schemas.openxmlformats.org/officeDocument/2006/relationships/hyperlink" Target="https://www.unescwa.org/sites/default/files/inline-files/integrated-national-financing-strategy-egypt-info-graphics-english.pdf" TargetMode="External"/><Relationship Id="rId166" Type="http://schemas.openxmlformats.org/officeDocument/2006/relationships/hyperlink" Target="https://inff.org/resource/the-state-of-integrated-national-financing-frameworks-in-2023" TargetMode="External"/><Relationship Id="rId187" Type="http://schemas.openxmlformats.org/officeDocument/2006/relationships/hyperlink" Target="https://tsfe.com/AtAGlance.html" TargetMode="External"/><Relationship Id="rId1" Type="http://schemas.microsoft.com/office/2006/relationships/keyMapCustomizations" Target="customizations.xml"/><Relationship Id="rId212" Type="http://schemas.openxmlformats.org/officeDocument/2006/relationships/hyperlink" Target="https://www.unescap.org/events/2024/training-workshop-public-finance-sdgs-pakistan-integrated-national-financing-framework" TargetMode="External"/><Relationship Id="rId28" Type="http://schemas.openxmlformats.org/officeDocument/2006/relationships/hyperlink" Target="https://www.jointsdgfund.org/sites/default/files/2025-04/Joint%20SDG%20Fund%20Strategy.pdf" TargetMode="External"/><Relationship Id="rId49" Type="http://schemas.openxmlformats.org/officeDocument/2006/relationships/hyperlink" Target="https://unctad.org/meeting/workshop-impact-investing-zambia-and-corporate-sustainability-reporting-implementation-sdgs" TargetMode="External"/><Relationship Id="rId114" Type="http://schemas.openxmlformats.org/officeDocument/2006/relationships/hyperlink" Target="https://www.unescap.org/events/2024/training-workshop-public-finance-sdgs-pakistan-integrated-national-financing-framework" TargetMode="External"/><Relationship Id="rId60" Type="http://schemas.openxmlformats.org/officeDocument/2006/relationships/hyperlink" Target="https://www.unescap.org/kp/2024/towards-integrated-national-financing-framework-pakistan" TargetMode="External"/><Relationship Id="rId81" Type="http://schemas.openxmlformats.org/officeDocument/2006/relationships/hyperlink" Target="https://financing.desa.un.org/ffd4" TargetMode="External"/><Relationship Id="rId135" Type="http://schemas.openxmlformats.org/officeDocument/2006/relationships/hyperlink" Target="mailto:meladze@un.org" TargetMode="External"/><Relationship Id="rId156" Type="http://schemas.openxmlformats.org/officeDocument/2006/relationships/hyperlink" Target="https://www.undp.org/sites/g/files/zskgke326/files/2023-12/2302056E-Policybrief-Expected-Socio-Economic-Impacts-ESCWA-UNDP-Web-2.pdf" TargetMode="External"/><Relationship Id="rId177" Type="http://schemas.openxmlformats.org/officeDocument/2006/relationships/hyperlink" Target="https://www.unescwa.org/integrated-national-financing-frameworks" TargetMode="External"/><Relationship Id="rId198" Type="http://schemas.openxmlformats.org/officeDocument/2006/relationships/hyperlink" Target="https://cfc.gov.kg/en" TargetMode="External"/><Relationship Id="rId202" Type="http://schemas.openxmlformats.org/officeDocument/2006/relationships/hyperlink" Target="https://unctad.org/publication/accounting-development-tool-building-accounting-development" TargetMode="External"/><Relationship Id="rId18" Type="http://schemas.openxmlformats.org/officeDocument/2006/relationships/hyperlink" Target="https://www.un.org/esa/ffd/wp-content/uploads/2014/09/Doha_Declaration_FFD.pdf" TargetMode="External"/><Relationship Id="rId39" Type="http://schemas.openxmlformats.org/officeDocument/2006/relationships/hyperlink" Target="https://unece.org/ppp/em" TargetMode="External"/><Relationship Id="rId50" Type="http://schemas.openxmlformats.org/officeDocument/2006/relationships/hyperlink" Target="https://unctad.org/meeting/capacity-building-workshops-public-private-partnerships-zambia" TargetMode="External"/><Relationship Id="rId104" Type="http://schemas.openxmlformats.org/officeDocument/2006/relationships/hyperlink" Target="https://www.unescwa.org/sites/default/files/event/materials/INFF%20Workshop-Jordan-Agenda-Final.pdf" TargetMode="External"/><Relationship Id="rId125" Type="http://schemas.openxmlformats.org/officeDocument/2006/relationships/hyperlink" Target="file:///C:\Users\hdlou\Downloads\Towards%20INFFs:%20Implementing%20sustainability%20focused%20normative%20tools%20in%20Eastern%20Europe,%20Western%20Balkans,%20the%20Caucasus,%20and%20Central%20Asia" TargetMode="External"/><Relationship Id="rId146" Type="http://schemas.openxmlformats.org/officeDocument/2006/relationships/hyperlink" Target="https://unctad.org/publication/embracing-new-conceptual-framework-statistical-measurement-illicit-financial-flows" TargetMode="External"/><Relationship Id="rId167" Type="http://schemas.openxmlformats.org/officeDocument/2006/relationships/hyperlink" Target="https://ppp.gov.kg/en/about-centre" TargetMode="External"/><Relationship Id="rId188" Type="http://schemas.openxmlformats.org/officeDocument/2006/relationships/hyperlink" Target="https://alp.unescwa.org/index.php/legislations/law-no-152-2020-issuing-law-development-medium-small-and-micro-enterprises-which-was" TargetMode="External"/><Relationship Id="rId71" Type="http://schemas.openxmlformats.org/officeDocument/2006/relationships/hyperlink" Target="https://inff.org/" TargetMode="External"/><Relationship Id="rId92" Type="http://schemas.openxmlformats.org/officeDocument/2006/relationships/hyperlink" Target="http://www.un.org/development/desa/da/wp-content/uploads/sites/52/2024/03/DA-project-evaluation-report-template-for-T13-annotated.docx" TargetMode="External"/><Relationship Id="rId213" Type="http://schemas.openxmlformats.org/officeDocument/2006/relationships/hyperlink" Target="https://www.unescap.org/sites/default/d8files/event-documents/Pakistan%20digital%20tax%20report_1.pdf" TargetMode="External"/><Relationship Id="rId2" Type="http://schemas.openxmlformats.org/officeDocument/2006/relationships/customXml" Target="../customXml/item1.xml"/><Relationship Id="rId29" Type="http://schemas.openxmlformats.org/officeDocument/2006/relationships/hyperlink" Target="https://financing.desa.un.org/capacity-development/topics/fins" TargetMode="External"/><Relationship Id="rId40" Type="http://schemas.openxmlformats.org/officeDocument/2006/relationships/hyperlink" Target="https://www.unescwa.org/sites/default/files/inline-files/integrated-national-financing-strategy-egypt-info-graphics-english.pdf" TargetMode="External"/><Relationship Id="rId115" Type="http://schemas.openxmlformats.org/officeDocument/2006/relationships/hyperlink" Target="https://www.unescap.org/sites/default/d8files/event-documents/Pakistan%20digital%20tax%20report_1.pdf" TargetMode="External"/><Relationship Id="rId136" Type="http://schemas.openxmlformats.org/officeDocument/2006/relationships/hyperlink" Target="mailto:chowla@un.org" TargetMode="External"/><Relationship Id="rId157" Type="http://schemas.openxmlformats.org/officeDocument/2006/relationships/hyperlink" Target="https://www.unescwa.org/sites/default/files/pubs/pdf/survey-economic-social-developments-arab-region-2022-2023-english_0.pdf" TargetMode="External"/><Relationship Id="rId178" Type="http://schemas.openxmlformats.org/officeDocument/2006/relationships/hyperlink" Target="https://climate-laws.org/documents/law-1-12-national-development-strategy-2030_ca81?id=law-1-12-national-development-strategy-2030_e6a9" TargetMode="External"/><Relationship Id="rId61" Type="http://schemas.openxmlformats.org/officeDocument/2006/relationships/hyperlink" Target="https://www.facebook.com/samoa.mnre/posts/pfbid02DuEnbCeYADdz71eYshU5y5cFTMehggERm64zthW1QWKnPDuzcG7232gR1RCDx5wHl" TargetMode="External"/><Relationship Id="rId82" Type="http://schemas.openxmlformats.org/officeDocument/2006/relationships/hyperlink" Target="https://docs.un.org/en/A/CONF.227/2025/L.1" TargetMode="External"/><Relationship Id="rId199" Type="http://schemas.openxmlformats.org/officeDocument/2006/relationships/hyperlink" Target="https://www.greenclimate.fund/" TargetMode="External"/><Relationship Id="rId203" Type="http://schemas.openxmlformats.org/officeDocument/2006/relationships/hyperlink" Target="https://unctad.org/topic/enterprise-development/Empretec" TargetMode="External"/><Relationship Id="rId19" Type="http://schemas.openxmlformats.org/officeDocument/2006/relationships/hyperlink" Target="https://sdgs.un.org/2030agenda" TargetMode="External"/><Relationship Id="rId30" Type="http://schemas.openxmlformats.org/officeDocument/2006/relationships/hyperlink" Target="https://inff.org/assets/rapport-dfa-_-pnud-burkina-faso-24-12-2022-vf.pdf" TargetMode="External"/><Relationship Id="rId105" Type="http://schemas.openxmlformats.org/officeDocument/2006/relationships/hyperlink" Target="https://www.unescap.org/events/2022/workshop-supporting-development-integrated-national-financing-framework-pakistan" TargetMode="External"/><Relationship Id="rId126" Type="http://schemas.openxmlformats.org/officeDocument/2006/relationships/hyperlink" Target="https://unctad.org/isar/areas-of-work/regional-partnership-in-eurasia" TargetMode="External"/><Relationship Id="rId147" Type="http://schemas.openxmlformats.org/officeDocument/2006/relationships/hyperlink" Target="https://unctad.org/system/files/information-document/tlb_2024-02-12-zambia_report.pdf" TargetMode="External"/><Relationship Id="rId168" Type="http://schemas.openxmlformats.org/officeDocument/2006/relationships/hyperlink" Target="https://ppp.gov.kg/iiipppconference" TargetMode="External"/></Relationships>
</file>

<file path=word/_rels/footnotes.xml.rels><?xml version="1.0" encoding="UTF-8" standalone="yes"?>
<Relationships xmlns="http://schemas.openxmlformats.org/package/2006/relationships"><Relationship Id="rId26" Type="http://schemas.openxmlformats.org/officeDocument/2006/relationships/hyperlink" Target="https://www.unescap.org/our-work/macroeconomic-policy-financing-development" TargetMode="External"/><Relationship Id="rId21" Type="http://schemas.openxmlformats.org/officeDocument/2006/relationships/hyperlink" Target="https://openknowledge.worldbank.org/server/api/core/bitstreams/e1e22749-80c3-50ea-b7e1-8bc332d0c2ff/content" TargetMode="External"/><Relationship Id="rId42" Type="http://schemas.openxmlformats.org/officeDocument/2006/relationships/hyperlink" Target="https://www.presidencedufaso.bf/wp-content/uploads/2024/01/PA-SD-2023-2.pdf" TargetMode="External"/><Relationship Id="rId47" Type="http://schemas.openxmlformats.org/officeDocument/2006/relationships/hyperlink" Target="https://mptf.undp.org/sites/default/files/documents/2022-12/prodoc_kyrgyzstan_fc1_2020_joint_sdg_fund_redacted.pdf" TargetMode="External"/><Relationship Id="rId63" Type="http://schemas.openxmlformats.org/officeDocument/2006/relationships/hyperlink" Target="https://repository.uneca.org/entities/publication/d844d23c-f776-4a94-8b34-419f24b30e80" TargetMode="External"/><Relationship Id="rId68" Type="http://schemas.openxmlformats.org/officeDocument/2006/relationships/hyperlink" Target="https://www.unescap.org/kp/2024/towards-integrated-national-financing-framework-pakistan" TargetMode="External"/><Relationship Id="rId84" Type="http://schemas.openxmlformats.org/officeDocument/2006/relationships/hyperlink" Target="https://www.un.org/ohrlls/content/about-small-island-developing-states" TargetMode="External"/><Relationship Id="rId89" Type="http://schemas.openxmlformats.org/officeDocument/2006/relationships/hyperlink" Target="https://www.un.org/development/desa/dpad/wp-content/uploads/sites/45/WESP_2024_Web.pdf" TargetMode="External"/><Relationship Id="rId16" Type="http://schemas.openxmlformats.org/officeDocument/2006/relationships/hyperlink" Target="https://inff.org/assets/rapport-dfa-_-pnud-burkina-faso-24-12-2022-vf.pdf" TargetMode="External"/><Relationship Id="rId11" Type="http://schemas.openxmlformats.org/officeDocument/2006/relationships/hyperlink" Target="https://inff.org/about/inff-facility" TargetMode="External"/><Relationship Id="rId32" Type="http://schemas.openxmlformats.org/officeDocument/2006/relationships/hyperlink" Target="https://www.jointsdgfund.org/sites/default/files/2025-04/Joint%20SDG%20Fund%20Strategy.pdf" TargetMode="External"/><Relationship Id="rId37" Type="http://schemas.openxmlformats.org/officeDocument/2006/relationships/hyperlink" Target="https://inff.org/news/new-inff-knowledge-platform-supports-the-development-of-national-frameworks-for-financing-the-sdgs-and-a-post-covid-recovery" TargetMode="External"/><Relationship Id="rId53" Type="http://schemas.openxmlformats.org/officeDocument/2006/relationships/hyperlink" Target="https://mptf.undp.org/sites/default/files/documents/2022-12/prodoc_kyrgyzstan_fc1_2020_joint_sdg_fund_redacted.pdf" TargetMode="External"/><Relationship Id="rId58" Type="http://schemas.openxmlformats.org/officeDocument/2006/relationships/hyperlink" Target="https://mptf.undp.org/sites/default/files/documents/2022-12/prodoc_zambia_fc1_2020_signed_joint_sdg_fund_redacted.pdf" TargetMode="External"/><Relationship Id="rId74" Type="http://schemas.openxmlformats.org/officeDocument/2006/relationships/hyperlink" Target="https://assets.publishing.service.gov.uk/media/5a78a9ee40f0b632476992f1/DFID-approach-value-money.pdf" TargetMode="External"/><Relationship Id="rId79" Type="http://schemas.openxmlformats.org/officeDocument/2006/relationships/hyperlink" Target="https://unece.org/sites/default/files/2024-03/Programme%20-%20UNECE%20UNCTAD%20Regional%20Event%20on%20INFF%20-%2021%20March%202024.pdf" TargetMode="External"/><Relationship Id="rId5" Type="http://schemas.openxmlformats.org/officeDocument/2006/relationships/hyperlink" Target="https://financing.desa.un.org/sites/default/files/2022-02/Report_IATF-2017.pdf" TargetMode="External"/><Relationship Id="rId90" Type="http://schemas.openxmlformats.org/officeDocument/2006/relationships/hyperlink" Target="https://cfc.gov.kg/en/about" TargetMode="External"/><Relationship Id="rId14" Type="http://schemas.openxmlformats.org/officeDocument/2006/relationships/hyperlink" Target="https://www.jointsdgfund.org/sdg-financing" TargetMode="External"/><Relationship Id="rId22" Type="http://schemas.openxmlformats.org/officeDocument/2006/relationships/hyperlink" Target="https://www.un.org/en/desa/what-we-do/capacity-building" TargetMode="External"/><Relationship Id="rId27" Type="http://schemas.openxmlformats.org/officeDocument/2006/relationships/hyperlink" Target="https://www.unescwa.org/clusters/3" TargetMode="External"/><Relationship Id="rId30" Type="http://schemas.openxmlformats.org/officeDocument/2006/relationships/hyperlink" Target="https://www.undp.org/expertise" TargetMode="External"/><Relationship Id="rId35" Type="http://schemas.openxmlformats.org/officeDocument/2006/relationships/hyperlink" Target="https://financing.desa.un.org/capacity-development/topics/fins" TargetMode="External"/><Relationship Id="rId43" Type="http://schemas.openxmlformats.org/officeDocument/2006/relationships/hyperlink" Target="https://inff.org/assets/rapport-dfa-_-pnud-burkina-faso-24-12-2022-vf.pdf" TargetMode="External"/><Relationship Id="rId48" Type="http://schemas.openxmlformats.org/officeDocument/2006/relationships/hyperlink" Target="https://inff.org/report/governance-and-coordination-report" TargetMode="External"/><Relationship Id="rId56" Type="http://schemas.openxmlformats.org/officeDocument/2006/relationships/hyperlink" Target="https://mptf.undp.org/sites/default/files/documents/2022-12/prodoc-samoa-psids_redacted_0.pdf" TargetMode="External"/><Relationship Id="rId64" Type="http://schemas.openxmlformats.org/officeDocument/2006/relationships/hyperlink" Target="https://unctad.org/meeting/national-workshop-developing-productive-capacities-burkina-faso" TargetMode="External"/><Relationship Id="rId69" Type="http://schemas.openxmlformats.org/officeDocument/2006/relationships/hyperlink" Target="https://unece.org/ppp/em" TargetMode="External"/><Relationship Id="rId77" Type="http://schemas.openxmlformats.org/officeDocument/2006/relationships/hyperlink" Target="https://inff.org/assets/resource/inff_inception-phase_final-(1).pdf" TargetMode="External"/><Relationship Id="rId8" Type="http://schemas.openxmlformats.org/officeDocument/2006/relationships/hyperlink" Target="https://inff.org/about/about-inffs" TargetMode="External"/><Relationship Id="rId51" Type="http://schemas.openxmlformats.org/officeDocument/2006/relationships/hyperlink" Target="https://inff.org/resource/report-on-kyrgyzstans-progress-on-sustainable-development-goals-a-review-of-mainstreaming-acceleration-and-policy-support-for-achieving-progress-on-sustainable-development-goals" TargetMode="External"/><Relationship Id="rId72" Type="http://schemas.openxmlformats.org/officeDocument/2006/relationships/hyperlink" Target="https://www.unescwa.org/news/integrated-national-financing-framework-jordan" TargetMode="External"/><Relationship Id="rId80" Type="http://schemas.openxmlformats.org/officeDocument/2006/relationships/hyperlink" Target="https://unece.org/ppp/em" TargetMode="External"/><Relationship Id="rId85" Type="http://schemas.openxmlformats.org/officeDocument/2006/relationships/hyperlink" Target="https://openknowledge.worldbank.org/entities/publication/92ff46b2-650d-4395-b1d4-9c51dcdc6448" TargetMode="External"/><Relationship Id="rId3" Type="http://schemas.openxmlformats.org/officeDocument/2006/relationships/hyperlink" Target="https://desapublications.un.org/publications/financing-sustainable-development-report-2024?_gl=1*x1oftr*_ga*OTc2NDM1MTcyLjE3NDYyOTQyMjQ.*_ga_TK9BQL5X7Z*czE3NTE4MjQ0NDQkbzgkZzEkdDE3NTE4MjU4NzIkajYwJGwwJGgw" TargetMode="External"/><Relationship Id="rId12" Type="http://schemas.openxmlformats.org/officeDocument/2006/relationships/hyperlink" Target="https://financing.desa.un.org/iatf/inter-agency-task-force-members" TargetMode="External"/><Relationship Id="rId17" Type="http://schemas.openxmlformats.org/officeDocument/2006/relationships/hyperlink" Target="https://financing.desa.un.org/iatf/about-iatf" TargetMode="External"/><Relationship Id="rId25" Type="http://schemas.openxmlformats.org/officeDocument/2006/relationships/hyperlink" Target="https://repositorio.cepal.org/bitstream/handle/11362/47448/1/S2100576_en.pdf" TargetMode="External"/><Relationship Id="rId33" Type="http://schemas.openxmlformats.org/officeDocument/2006/relationships/hyperlink" Target="https://sdgfinance.undp.org/our-services/INFF" TargetMode="External"/><Relationship Id="rId38" Type="http://schemas.openxmlformats.org/officeDocument/2006/relationships/hyperlink" Target="https://financing.desa.un.org/sites/default/files/INFF_BB4%20Governance%20and%20Coordination_Final.pdf" TargetMode="External"/><Relationship Id="rId46" Type="http://schemas.openxmlformats.org/officeDocument/2006/relationships/hyperlink" Target="https://mptf.undp.org/sites/default/files/documents/2023-12/egypt_0.pdf" TargetMode="External"/><Relationship Id="rId59" Type="http://schemas.openxmlformats.org/officeDocument/2006/relationships/hyperlink" Target="https://financing.desa.un.org/ffd4/history-ffd-conferences" TargetMode="External"/><Relationship Id="rId67" Type="http://schemas.openxmlformats.org/officeDocument/2006/relationships/hyperlink" Target="https://www.unescap.org/events/2022/workshop-supporting-development-integrated-national-financing-framework-pakistan" TargetMode="External"/><Relationship Id="rId20" Type="http://schemas.openxmlformats.org/officeDocument/2006/relationships/hyperlink" Target="https://procurement-notices.undp.org/view_file.cfm?doc_id=245190" TargetMode="External"/><Relationship Id="rId41" Type="http://schemas.openxmlformats.org/officeDocument/2006/relationships/hyperlink" Target="https://www.finances.gov.bf/fileadmin/user_upload/storage/PNDES-II_Document_de_Strategie.pdf" TargetMode="External"/><Relationship Id="rId54" Type="http://schemas.openxmlformats.org/officeDocument/2006/relationships/hyperlink" Target="https://www.jointsdgfund.org/programme/building-forward-better-safeguarding-natural-capital-and-ecosystem-services" TargetMode="External"/><Relationship Id="rId62" Type="http://schemas.openxmlformats.org/officeDocument/2006/relationships/hyperlink" Target="https://egypt.un.org/en/291200-launch-egypt%E2%80%99s-integrated-national-financing-strategy-18-march-2025" TargetMode="External"/><Relationship Id="rId70" Type="http://schemas.openxmlformats.org/officeDocument/2006/relationships/hyperlink" Target="https://ffd.unescwa.org/" TargetMode="External"/><Relationship Id="rId75" Type="http://schemas.openxmlformats.org/officeDocument/2006/relationships/hyperlink" Target="https://assets.publishing.service.gov.uk/media/5a78a9ee40f0b632476992f1/DFID-approach-value-money.pdf%20/" TargetMode="External"/><Relationship Id="rId83" Type="http://schemas.openxmlformats.org/officeDocument/2006/relationships/hyperlink" Target="https://www.un.org/development/desa/dpad/wp-content/uploads/sites/45/WESP_2024_Web.pdf" TargetMode="External"/><Relationship Id="rId88" Type="http://schemas.openxmlformats.org/officeDocument/2006/relationships/hyperlink" Target="https://tsfe.com/AtAGlance.html" TargetMode="External"/><Relationship Id="rId91" Type="http://schemas.openxmlformats.org/officeDocument/2006/relationships/hyperlink" Target="https://unctad.org/topic/enterprise-development/Empretec" TargetMode="External"/><Relationship Id="rId1" Type="http://schemas.openxmlformats.org/officeDocument/2006/relationships/hyperlink" Target="https://www.un.org/en/development/desa/population/migration/generalassembly/docs/globalcompact/A_RES_69_313.pdf" TargetMode="External"/><Relationship Id="rId6" Type="http://schemas.openxmlformats.org/officeDocument/2006/relationships/hyperlink" Target="https://sdgs.un.org/2030agenda" TargetMode="External"/><Relationship Id="rId15" Type="http://schemas.openxmlformats.org/officeDocument/2006/relationships/hyperlink" Target="https://www.sprep.org/unjp-sess" TargetMode="External"/><Relationship Id="rId23" Type="http://schemas.openxmlformats.org/officeDocument/2006/relationships/hyperlink" Target="https://www.uneca.org/our-work" TargetMode="External"/><Relationship Id="rId28" Type="http://schemas.openxmlformats.org/officeDocument/2006/relationships/hyperlink" Target="https://unctad.org/system/files/official-document/wp79inf1_en.pdf" TargetMode="External"/><Relationship Id="rId36" Type="http://schemas.openxmlformats.org/officeDocument/2006/relationships/hyperlink" Target="https://inff.org/about/inff-facility" TargetMode="External"/><Relationship Id="rId49" Type="http://schemas.openxmlformats.org/officeDocument/2006/relationships/hyperlink" Target="https://president.kg/en/grow-program" TargetMode="External"/><Relationship Id="rId57" Type="http://schemas.openxmlformats.org/officeDocument/2006/relationships/hyperlink" Target="https://www.jointsdgfund.org/programme/zambias-integrated-financing-framework-sustainable-development" TargetMode="External"/><Relationship Id="rId10" Type="http://schemas.openxmlformats.org/officeDocument/2006/relationships/hyperlink" Target="https://www.un.org/esa/ffd/uncategorized/about-the-inter-agency-task-force-on-financing-for-development.html" TargetMode="External"/><Relationship Id="rId31" Type="http://schemas.openxmlformats.org/officeDocument/2006/relationships/hyperlink" Target="https://www.jointsdgfund.org/sites/default/files/2025-04/Joint%20SDG%20Fund%20Strategy.pdf" TargetMode="External"/><Relationship Id="rId44" Type="http://schemas.openxmlformats.org/officeDocument/2006/relationships/hyperlink" Target="https://mptf.undp.org/sites/default/files/documents/2023-12/egypt_0.pdf" TargetMode="External"/><Relationship Id="rId52" Type="http://schemas.openxmlformats.org/officeDocument/2006/relationships/hyperlink" Target="https://www.undp.org/sites/g/files/zskgke326/files/2023-05/inff_infographic_eng.pdf" TargetMode="External"/><Relationship Id="rId60" Type="http://schemas.openxmlformats.org/officeDocument/2006/relationships/hyperlink" Target="https://unctad.org/publication/accounting-and-financial-reporting-guidelines-small-and-medium-sized-enterprises-1" TargetMode="External"/><Relationship Id="rId65" Type="http://schemas.openxmlformats.org/officeDocument/2006/relationships/hyperlink" Target="https://unctad.org/meeting/workshop-illicit-financial-flows-risk-extractive-sector-burkina-faso" TargetMode="External"/><Relationship Id="rId73" Type="http://schemas.openxmlformats.org/officeDocument/2006/relationships/hyperlink" Target="https://www.oecd-ilibrary.org/development/glossary-of-key-terms-in-evaluation-and-results-based-management-for-sustainable-development-second-edition_632da462-en-fr-es" TargetMode="External"/><Relationship Id="rId78" Type="http://schemas.openxmlformats.org/officeDocument/2006/relationships/hyperlink" Target="https://www.oecd.org/en/publications/applying-evaluation-criteria-thoughtfully_543e84ed-en/full-report.html" TargetMode="External"/><Relationship Id="rId81" Type="http://schemas.openxmlformats.org/officeDocument/2006/relationships/hyperlink" Target="https://www.unescwa.org/arab-finance-for-development-gateway" TargetMode="External"/><Relationship Id="rId86" Type="http://schemas.openxmlformats.org/officeDocument/2006/relationships/hyperlink" Target="https://www.un.org/development/desa/dpad/wp-content/uploads/sites/45/WESP_2024_Web.pdf" TargetMode="External"/><Relationship Id="rId4" Type="http://schemas.openxmlformats.org/officeDocument/2006/relationships/hyperlink" Target="https://www.un.org/en/desa/leaving-no-one-behind" TargetMode="External"/><Relationship Id="rId9" Type="http://schemas.openxmlformats.org/officeDocument/2006/relationships/hyperlink" Target="https://www.un.org/esa/ffd/ffd3/conference/history.html" TargetMode="External"/><Relationship Id="rId13" Type="http://schemas.openxmlformats.org/officeDocument/2006/relationships/hyperlink" Target="https://desapublications.un.org/policy-briefs/undesa-policy-brief-87-integrated-national-financing-frameworks-framework-build-back" TargetMode="External"/><Relationship Id="rId18" Type="http://schemas.openxmlformats.org/officeDocument/2006/relationships/hyperlink" Target="https://financing.desa.un.org/iatf/workstreams" TargetMode="External"/><Relationship Id="rId39" Type="http://schemas.openxmlformats.org/officeDocument/2006/relationships/hyperlink" Target="https://unstats.un.org/unsd/unsystem/Documents-Sept2018/BG-Item6-MAPS.pdf" TargetMode="External"/><Relationship Id="rId34" Type="http://schemas.openxmlformats.org/officeDocument/2006/relationships/hyperlink" Target="https://sdg.iisd.org/news/high-level-dialogue-on-ffd-identifies-actions-to-fill-sdg-funding-gaps/" TargetMode="External"/><Relationship Id="rId50" Type="http://schemas.openxmlformats.org/officeDocument/2006/relationships/hyperlink" Target="https://mptf.undp.org/sites/default/files/documents/2022-12/prodoc_kyrgyzstan_fc1_2020_joint_sdg_fund_redacted.pdf" TargetMode="External"/><Relationship Id="rId55" Type="http://schemas.openxmlformats.org/officeDocument/2006/relationships/hyperlink" Target="https://inff.org/resource/development-finance-assessment-for-samoa-leveraging-finance-for-sustainable-development" TargetMode="External"/><Relationship Id="rId76" Type="http://schemas.openxmlformats.org/officeDocument/2006/relationships/hyperlink" Target="https://www.opml.co.uk/sites/default/files/2024-06/opm-value-money-vfm-approach-v2-1.pdf" TargetMode="External"/><Relationship Id="rId7" Type="http://schemas.openxmlformats.org/officeDocument/2006/relationships/hyperlink" Target="https://desapublications.un.org/publications/financing-sustainable-development-report-2024?_gl=1*x1oftr*_ga*OTc2NDM1MTcyLjE3NDYyOTQyMjQ.*_ga_TK9BQL5X7Z*czE3NTE4MjQ0NDQkbzgkZzEkdDE3NTE4MjU4NzIkajYwJGwwJGgw" TargetMode="External"/><Relationship Id="rId71" Type="http://schemas.openxmlformats.org/officeDocument/2006/relationships/hyperlink" Target="https://www.jordanvision.jo/en" TargetMode="External"/><Relationship Id="rId92" Type="http://schemas.openxmlformats.org/officeDocument/2006/relationships/hyperlink" Target="https://www.un.org/development/desa/dpad/wp-content/uploads/sites/45/WESP_2024_Web.pdf" TargetMode="External"/><Relationship Id="rId2" Type="http://schemas.openxmlformats.org/officeDocument/2006/relationships/hyperlink" Target="https://www.un.org/en/desa/post-2015-development-agenda" TargetMode="External"/><Relationship Id="rId29" Type="http://schemas.openxmlformats.org/officeDocument/2006/relationships/hyperlink" Target="https://www.undp.org/about-us" TargetMode="External"/><Relationship Id="rId24" Type="http://schemas.openxmlformats.org/officeDocument/2006/relationships/hyperlink" Target="https://unece.org/ppp" TargetMode="External"/><Relationship Id="rId40" Type="http://schemas.openxmlformats.org/officeDocument/2006/relationships/hyperlink" Target="https://sdgintegration.undp.org/supporting-un-development-system" TargetMode="External"/><Relationship Id="rId45" Type="http://schemas.openxmlformats.org/officeDocument/2006/relationships/hyperlink" Target="https://publications.unescwa.org/projects/fsde/index.html" TargetMode="External"/><Relationship Id="rId66" Type="http://schemas.openxmlformats.org/officeDocument/2006/relationships/hyperlink" Target="https://eiti.org/documents/study-illicit-financial-flows-burkina-fasos-extractive-sector" TargetMode="External"/><Relationship Id="rId87" Type="http://schemas.openxmlformats.org/officeDocument/2006/relationships/hyperlink" Target="https://wts.com/global/publishing-article/20250708-egypt-egypt-announces-new-incentives-for-msmes~publishing-article" TargetMode="External"/><Relationship Id="rId61" Type="http://schemas.openxmlformats.org/officeDocument/2006/relationships/hyperlink" Target="https://unctad.org/publication/core-indicators-sustainability-and-sdg-impact-reporting-training-manual" TargetMode="External"/><Relationship Id="rId82" Type="http://schemas.openxmlformats.org/officeDocument/2006/relationships/hyperlink" Target="https://unece.org/ppp/em" TargetMode="External"/><Relationship Id="rId19" Type="http://schemas.openxmlformats.org/officeDocument/2006/relationships/hyperlink" Target="https://www.unevaluation.org/document/detail/2866"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B2F2863333460CB2123267D815630D"/>
        <w:category>
          <w:name w:val="General"/>
          <w:gallery w:val="placeholder"/>
        </w:category>
        <w:types>
          <w:type w:val="bbPlcHdr"/>
        </w:types>
        <w:behaviors>
          <w:behavior w:val="content"/>
        </w:behaviors>
        <w:guid w:val="{C71593FB-622C-4670-AD3F-465B71DD15A2}"/>
      </w:docPartPr>
      <w:docPartBody>
        <w:p w:rsidR="0067264E" w:rsidRDefault="0095597F" w:rsidP="0095597F">
          <w:pPr>
            <w:pStyle w:val="3EB2F2863333460CB2123267D815630D"/>
          </w:pPr>
          <w:r w:rsidRPr="007B6540">
            <w:rPr>
              <w:rStyle w:val="PlaceholderText"/>
            </w:rPr>
            <w:t>[Title]</w:t>
          </w:r>
        </w:p>
      </w:docPartBody>
    </w:docPart>
    <w:docPart>
      <w:docPartPr>
        <w:name w:val="9586BFDAAECF4FD4B42E49EE9DEAEA27"/>
        <w:category>
          <w:name w:val="General"/>
          <w:gallery w:val="placeholder"/>
        </w:category>
        <w:types>
          <w:type w:val="bbPlcHdr"/>
        </w:types>
        <w:behaviors>
          <w:behavior w:val="content"/>
        </w:behaviors>
        <w:guid w:val="{6D4579BB-9D5D-417D-BFFB-E9C185EFD0BE}"/>
      </w:docPartPr>
      <w:docPartBody>
        <w:p w:rsidR="00E179C9" w:rsidRDefault="00483B74" w:rsidP="00483B74">
          <w:pPr>
            <w:pStyle w:val="9586BFDAAECF4FD4B42E49EE9DEAEA27"/>
          </w:pPr>
          <w:r w:rsidRPr="007B6540">
            <w:rPr>
              <w:rStyle w:val="PlaceholderText"/>
            </w:rPr>
            <w:t>[Title]</w:t>
          </w:r>
        </w:p>
      </w:docPartBody>
    </w:docPart>
    <w:docPart>
      <w:docPartPr>
        <w:name w:val="A615EAED4B0D4784897C83A1DE2898CA"/>
        <w:category>
          <w:name w:val="General"/>
          <w:gallery w:val="placeholder"/>
        </w:category>
        <w:types>
          <w:type w:val="bbPlcHdr"/>
        </w:types>
        <w:behaviors>
          <w:behavior w:val="content"/>
        </w:behaviors>
        <w:guid w:val="{BCC56F35-0569-4CB7-88E2-F8F538672368}"/>
      </w:docPartPr>
      <w:docPartBody>
        <w:p w:rsidR="00E179C9" w:rsidRDefault="00483B74" w:rsidP="00483B74">
          <w:pPr>
            <w:pStyle w:val="A615EAED4B0D4784897C83A1DE2898CA"/>
          </w:pPr>
          <w:r w:rsidRPr="007B654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ueHaasGroteskDisp Pro">
    <w:altName w:val="Calibri"/>
    <w:panose1 w:val="00000000000000000000"/>
    <w:charset w:val="00"/>
    <w:family w:val="swiss"/>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Rounded MT Bold">
    <w:panose1 w:val="020F0704030504030204"/>
    <w:charset w:val="00"/>
    <w:family w:val="swiss"/>
    <w:pitch w:val="variable"/>
    <w:sig w:usb0="00000003" w:usb1="00000000" w:usb2="00000000" w:usb3="00000000" w:csb0="00000001" w:csb1="00000000"/>
  </w:font>
  <w:font w:name="Aptos Narrow">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Roboto">
    <w:altName w:val="Roboto"/>
    <w:charset w:val="00"/>
    <w:family w:val="auto"/>
    <w:pitch w:val="variable"/>
    <w:sig w:usb0="E0000AFF" w:usb1="5000217F" w:usb2="00000021" w:usb3="00000000" w:csb0="0000019F" w:csb1="00000000"/>
  </w:font>
  <w:font w:name="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97F"/>
    <w:rsid w:val="00002F99"/>
    <w:rsid w:val="00003AF8"/>
    <w:rsid w:val="00004EDF"/>
    <w:rsid w:val="0000658F"/>
    <w:rsid w:val="00011CE3"/>
    <w:rsid w:val="00014B73"/>
    <w:rsid w:val="00016A2D"/>
    <w:rsid w:val="000238CA"/>
    <w:rsid w:val="00027DC9"/>
    <w:rsid w:val="000605FB"/>
    <w:rsid w:val="0006307D"/>
    <w:rsid w:val="00081C0C"/>
    <w:rsid w:val="000D0858"/>
    <w:rsid w:val="000D6F45"/>
    <w:rsid w:val="001002BD"/>
    <w:rsid w:val="001316E8"/>
    <w:rsid w:val="00141B95"/>
    <w:rsid w:val="00143730"/>
    <w:rsid w:val="00191CC9"/>
    <w:rsid w:val="001B0ABD"/>
    <w:rsid w:val="001C3227"/>
    <w:rsid w:val="001C340B"/>
    <w:rsid w:val="001C4FAE"/>
    <w:rsid w:val="001E3D3E"/>
    <w:rsid w:val="001E6D20"/>
    <w:rsid w:val="001F44F8"/>
    <w:rsid w:val="002035FE"/>
    <w:rsid w:val="002048A7"/>
    <w:rsid w:val="002062D7"/>
    <w:rsid w:val="00206D12"/>
    <w:rsid w:val="00212B4F"/>
    <w:rsid w:val="0022672C"/>
    <w:rsid w:val="0023337B"/>
    <w:rsid w:val="00274A77"/>
    <w:rsid w:val="00277736"/>
    <w:rsid w:val="0028033B"/>
    <w:rsid w:val="00295A3C"/>
    <w:rsid w:val="002B4881"/>
    <w:rsid w:val="002B4FB5"/>
    <w:rsid w:val="002E6E2A"/>
    <w:rsid w:val="002F0A3F"/>
    <w:rsid w:val="002F3353"/>
    <w:rsid w:val="003013BC"/>
    <w:rsid w:val="00360354"/>
    <w:rsid w:val="003726AA"/>
    <w:rsid w:val="0039680C"/>
    <w:rsid w:val="003A11F1"/>
    <w:rsid w:val="003A1A63"/>
    <w:rsid w:val="003B460A"/>
    <w:rsid w:val="003C413B"/>
    <w:rsid w:val="003C718A"/>
    <w:rsid w:val="003D476B"/>
    <w:rsid w:val="003F5445"/>
    <w:rsid w:val="00432B11"/>
    <w:rsid w:val="00432EA7"/>
    <w:rsid w:val="00437286"/>
    <w:rsid w:val="00456EB1"/>
    <w:rsid w:val="00483B74"/>
    <w:rsid w:val="00497F2C"/>
    <w:rsid w:val="00497F93"/>
    <w:rsid w:val="004C5A0C"/>
    <w:rsid w:val="004E3F4D"/>
    <w:rsid w:val="004E7EC6"/>
    <w:rsid w:val="004F4924"/>
    <w:rsid w:val="0051001D"/>
    <w:rsid w:val="00511CCB"/>
    <w:rsid w:val="005268B0"/>
    <w:rsid w:val="005559D1"/>
    <w:rsid w:val="005619C3"/>
    <w:rsid w:val="00582683"/>
    <w:rsid w:val="00593F40"/>
    <w:rsid w:val="00596DDF"/>
    <w:rsid w:val="005C4C63"/>
    <w:rsid w:val="005D10D5"/>
    <w:rsid w:val="005D3059"/>
    <w:rsid w:val="006049AC"/>
    <w:rsid w:val="00640E47"/>
    <w:rsid w:val="006613DB"/>
    <w:rsid w:val="006679EB"/>
    <w:rsid w:val="0067264E"/>
    <w:rsid w:val="006807D4"/>
    <w:rsid w:val="0068733D"/>
    <w:rsid w:val="006A2BF5"/>
    <w:rsid w:val="006B1CFC"/>
    <w:rsid w:val="006C5BBD"/>
    <w:rsid w:val="006F0FAA"/>
    <w:rsid w:val="006F2243"/>
    <w:rsid w:val="00711DCA"/>
    <w:rsid w:val="007230D7"/>
    <w:rsid w:val="00724419"/>
    <w:rsid w:val="00733CC0"/>
    <w:rsid w:val="007529C7"/>
    <w:rsid w:val="007633A5"/>
    <w:rsid w:val="00767584"/>
    <w:rsid w:val="007750D0"/>
    <w:rsid w:val="0077623B"/>
    <w:rsid w:val="00776A87"/>
    <w:rsid w:val="007A6443"/>
    <w:rsid w:val="007B2A08"/>
    <w:rsid w:val="007D078C"/>
    <w:rsid w:val="007E210A"/>
    <w:rsid w:val="007E37AA"/>
    <w:rsid w:val="007E6A8B"/>
    <w:rsid w:val="008145BE"/>
    <w:rsid w:val="008166E1"/>
    <w:rsid w:val="00822FC9"/>
    <w:rsid w:val="008938E4"/>
    <w:rsid w:val="00893CC6"/>
    <w:rsid w:val="008948FB"/>
    <w:rsid w:val="008A0CD9"/>
    <w:rsid w:val="008A4B3F"/>
    <w:rsid w:val="008B17EC"/>
    <w:rsid w:val="008B7CF1"/>
    <w:rsid w:val="008D1515"/>
    <w:rsid w:val="008D528B"/>
    <w:rsid w:val="008D5E73"/>
    <w:rsid w:val="008E3145"/>
    <w:rsid w:val="00904B7A"/>
    <w:rsid w:val="00926306"/>
    <w:rsid w:val="0093645E"/>
    <w:rsid w:val="00946827"/>
    <w:rsid w:val="0095597F"/>
    <w:rsid w:val="00961FFD"/>
    <w:rsid w:val="00967C82"/>
    <w:rsid w:val="00993E3B"/>
    <w:rsid w:val="009973F6"/>
    <w:rsid w:val="009A0762"/>
    <w:rsid w:val="009D5655"/>
    <w:rsid w:val="009D76E9"/>
    <w:rsid w:val="00A45A9E"/>
    <w:rsid w:val="00A52B23"/>
    <w:rsid w:val="00A73A19"/>
    <w:rsid w:val="00A902CA"/>
    <w:rsid w:val="00A938E3"/>
    <w:rsid w:val="00AA29E5"/>
    <w:rsid w:val="00AC6EFA"/>
    <w:rsid w:val="00AD3F43"/>
    <w:rsid w:val="00AE7367"/>
    <w:rsid w:val="00AE7C3E"/>
    <w:rsid w:val="00B030D0"/>
    <w:rsid w:val="00B2300F"/>
    <w:rsid w:val="00B34FE7"/>
    <w:rsid w:val="00B47955"/>
    <w:rsid w:val="00B50464"/>
    <w:rsid w:val="00B52F05"/>
    <w:rsid w:val="00BA28FD"/>
    <w:rsid w:val="00BA4A75"/>
    <w:rsid w:val="00BC16E8"/>
    <w:rsid w:val="00BD5945"/>
    <w:rsid w:val="00BD6F9D"/>
    <w:rsid w:val="00BE4EAF"/>
    <w:rsid w:val="00C06504"/>
    <w:rsid w:val="00C3360E"/>
    <w:rsid w:val="00C37775"/>
    <w:rsid w:val="00C56C17"/>
    <w:rsid w:val="00C56CDB"/>
    <w:rsid w:val="00C8074E"/>
    <w:rsid w:val="00C901B4"/>
    <w:rsid w:val="00CB0935"/>
    <w:rsid w:val="00CC3E99"/>
    <w:rsid w:val="00CD1D35"/>
    <w:rsid w:val="00D1359B"/>
    <w:rsid w:val="00D44208"/>
    <w:rsid w:val="00D568AF"/>
    <w:rsid w:val="00D63CDE"/>
    <w:rsid w:val="00D759A5"/>
    <w:rsid w:val="00D85F7D"/>
    <w:rsid w:val="00D868E7"/>
    <w:rsid w:val="00D93C05"/>
    <w:rsid w:val="00DA192C"/>
    <w:rsid w:val="00DA549E"/>
    <w:rsid w:val="00DB5101"/>
    <w:rsid w:val="00DC4CE7"/>
    <w:rsid w:val="00DD0AE3"/>
    <w:rsid w:val="00DD2237"/>
    <w:rsid w:val="00DE117E"/>
    <w:rsid w:val="00DE1375"/>
    <w:rsid w:val="00DF0DA9"/>
    <w:rsid w:val="00E024A4"/>
    <w:rsid w:val="00E07AB0"/>
    <w:rsid w:val="00E13056"/>
    <w:rsid w:val="00E1347E"/>
    <w:rsid w:val="00E179C9"/>
    <w:rsid w:val="00E53EBF"/>
    <w:rsid w:val="00E6649F"/>
    <w:rsid w:val="00ED293C"/>
    <w:rsid w:val="00F01044"/>
    <w:rsid w:val="00F0594C"/>
    <w:rsid w:val="00F52663"/>
    <w:rsid w:val="00F60732"/>
    <w:rsid w:val="00F6588E"/>
    <w:rsid w:val="00F7343E"/>
    <w:rsid w:val="00F75612"/>
    <w:rsid w:val="00FA7FB5"/>
    <w:rsid w:val="00FC4FB3"/>
    <w:rsid w:val="00FE36D0"/>
    <w:rsid w:val="00FF7151"/>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597F"/>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3B74"/>
    <w:rPr>
      <w:color w:val="666666"/>
    </w:rPr>
  </w:style>
  <w:style w:type="paragraph" w:customStyle="1" w:styleId="3EB2F2863333460CB2123267D815630D">
    <w:name w:val="3EB2F2863333460CB2123267D815630D"/>
    <w:rsid w:val="0095597F"/>
  </w:style>
  <w:style w:type="paragraph" w:customStyle="1" w:styleId="9586BFDAAECF4FD4B42E49EE9DEAEA27">
    <w:name w:val="9586BFDAAECF4FD4B42E49EE9DEAEA27"/>
    <w:rsid w:val="00483B74"/>
  </w:style>
  <w:style w:type="paragraph" w:customStyle="1" w:styleId="A615EAED4B0D4784897C83A1DE2898CA">
    <w:name w:val="A615EAED4B0D4784897C83A1DE2898CA"/>
    <w:rsid w:val="00483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009EDB"/>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1">
            <a:alpha val="2000"/>
          </a:schemeClr>
        </a:solidFill>
        <a:ln w="25400">
          <a:solidFill>
            <a:schemeClr val="accent1"/>
          </a:solidFill>
          <a:miter lim="800000"/>
          <a:headEnd/>
          <a:tailEnd/>
        </a:ln>
      </a:spPr>
      <a:bodyPr rot="0" vert="horz" wrap="square" lIns="144000" tIns="108000" rIns="144000" bIns="10800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b3074b2-a2f2-40d4-95db-4d8bfc6beab8">
      <Terms xmlns="http://schemas.microsoft.com/office/infopath/2007/PartnerControls"/>
    </lcf76f155ced4ddcb4097134ff3c332f>
    <TaxCatchAll xmlns="985ec44e-1bab-4c0b-9df0-6ba128686fc9" xsi:nil="true"/>
    <_Flow_SignoffStatus xmlns="ab3074b2-a2f2-40d4-95db-4d8bfc6beab8" xsi:nil="true"/>
    <Notes xmlns="ab3074b2-a2f2-40d4-95db-4d8bfc6beab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1011FD5C6FA94692668CCBB0B001B7" ma:contentTypeVersion="21" ma:contentTypeDescription="Create a new document." ma:contentTypeScope="" ma:versionID="a9549cb446501523ca018fee476870de">
  <xsd:schema xmlns:xsd="http://www.w3.org/2001/XMLSchema" xmlns:xs="http://www.w3.org/2001/XMLSchema" xmlns:p="http://schemas.microsoft.com/office/2006/metadata/properties" xmlns:ns2="ab3074b2-a2f2-40d4-95db-4d8bfc6beab8" xmlns:ns3="d7fe1d00-5f92-4dfb-a8df-252d5220b019" xmlns:ns4="985ec44e-1bab-4c0b-9df0-6ba128686fc9" targetNamespace="http://schemas.microsoft.com/office/2006/metadata/properties" ma:root="true" ma:fieldsID="f32480622bd40507219413eb3e92b785" ns2:_="" ns3:_="" ns4:_="">
    <xsd:import namespace="ab3074b2-a2f2-40d4-95db-4d8bfc6beab8"/>
    <xsd:import namespace="d7fe1d00-5f92-4dfb-a8df-252d5220b019"/>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074b2-a2f2-40d4-95db-4d8bfc6bea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Notes" ma:index="27"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fe1d00-5f92-4dfb-a8df-252d5220b0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bb1b69b-34e0-4913-bead-4b67d93edaaa}" ma:internalName="TaxCatchAll" ma:showField="CatchAllData" ma:web="d7fe1d00-5f92-4dfb-a8df-252d5220b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5F512D-D25F-41FD-BB83-EB8DA32FA688}">
  <ds:schemaRefs>
    <ds:schemaRef ds:uri="http://schemas.openxmlformats.org/officeDocument/2006/bibliography"/>
  </ds:schemaRefs>
</ds:datastoreItem>
</file>

<file path=customXml/itemProps2.xml><?xml version="1.0" encoding="utf-8"?>
<ds:datastoreItem xmlns:ds="http://schemas.openxmlformats.org/officeDocument/2006/customXml" ds:itemID="{A7D75AD2-D108-407C-8BF2-B4D613C8FF0C}">
  <ds:schemaRefs>
    <ds:schemaRef ds:uri="http://schemas.microsoft.com/sharepoint/v3/contenttype/forms"/>
  </ds:schemaRefs>
</ds:datastoreItem>
</file>

<file path=customXml/itemProps3.xml><?xml version="1.0" encoding="utf-8"?>
<ds:datastoreItem xmlns:ds="http://schemas.openxmlformats.org/officeDocument/2006/customXml" ds:itemID="{C1CE5449-4FCB-4C6F-9083-08F51F5ACFE6}">
  <ds:schemaRefs>
    <ds:schemaRef ds:uri="http://schemas.microsoft.com/office/2006/metadata/properties"/>
    <ds:schemaRef ds:uri="http://schemas.microsoft.com/office/infopath/2007/PartnerControls"/>
    <ds:schemaRef ds:uri="ab3074b2-a2f2-40d4-95db-4d8bfc6beab8"/>
    <ds:schemaRef ds:uri="985ec44e-1bab-4c0b-9df0-6ba128686fc9"/>
  </ds:schemaRefs>
</ds:datastoreItem>
</file>

<file path=customXml/itemProps4.xml><?xml version="1.0" encoding="utf-8"?>
<ds:datastoreItem xmlns:ds="http://schemas.openxmlformats.org/officeDocument/2006/customXml" ds:itemID="{CC77FBB7-57A7-4819-8C2E-0C5184F0583F}"/>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13</TotalTime>
  <Pages>164</Pages>
  <Words>69611</Words>
  <Characters>396784</Characters>
  <Application>Microsoft Office Word</Application>
  <DocSecurity>0</DocSecurity>
  <Lines>3306</Lines>
  <Paragraphs>930</Paragraphs>
  <ScaleCrop>false</ScaleCrop>
  <HeadingPairs>
    <vt:vector size="2" baseType="variant">
      <vt:variant>
        <vt:lpstr>Title</vt:lpstr>
      </vt:variant>
      <vt:variant>
        <vt:i4>1</vt:i4>
      </vt:variant>
    </vt:vector>
  </HeadingPairs>
  <TitlesOfParts>
    <vt:vector size="1" baseType="lpstr">
      <vt:lpstr>Evaluation of DA13 INFF Project 2124A “Towards Integrated National Financing Framework”</vt:lpstr>
    </vt:vector>
  </TitlesOfParts>
  <Company/>
  <LinksUpToDate>false</LinksUpToDate>
  <CharactersWithSpaces>465465</CharactersWithSpaces>
  <SharedDoc>false</SharedDoc>
  <HLinks>
    <vt:vector size="174" baseType="variant">
      <vt:variant>
        <vt:i4>917569</vt:i4>
      </vt:variant>
      <vt:variant>
        <vt:i4>87</vt:i4>
      </vt:variant>
      <vt:variant>
        <vt:i4>0</vt:i4>
      </vt:variant>
      <vt:variant>
        <vt:i4>5</vt:i4>
      </vt:variant>
      <vt:variant>
        <vt:lpwstr>https://unitednations.sharepoint.com/:x:/s/DESA-CDPMO/EUUEVvxMbXZCkx489eE5O5gBsHPY-EacjsNw-PbIpr4nug?email=brandtn%40un.org&amp;e=xrhK6g</vt:lpwstr>
      </vt:variant>
      <vt:variant>
        <vt:lpwstr/>
      </vt:variant>
      <vt:variant>
        <vt:i4>1048629</vt:i4>
      </vt:variant>
      <vt:variant>
        <vt:i4>83</vt:i4>
      </vt:variant>
      <vt:variant>
        <vt:i4>0</vt:i4>
      </vt:variant>
      <vt:variant>
        <vt:i4>5</vt:i4>
      </vt:variant>
      <vt:variant>
        <vt:lpwstr/>
      </vt:variant>
      <vt:variant>
        <vt:lpwstr>_Toc86873563</vt:lpwstr>
      </vt:variant>
      <vt:variant>
        <vt:i4>1114165</vt:i4>
      </vt:variant>
      <vt:variant>
        <vt:i4>80</vt:i4>
      </vt:variant>
      <vt:variant>
        <vt:i4>0</vt:i4>
      </vt:variant>
      <vt:variant>
        <vt:i4>5</vt:i4>
      </vt:variant>
      <vt:variant>
        <vt:lpwstr/>
      </vt:variant>
      <vt:variant>
        <vt:lpwstr>_Toc86873562</vt:lpwstr>
      </vt:variant>
      <vt:variant>
        <vt:i4>1179701</vt:i4>
      </vt:variant>
      <vt:variant>
        <vt:i4>77</vt:i4>
      </vt:variant>
      <vt:variant>
        <vt:i4>0</vt:i4>
      </vt:variant>
      <vt:variant>
        <vt:i4>5</vt:i4>
      </vt:variant>
      <vt:variant>
        <vt:lpwstr/>
      </vt:variant>
      <vt:variant>
        <vt:lpwstr>_Toc86873561</vt:lpwstr>
      </vt:variant>
      <vt:variant>
        <vt:i4>1245237</vt:i4>
      </vt:variant>
      <vt:variant>
        <vt:i4>74</vt:i4>
      </vt:variant>
      <vt:variant>
        <vt:i4>0</vt:i4>
      </vt:variant>
      <vt:variant>
        <vt:i4>5</vt:i4>
      </vt:variant>
      <vt:variant>
        <vt:lpwstr/>
      </vt:variant>
      <vt:variant>
        <vt:lpwstr>_Toc86873560</vt:lpwstr>
      </vt:variant>
      <vt:variant>
        <vt:i4>1703990</vt:i4>
      </vt:variant>
      <vt:variant>
        <vt:i4>71</vt:i4>
      </vt:variant>
      <vt:variant>
        <vt:i4>0</vt:i4>
      </vt:variant>
      <vt:variant>
        <vt:i4>5</vt:i4>
      </vt:variant>
      <vt:variant>
        <vt:lpwstr/>
      </vt:variant>
      <vt:variant>
        <vt:lpwstr>_Toc86873559</vt:lpwstr>
      </vt:variant>
      <vt:variant>
        <vt:i4>1769526</vt:i4>
      </vt:variant>
      <vt:variant>
        <vt:i4>68</vt:i4>
      </vt:variant>
      <vt:variant>
        <vt:i4>0</vt:i4>
      </vt:variant>
      <vt:variant>
        <vt:i4>5</vt:i4>
      </vt:variant>
      <vt:variant>
        <vt:lpwstr/>
      </vt:variant>
      <vt:variant>
        <vt:lpwstr>_Toc86873558</vt:lpwstr>
      </vt:variant>
      <vt:variant>
        <vt:i4>1310774</vt:i4>
      </vt:variant>
      <vt:variant>
        <vt:i4>65</vt:i4>
      </vt:variant>
      <vt:variant>
        <vt:i4>0</vt:i4>
      </vt:variant>
      <vt:variant>
        <vt:i4>5</vt:i4>
      </vt:variant>
      <vt:variant>
        <vt:lpwstr/>
      </vt:variant>
      <vt:variant>
        <vt:lpwstr>_Toc86873557</vt:lpwstr>
      </vt:variant>
      <vt:variant>
        <vt:i4>1376310</vt:i4>
      </vt:variant>
      <vt:variant>
        <vt:i4>62</vt:i4>
      </vt:variant>
      <vt:variant>
        <vt:i4>0</vt:i4>
      </vt:variant>
      <vt:variant>
        <vt:i4>5</vt:i4>
      </vt:variant>
      <vt:variant>
        <vt:lpwstr/>
      </vt:variant>
      <vt:variant>
        <vt:lpwstr>_Toc86873556</vt:lpwstr>
      </vt:variant>
      <vt:variant>
        <vt:i4>1441846</vt:i4>
      </vt:variant>
      <vt:variant>
        <vt:i4>59</vt:i4>
      </vt:variant>
      <vt:variant>
        <vt:i4>0</vt:i4>
      </vt:variant>
      <vt:variant>
        <vt:i4>5</vt:i4>
      </vt:variant>
      <vt:variant>
        <vt:lpwstr/>
      </vt:variant>
      <vt:variant>
        <vt:lpwstr>_Toc86873555</vt:lpwstr>
      </vt:variant>
      <vt:variant>
        <vt:i4>1507382</vt:i4>
      </vt:variant>
      <vt:variant>
        <vt:i4>56</vt:i4>
      </vt:variant>
      <vt:variant>
        <vt:i4>0</vt:i4>
      </vt:variant>
      <vt:variant>
        <vt:i4>5</vt:i4>
      </vt:variant>
      <vt:variant>
        <vt:lpwstr/>
      </vt:variant>
      <vt:variant>
        <vt:lpwstr>_Toc86873554</vt:lpwstr>
      </vt:variant>
      <vt:variant>
        <vt:i4>1048630</vt:i4>
      </vt:variant>
      <vt:variant>
        <vt:i4>53</vt:i4>
      </vt:variant>
      <vt:variant>
        <vt:i4>0</vt:i4>
      </vt:variant>
      <vt:variant>
        <vt:i4>5</vt:i4>
      </vt:variant>
      <vt:variant>
        <vt:lpwstr/>
      </vt:variant>
      <vt:variant>
        <vt:lpwstr>_Toc86873553</vt:lpwstr>
      </vt:variant>
      <vt:variant>
        <vt:i4>1114166</vt:i4>
      </vt:variant>
      <vt:variant>
        <vt:i4>50</vt:i4>
      </vt:variant>
      <vt:variant>
        <vt:i4>0</vt:i4>
      </vt:variant>
      <vt:variant>
        <vt:i4>5</vt:i4>
      </vt:variant>
      <vt:variant>
        <vt:lpwstr/>
      </vt:variant>
      <vt:variant>
        <vt:lpwstr>_Toc86873552</vt:lpwstr>
      </vt:variant>
      <vt:variant>
        <vt:i4>1179702</vt:i4>
      </vt:variant>
      <vt:variant>
        <vt:i4>47</vt:i4>
      </vt:variant>
      <vt:variant>
        <vt:i4>0</vt:i4>
      </vt:variant>
      <vt:variant>
        <vt:i4>5</vt:i4>
      </vt:variant>
      <vt:variant>
        <vt:lpwstr/>
      </vt:variant>
      <vt:variant>
        <vt:lpwstr>_Toc86873551</vt:lpwstr>
      </vt:variant>
      <vt:variant>
        <vt:i4>1245238</vt:i4>
      </vt:variant>
      <vt:variant>
        <vt:i4>44</vt:i4>
      </vt:variant>
      <vt:variant>
        <vt:i4>0</vt:i4>
      </vt:variant>
      <vt:variant>
        <vt:i4>5</vt:i4>
      </vt:variant>
      <vt:variant>
        <vt:lpwstr/>
      </vt:variant>
      <vt:variant>
        <vt:lpwstr>_Toc86873550</vt:lpwstr>
      </vt:variant>
      <vt:variant>
        <vt:i4>1703991</vt:i4>
      </vt:variant>
      <vt:variant>
        <vt:i4>41</vt:i4>
      </vt:variant>
      <vt:variant>
        <vt:i4>0</vt:i4>
      </vt:variant>
      <vt:variant>
        <vt:i4>5</vt:i4>
      </vt:variant>
      <vt:variant>
        <vt:lpwstr/>
      </vt:variant>
      <vt:variant>
        <vt:lpwstr>_Toc86873549</vt:lpwstr>
      </vt:variant>
      <vt:variant>
        <vt:i4>1769527</vt:i4>
      </vt:variant>
      <vt:variant>
        <vt:i4>38</vt:i4>
      </vt:variant>
      <vt:variant>
        <vt:i4>0</vt:i4>
      </vt:variant>
      <vt:variant>
        <vt:i4>5</vt:i4>
      </vt:variant>
      <vt:variant>
        <vt:lpwstr/>
      </vt:variant>
      <vt:variant>
        <vt:lpwstr>_Toc86873548</vt:lpwstr>
      </vt:variant>
      <vt:variant>
        <vt:i4>1310775</vt:i4>
      </vt:variant>
      <vt:variant>
        <vt:i4>35</vt:i4>
      </vt:variant>
      <vt:variant>
        <vt:i4>0</vt:i4>
      </vt:variant>
      <vt:variant>
        <vt:i4>5</vt:i4>
      </vt:variant>
      <vt:variant>
        <vt:lpwstr/>
      </vt:variant>
      <vt:variant>
        <vt:lpwstr>_Toc86873547</vt:lpwstr>
      </vt:variant>
      <vt:variant>
        <vt:i4>1376311</vt:i4>
      </vt:variant>
      <vt:variant>
        <vt:i4>32</vt:i4>
      </vt:variant>
      <vt:variant>
        <vt:i4>0</vt:i4>
      </vt:variant>
      <vt:variant>
        <vt:i4>5</vt:i4>
      </vt:variant>
      <vt:variant>
        <vt:lpwstr/>
      </vt:variant>
      <vt:variant>
        <vt:lpwstr>_Toc86873546</vt:lpwstr>
      </vt:variant>
      <vt:variant>
        <vt:i4>1441847</vt:i4>
      </vt:variant>
      <vt:variant>
        <vt:i4>29</vt:i4>
      </vt:variant>
      <vt:variant>
        <vt:i4>0</vt:i4>
      </vt:variant>
      <vt:variant>
        <vt:i4>5</vt:i4>
      </vt:variant>
      <vt:variant>
        <vt:lpwstr/>
      </vt:variant>
      <vt:variant>
        <vt:lpwstr>_Toc86873545</vt:lpwstr>
      </vt:variant>
      <vt:variant>
        <vt:i4>1507383</vt:i4>
      </vt:variant>
      <vt:variant>
        <vt:i4>26</vt:i4>
      </vt:variant>
      <vt:variant>
        <vt:i4>0</vt:i4>
      </vt:variant>
      <vt:variant>
        <vt:i4>5</vt:i4>
      </vt:variant>
      <vt:variant>
        <vt:lpwstr/>
      </vt:variant>
      <vt:variant>
        <vt:lpwstr>_Toc86873544</vt:lpwstr>
      </vt:variant>
      <vt:variant>
        <vt:i4>1048631</vt:i4>
      </vt:variant>
      <vt:variant>
        <vt:i4>23</vt:i4>
      </vt:variant>
      <vt:variant>
        <vt:i4>0</vt:i4>
      </vt:variant>
      <vt:variant>
        <vt:i4>5</vt:i4>
      </vt:variant>
      <vt:variant>
        <vt:lpwstr/>
      </vt:variant>
      <vt:variant>
        <vt:lpwstr>_Toc86873543</vt:lpwstr>
      </vt:variant>
      <vt:variant>
        <vt:i4>1114167</vt:i4>
      </vt:variant>
      <vt:variant>
        <vt:i4>20</vt:i4>
      </vt:variant>
      <vt:variant>
        <vt:i4>0</vt:i4>
      </vt:variant>
      <vt:variant>
        <vt:i4>5</vt:i4>
      </vt:variant>
      <vt:variant>
        <vt:lpwstr/>
      </vt:variant>
      <vt:variant>
        <vt:lpwstr>_Toc86873542</vt:lpwstr>
      </vt:variant>
      <vt:variant>
        <vt:i4>1179703</vt:i4>
      </vt:variant>
      <vt:variant>
        <vt:i4>17</vt:i4>
      </vt:variant>
      <vt:variant>
        <vt:i4>0</vt:i4>
      </vt:variant>
      <vt:variant>
        <vt:i4>5</vt:i4>
      </vt:variant>
      <vt:variant>
        <vt:lpwstr/>
      </vt:variant>
      <vt:variant>
        <vt:lpwstr>_Toc86873541</vt:lpwstr>
      </vt:variant>
      <vt:variant>
        <vt:i4>1245239</vt:i4>
      </vt:variant>
      <vt:variant>
        <vt:i4>14</vt:i4>
      </vt:variant>
      <vt:variant>
        <vt:i4>0</vt:i4>
      </vt:variant>
      <vt:variant>
        <vt:i4>5</vt:i4>
      </vt:variant>
      <vt:variant>
        <vt:lpwstr/>
      </vt:variant>
      <vt:variant>
        <vt:lpwstr>_Toc86873540</vt:lpwstr>
      </vt:variant>
      <vt:variant>
        <vt:i4>1703984</vt:i4>
      </vt:variant>
      <vt:variant>
        <vt:i4>11</vt:i4>
      </vt:variant>
      <vt:variant>
        <vt:i4>0</vt:i4>
      </vt:variant>
      <vt:variant>
        <vt:i4>5</vt:i4>
      </vt:variant>
      <vt:variant>
        <vt:lpwstr/>
      </vt:variant>
      <vt:variant>
        <vt:lpwstr>_Toc86873539</vt:lpwstr>
      </vt:variant>
      <vt:variant>
        <vt:i4>1769520</vt:i4>
      </vt:variant>
      <vt:variant>
        <vt:i4>8</vt:i4>
      </vt:variant>
      <vt:variant>
        <vt:i4>0</vt:i4>
      </vt:variant>
      <vt:variant>
        <vt:i4>5</vt:i4>
      </vt:variant>
      <vt:variant>
        <vt:lpwstr/>
      </vt:variant>
      <vt:variant>
        <vt:lpwstr>_Toc86873538</vt:lpwstr>
      </vt:variant>
      <vt:variant>
        <vt:i4>917569</vt:i4>
      </vt:variant>
      <vt:variant>
        <vt:i4>3</vt:i4>
      </vt:variant>
      <vt:variant>
        <vt:i4>0</vt:i4>
      </vt:variant>
      <vt:variant>
        <vt:i4>5</vt:i4>
      </vt:variant>
      <vt:variant>
        <vt:lpwstr>https://unitednations.sharepoint.com/:x:/s/DESA-CDPMO/EUUEVvxMbXZCkx489eE5O5gBsHPY-EacjsNw-PbIpr4nug?email=brandtn%40un.org&amp;e=xrhK6g</vt:lpwstr>
      </vt:variant>
      <vt:variant>
        <vt:lpwstr/>
      </vt:variant>
      <vt:variant>
        <vt:i4>8061052</vt:i4>
      </vt:variant>
      <vt:variant>
        <vt:i4>0</vt:i4>
      </vt:variant>
      <vt:variant>
        <vt:i4>0</vt:i4>
      </vt:variant>
      <vt:variant>
        <vt:i4>5</vt:i4>
      </vt:variant>
      <vt:variant>
        <vt:lpwstr>https://unitednations.sharepoint.com/:x:/r/sites/DESA-CDPMO/Shared Documents/General/5. Programme Development/Evaluation/Evaluations recommendations tracker/DESA evaluation_recommendations_Tracker.xlsx?d=wfc5604456d4c4276931e3cf5e1393b98&amp;csf=1&amp;web=1&amp;e=03hnYb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DA13 INFF Project 2124A “Towards Integrated National Financing Framework”</dc:title>
  <dc:subject/>
  <dc:creator>Nina Brandt</dc:creator>
  <cp:keywords/>
  <dc:description/>
  <cp:lastModifiedBy>Halcyon Louis</cp:lastModifiedBy>
  <cp:revision>14</cp:revision>
  <cp:lastPrinted>2024-12-04T19:41:00Z</cp:lastPrinted>
  <dcterms:created xsi:type="dcterms:W3CDTF">2025-10-07T15:41:00Z</dcterms:created>
  <dcterms:modified xsi:type="dcterms:W3CDTF">2025-10-07T15:53:00Z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0x0101004A1011FD5C6FA94692668CCBB0B001B7</vt:lpwstr>
  </property>
  <property fmtid="{D5CDD505-2E9C-101B-9397-08002B2CF9AE}" pid="3" name="MediaServiceImageTags">
    <vt:lpwstr/>
  </property>
</Properties>
</file>